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color w:val="auto"/>
        </w:rPr>
        <w:t>As filed with the Securities and Exchange Commision on June 28,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59055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192"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jc w:val="center"/>
        <w:ind w:right="-19"/>
        <w:spacing w:after="0"/>
        <w:rPr>
          <w:sz w:val="20"/>
          <w:szCs w:val="20"/>
          <w:color w:val="auto"/>
        </w:rPr>
      </w:pPr>
      <w:r>
        <w:rPr>
          <w:rFonts w:ascii="Arial" w:cs="Arial" w:eastAsia="Arial" w:hAnsi="Arial"/>
          <w:sz w:val="22"/>
          <w:szCs w:val="22"/>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146050" cy="1543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050" cy="154305"/>
                    </a:xfrm>
                    <a:prstGeom prst="rect">
                      <a:avLst/>
                    </a:prstGeom>
                    <a:noFill/>
                  </pic:spPr>
                </pic:pic>
              </a:graphicData>
            </a:graphic>
          </wp:anchor>
        </w:drawing>
      </w:r>
    </w:p>
    <w:p>
      <w:pPr>
        <w:jc w:val="center"/>
        <w:spacing w:after="0" w:line="234" w:lineRule="auto"/>
        <w:rPr>
          <w:sz w:val="20"/>
          <w:szCs w:val="20"/>
          <w:color w:val="auto"/>
        </w:rPr>
      </w:pPr>
      <w:r>
        <w:rPr>
          <w:rFonts w:ascii="Arial" w:cs="Arial" w:eastAsia="Arial" w:hAnsi="Arial"/>
          <w:sz w:val="18"/>
          <w:szCs w:val="18"/>
          <w:color w:val="auto"/>
        </w:rPr>
        <w:t>REGISTRATION STATEMENT PURSUANT TO SECTION 12(b) OR (g) OF THE</w:t>
      </w:r>
    </w:p>
    <w:p>
      <w:pPr>
        <w:jc w:val="center"/>
        <w:spacing w:after="0" w:line="235" w:lineRule="auto"/>
        <w:rPr>
          <w:sz w:val="20"/>
          <w:szCs w:val="20"/>
          <w:color w:val="auto"/>
        </w:rPr>
      </w:pPr>
      <w:r>
        <w:rPr>
          <w:rFonts w:ascii="Arial" w:cs="Arial" w:eastAsia="Arial" w:hAnsi="Arial"/>
          <w:sz w:val="18"/>
          <w:szCs w:val="18"/>
          <w:color w:val="auto"/>
        </w:rPr>
        <w:t>SECURITIES EXCHANGE ACT OF 1934</w:t>
      </w:r>
    </w:p>
    <w:p>
      <w:pPr>
        <w:jc w:val="center"/>
        <w:spacing w:after="0" w:line="235" w:lineRule="auto"/>
        <w:rPr>
          <w:sz w:val="20"/>
          <w:szCs w:val="20"/>
          <w:color w:val="auto"/>
        </w:rPr>
      </w:pPr>
      <w:r>
        <w:rPr>
          <w:rFonts w:ascii="Arial" w:cs="Arial" w:eastAsia="Arial" w:hAnsi="Arial"/>
          <w:sz w:val="18"/>
          <w:szCs w:val="18"/>
          <w:color w:val="auto"/>
        </w:rPr>
        <w: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137160"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center"/>
        <w:ind w:right="20"/>
        <w:spacing w:after="0" w:line="235" w:lineRule="auto"/>
        <w:rPr>
          <w:sz w:val="20"/>
          <w:szCs w:val="20"/>
          <w:color w:val="auto"/>
        </w:rPr>
      </w:pPr>
      <w:r>
        <w:rPr>
          <w:rFonts w:ascii="Arial" w:cs="Arial" w:eastAsia="Arial" w:hAnsi="Arial"/>
          <w:sz w:val="18"/>
          <w:szCs w:val="18"/>
          <w:color w:val="auto"/>
        </w:rPr>
        <w:t>ANNUAL REPORT PURSUANT TO SECTION 13 OR 15(d) OF THE SECURITIES</w:t>
      </w:r>
    </w:p>
    <w:p>
      <w:pPr>
        <w:jc w:val="center"/>
        <w:spacing w:after="0" w:line="235" w:lineRule="auto"/>
        <w:rPr>
          <w:sz w:val="20"/>
          <w:szCs w:val="20"/>
          <w:color w:val="auto"/>
        </w:rPr>
      </w:pPr>
      <w:r>
        <w:rPr>
          <w:rFonts w:ascii="Arial" w:cs="Arial" w:eastAsia="Arial" w:hAnsi="Arial"/>
          <w:sz w:val="18"/>
          <w:szCs w:val="18"/>
          <w:color w:val="auto"/>
        </w:rPr>
        <w:t>EXCHANGE ACT OF 1934</w:t>
      </w:r>
    </w:p>
    <w:p>
      <w:pPr>
        <w:jc w:val="center"/>
        <w:spacing w:after="0" w:line="235" w:lineRule="auto"/>
        <w:rPr>
          <w:sz w:val="20"/>
          <w:szCs w:val="20"/>
          <w:color w:val="auto"/>
        </w:rPr>
      </w:pPr>
      <w:r>
        <w:rPr>
          <w:rFonts w:ascii="Arial" w:cs="Arial" w:eastAsia="Arial" w:hAnsi="Arial"/>
          <w:sz w:val="18"/>
          <w:szCs w:val="18"/>
          <w:b w:val="1"/>
          <w:bCs w:val="1"/>
          <w:color w:val="auto"/>
        </w:rPr>
        <w:t>For the fiscal year ended: December 31, 2003</w:t>
      </w:r>
    </w:p>
    <w:p>
      <w:pPr>
        <w:jc w:val="center"/>
        <w:spacing w:after="0" w:line="235" w:lineRule="auto"/>
        <w:rPr>
          <w:sz w:val="20"/>
          <w:szCs w:val="20"/>
          <w:color w:val="auto"/>
        </w:rPr>
      </w:pPr>
      <w:r>
        <w:rPr>
          <w:rFonts w:ascii="Arial" w:cs="Arial" w:eastAsia="Arial" w:hAnsi="Arial"/>
          <w:sz w:val="18"/>
          <w:szCs w:val="18"/>
          <w:color w:val="auto"/>
        </w:rPr>
        <w: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146050" cy="154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050" cy="154305"/>
                    </a:xfrm>
                    <a:prstGeom prst="rect">
                      <a:avLst/>
                    </a:prstGeom>
                    <a:noFill/>
                  </pic:spPr>
                </pic:pic>
              </a:graphicData>
            </a:graphic>
          </wp:anchor>
        </w:drawing>
      </w:r>
    </w:p>
    <w:p>
      <w:pPr>
        <w:jc w:val="center"/>
        <w:ind w:right="60"/>
        <w:spacing w:after="0" w:line="235" w:lineRule="auto"/>
        <w:rPr>
          <w:sz w:val="20"/>
          <w:szCs w:val="20"/>
          <w:color w:val="auto"/>
        </w:rPr>
      </w:pPr>
      <w:r>
        <w:rPr>
          <w:rFonts w:ascii="Arial" w:cs="Arial" w:eastAsia="Arial" w:hAnsi="Arial"/>
          <w:sz w:val="18"/>
          <w:szCs w:val="18"/>
          <w:color w:val="auto"/>
        </w:rPr>
        <w:t>TRANSITION REPORT PURSUANT TO SECTION 13 OR 15(d) OF THE SECURITIES</w:t>
      </w:r>
    </w:p>
    <w:p>
      <w:pPr>
        <w:jc w:val="center"/>
        <w:spacing w:after="0" w:line="235" w:lineRule="auto"/>
        <w:rPr>
          <w:sz w:val="20"/>
          <w:szCs w:val="20"/>
          <w:color w:val="auto"/>
        </w:rPr>
      </w:pPr>
      <w:r>
        <w:rPr>
          <w:rFonts w:ascii="Arial" w:cs="Arial" w:eastAsia="Arial" w:hAnsi="Arial"/>
          <w:sz w:val="18"/>
          <w:szCs w:val="18"/>
          <w:color w:val="auto"/>
        </w:rPr>
        <w:t>EXCHANGE ACT OF 1934</w:t>
      </w:r>
    </w:p>
    <w:p>
      <w:pPr>
        <w:ind w:left="3980"/>
        <w:spacing w:after="0"/>
        <w:rPr>
          <w:sz w:val="20"/>
          <w:szCs w:val="20"/>
          <w:color w:val="auto"/>
        </w:rPr>
      </w:pPr>
      <w:r>
        <w:rPr>
          <w:rFonts w:ascii="Arial" w:cs="Arial" w:eastAsia="Arial" w:hAnsi="Arial"/>
          <w:sz w:val="18"/>
          <w:szCs w:val="18"/>
          <w:color w:val="auto"/>
        </w:rPr>
        <w:t>For the transition period from_____ to _____</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1-14014</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CREDICORP LTD.</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BERMUDA</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(Jurisdiction of incorporation or organization)</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Calle Centenario 156</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La Molina</w:t>
      </w:r>
    </w:p>
    <w:p>
      <w:pPr>
        <w:jc w:val="center"/>
        <w:ind w:right="-19"/>
        <w:spacing w:after="0" w:line="230" w:lineRule="auto"/>
        <w:rPr>
          <w:sz w:val="20"/>
          <w:szCs w:val="20"/>
          <w:color w:val="auto"/>
        </w:rPr>
      </w:pPr>
      <w:r>
        <w:rPr>
          <w:rFonts w:ascii="Arial" w:cs="Arial" w:eastAsia="Arial" w:hAnsi="Arial"/>
          <w:sz w:val="18"/>
          <w:szCs w:val="18"/>
          <w:b w:val="1"/>
          <w:bCs w:val="1"/>
          <w:color w:val="auto"/>
        </w:rPr>
        <w:t>Lima 12, Perú</w:t>
      </w:r>
    </w:p>
    <w:p>
      <w:pPr>
        <w:jc w:val="center"/>
        <w:spacing w:after="0"/>
        <w:rPr>
          <w:sz w:val="20"/>
          <w:szCs w:val="20"/>
          <w:color w:val="auto"/>
        </w:rPr>
      </w:pPr>
      <w:r>
        <w:rPr>
          <w:rFonts w:ascii="Arial" w:cs="Arial" w:eastAsia="Arial" w:hAnsi="Arial"/>
          <w:sz w:val="14"/>
          <w:szCs w:val="14"/>
          <w:color w:val="auto"/>
        </w:rPr>
        <w:t>(Adress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60960</wp:posOffset>
            </wp:positionV>
            <wp:extent cx="13036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87"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pacing w:after="0" w:line="19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6"/>
              </w:rPr>
              <w:t>Title of each class</w:t>
            </w:r>
          </w:p>
        </w:tc>
        <w:tc>
          <w:tcPr>
            <w:tcW w:w="3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Name of each exchange on which registered</w:t>
            </w:r>
          </w:p>
        </w:tc>
      </w:tr>
      <w:tr>
        <w:trPr>
          <w:trHeight w:val="221"/>
        </w:trPr>
        <w:tc>
          <w:tcPr>
            <w:tcW w:w="4560" w:type="dxa"/>
            <w:vAlign w:val="bottom"/>
            <w:gridSpan w:val="2"/>
          </w:tcPr>
          <w:p>
            <w:pPr>
              <w:spacing w:after="0"/>
              <w:rPr>
                <w:sz w:val="20"/>
                <w:szCs w:val="20"/>
                <w:color w:val="auto"/>
              </w:rPr>
            </w:pPr>
            <w:r>
              <w:rPr>
                <w:rFonts w:ascii="Arial" w:cs="Arial" w:eastAsia="Arial" w:hAnsi="Arial"/>
                <w:sz w:val="18"/>
                <w:szCs w:val="18"/>
                <w:color w:val="auto"/>
              </w:rPr>
              <w:t>Common Shares, par value $5.00 per share</w:t>
            </w:r>
          </w:p>
        </w:tc>
        <w:tc>
          <w:tcPr>
            <w:tcW w:w="4860" w:type="dxa"/>
            <w:vAlign w:val="bottom"/>
            <w:gridSpan w:val="2"/>
          </w:tcPr>
          <w:p>
            <w:pPr>
              <w:ind w:left="1140"/>
              <w:spacing w:after="0"/>
              <w:rPr>
                <w:sz w:val="20"/>
                <w:szCs w:val="20"/>
                <w:color w:val="auto"/>
              </w:rPr>
            </w:pPr>
            <w:r>
              <w:rPr>
                <w:rFonts w:ascii="Arial" w:cs="Arial" w:eastAsia="Arial" w:hAnsi="Arial"/>
                <w:sz w:val="18"/>
                <w:szCs w:val="18"/>
                <w:color w:val="auto"/>
              </w:rPr>
              <w:t>New York Stock Exchange</w:t>
            </w:r>
          </w:p>
        </w:tc>
      </w:tr>
    </w:tbl>
    <w:p>
      <w:pPr>
        <w:spacing w:after="0" w:line="213"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Securities registered or to be registered pursuant to Section 12(g) of the Act:</w:t>
      </w:r>
    </w:p>
    <w:p>
      <w:pPr>
        <w:spacing w:after="0" w:line="13" w:lineRule="exact"/>
        <w:rPr>
          <w:sz w:val="24"/>
          <w:szCs w:val="24"/>
          <w:color w:val="auto"/>
        </w:rPr>
      </w:pPr>
    </w:p>
    <w:p>
      <w:pPr>
        <w:ind w:left="5480"/>
        <w:spacing w:after="0"/>
        <w:rPr>
          <w:sz w:val="20"/>
          <w:szCs w:val="20"/>
          <w:color w:val="auto"/>
        </w:rPr>
      </w:pPr>
      <w:r>
        <w:rPr>
          <w:rFonts w:ascii="Arial" w:cs="Arial" w:eastAsia="Arial" w:hAnsi="Arial"/>
          <w:sz w:val="18"/>
          <w:szCs w:val="18"/>
          <w:color w:val="auto"/>
        </w:rPr>
        <w:t>None.</w:t>
      </w:r>
    </w:p>
    <w:p>
      <w:pPr>
        <w:ind w:left="340"/>
        <w:spacing w:after="0" w:line="234" w:lineRule="auto"/>
        <w:rPr>
          <w:sz w:val="20"/>
          <w:szCs w:val="20"/>
          <w:color w:val="auto"/>
        </w:rPr>
      </w:pPr>
      <w:r>
        <w:rPr>
          <w:rFonts w:ascii="Arial" w:cs="Arial" w:eastAsia="Arial" w:hAnsi="Arial"/>
          <w:sz w:val="18"/>
          <w:szCs w:val="18"/>
          <w:b w:val="1"/>
          <w:bCs w:val="1"/>
          <w:color w:val="auto"/>
        </w:rPr>
        <w:t>Securities for which there is a reporting obligation pursuant to Section 15(d) of the Act:</w:t>
      </w:r>
    </w:p>
    <w:p>
      <w:pPr>
        <w:ind w:left="5480"/>
        <w:spacing w:after="0" w:line="235" w:lineRule="auto"/>
        <w:rPr>
          <w:sz w:val="20"/>
          <w:szCs w:val="20"/>
          <w:color w:val="auto"/>
        </w:rPr>
      </w:pPr>
      <w:r>
        <w:rPr>
          <w:rFonts w:ascii="Arial" w:cs="Arial" w:eastAsia="Arial" w:hAnsi="Arial"/>
          <w:sz w:val="18"/>
          <w:szCs w:val="18"/>
          <w:color w:val="auto"/>
        </w:rPr>
        <w:t>None.</w:t>
      </w:r>
    </w:p>
    <w:p>
      <w:pPr>
        <w:spacing w:after="0" w:line="1" w:lineRule="exact"/>
        <w:rPr>
          <w:sz w:val="24"/>
          <w:szCs w:val="24"/>
          <w:color w:val="auto"/>
        </w:rPr>
      </w:pPr>
    </w:p>
    <w:p>
      <w:pPr>
        <w:ind w:right="220" w:firstLine="342"/>
        <w:spacing w:after="0" w:line="239" w:lineRule="auto"/>
        <w:rPr>
          <w:sz w:val="20"/>
          <w:szCs w:val="20"/>
          <w:color w:val="auto"/>
        </w:rPr>
      </w:pPr>
      <w:r>
        <w:rPr>
          <w:rFonts w:ascii="Arial" w:cs="Arial" w:eastAsia="Arial" w:hAnsi="Arial"/>
          <w:sz w:val="18"/>
          <w:szCs w:val="18"/>
          <w:b w:val="1"/>
          <w:bCs w:val="1"/>
          <w:color w:val="auto"/>
        </w:rPr>
        <w:t>Indicate the number of outstanding shares of each of the issuer’s classes of capital or common stock as of the close of the period covered by the annual report.</w:t>
      </w:r>
    </w:p>
    <w:p>
      <w:pPr>
        <w:spacing w:after="0" w:line="236" w:lineRule="exact"/>
        <w:rPr>
          <w:sz w:val="24"/>
          <w:szCs w:val="24"/>
          <w:color w:val="auto"/>
        </w:rPr>
      </w:pPr>
    </w:p>
    <w:tbl>
      <w:tblPr>
        <w:tblLayout w:type="fixed"/>
        <w:tblInd w:w="340" w:type="dxa"/>
        <w:tblCellMar>
          <w:top w:w="0" w:type="dxa"/>
          <w:left w:w="0" w:type="dxa"/>
          <w:bottom w:w="0" w:type="dxa"/>
          <w:right w:w="0" w:type="dxa"/>
        </w:tblCellMar>
      </w:tblPr>
      <w:tr>
        <w:trPr>
          <w:trHeight w:val="211"/>
        </w:trPr>
        <w:tc>
          <w:tcPr>
            <w:tcW w:w="6700" w:type="dxa"/>
            <w:vAlign w:val="bottom"/>
          </w:tcPr>
          <w:p>
            <w:pPr>
              <w:spacing w:after="0"/>
              <w:rPr>
                <w:sz w:val="20"/>
                <w:szCs w:val="20"/>
                <w:color w:val="auto"/>
              </w:rPr>
            </w:pPr>
            <w:r>
              <w:rPr>
                <w:rFonts w:ascii="Arial" w:cs="Arial" w:eastAsia="Arial" w:hAnsi="Arial"/>
                <w:sz w:val="18"/>
                <w:szCs w:val="18"/>
                <w:color w:val="auto"/>
                <w:w w:val="97"/>
              </w:rPr>
              <w:t>Common Shares, par value $5.00 per share...................................................................</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94,382,317</w:t>
            </w:r>
          </w:p>
        </w:tc>
      </w:tr>
    </w:tbl>
    <w:p>
      <w:pPr>
        <w:spacing w:after="0" w:line="213" w:lineRule="exact"/>
        <w:rPr>
          <w:sz w:val="24"/>
          <w:szCs w:val="24"/>
          <w:color w:val="auto"/>
        </w:rPr>
      </w:pPr>
    </w:p>
    <w:p>
      <w:pPr>
        <w:jc w:val="both"/>
        <w:ind w:firstLine="436"/>
        <w:spacing w:after="0" w:line="249" w:lineRule="auto"/>
        <w:rPr>
          <w:sz w:val="20"/>
          <w:szCs w:val="20"/>
          <w:color w:val="auto"/>
        </w:rPr>
      </w:pPr>
      <w:r>
        <w:rPr>
          <w:rFonts w:ascii="Arial" w:cs="Arial" w:eastAsia="Arial" w:hAnsi="Arial"/>
          <w:sz w:val="18"/>
          <w:szCs w:val="18"/>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4215765</wp:posOffset>
            </wp:positionH>
            <wp:positionV relativeFrom="paragraph">
              <wp:posOffset>-10795</wp:posOffset>
            </wp:positionV>
            <wp:extent cx="14605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050" cy="154305"/>
                    </a:xfrm>
                    <a:prstGeom prst="rect">
                      <a:avLst/>
                    </a:prstGeom>
                    <a:noFill/>
                  </pic:spPr>
                </pic:pic>
              </a:graphicData>
            </a:graphic>
          </wp:anchor>
        </w:drawing>
      </w:r>
    </w:p>
    <w:p>
      <w:pPr>
        <w:ind w:left="4560"/>
        <w:spacing w:after="0"/>
        <w:tabs>
          <w:tab w:leader="none" w:pos="5282" w:val="left"/>
        </w:tabs>
        <w:rPr>
          <w:sz w:val="20"/>
          <w:szCs w:val="20"/>
          <w:color w:val="auto"/>
        </w:rPr>
      </w:pPr>
      <w:r>
        <w:rPr>
          <w:rFonts w:ascii="Arial" w:cs="Arial" w:eastAsia="Arial" w:hAnsi="Arial"/>
          <w:sz w:val="18"/>
          <w:szCs w:val="18"/>
          <w:b w:val="1"/>
          <w:bCs w:val="1"/>
          <w:color w:val="auto"/>
        </w:rPr>
        <w:t>Yes</w:t>
      </w:r>
      <w:r>
        <w:rPr>
          <w:sz w:val="20"/>
          <w:szCs w:val="20"/>
          <w:color w:val="auto"/>
        </w:rPr>
        <w:tab/>
      </w:r>
      <w:r>
        <w:rPr>
          <w:sz w:val="1"/>
          <w:szCs w:val="1"/>
          <w:color w:val="auto"/>
        </w:rPr>
        <w:drawing>
          <wp:inline distT="0" distB="0" distL="0" distR="0">
            <wp:extent cx="137160" cy="1371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18"/>
          <w:szCs w:val="18"/>
          <w:b w:val="1"/>
          <w:bCs w:val="1"/>
          <w:color w:val="auto"/>
        </w:rPr>
        <w:t xml:space="preserve">     No</w:t>
      </w:r>
    </w:p>
    <w:p>
      <w:pPr>
        <w:ind w:left="340"/>
        <w:spacing w:after="0" w:line="237" w:lineRule="auto"/>
        <w:rPr>
          <w:sz w:val="20"/>
          <w:szCs w:val="20"/>
          <w:color w:val="auto"/>
        </w:rPr>
      </w:pPr>
      <w:r>
        <w:rPr>
          <w:rFonts w:ascii="Arial" w:cs="Arial" w:eastAsia="Arial" w:hAnsi="Arial"/>
          <w:sz w:val="18"/>
          <w:szCs w:val="18"/>
          <w:b w:val="1"/>
          <w:bCs w:val="1"/>
          <w:color w:val="auto"/>
        </w:rPr>
        <w:t>Indicate by check mark which financial statement item the registrant has elected to follow:</w:t>
      </w:r>
    </w:p>
    <w:p>
      <w:pPr>
        <w:spacing w:after="0" w:line="1" w:lineRule="exact"/>
        <w:rPr>
          <w:sz w:val="24"/>
          <w:szCs w:val="24"/>
          <w:color w:val="auto"/>
        </w:rPr>
      </w:pPr>
    </w:p>
    <w:p>
      <w:pPr>
        <w:ind w:left="4540"/>
        <w:spacing w:after="0"/>
        <w:rPr>
          <w:sz w:val="20"/>
          <w:szCs w:val="20"/>
          <w:color w:val="auto"/>
        </w:rPr>
      </w:pPr>
      <w:r>
        <w:rPr>
          <w:rFonts w:ascii="Arial" w:cs="Arial" w:eastAsia="Arial" w:hAnsi="Arial"/>
          <w:sz w:val="18"/>
          <w:szCs w:val="18"/>
          <w:b w:val="1"/>
          <w:bCs w:val="1"/>
          <w:color w:val="auto"/>
        </w:rPr>
        <w:t xml:space="preserve">Item 17 </w:t>
      </w:r>
      <w:r>
        <w:rPr>
          <w:sz w:val="1"/>
          <w:szCs w:val="1"/>
          <w:color w:val="auto"/>
        </w:rPr>
        <w:drawing>
          <wp:inline distT="0" distB="0" distL="0" distR="0">
            <wp:extent cx="146050" cy="1543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050" cy="154305"/>
                    </a:xfrm>
                    <a:prstGeom prst="rect">
                      <a:avLst/>
                    </a:prstGeom>
                    <a:noFill/>
                    <a:ln>
                      <a:noFill/>
                    </a:ln>
                  </pic:spPr>
                </pic:pic>
              </a:graphicData>
            </a:graphic>
          </wp:inline>
        </w:drawing>
      </w:r>
      <w:r>
        <w:rPr>
          <w:rFonts w:ascii="Arial" w:cs="Arial" w:eastAsia="Arial" w:hAnsi="Arial"/>
          <w:sz w:val="18"/>
          <w:szCs w:val="18"/>
          <w:b w:val="1"/>
          <w:bCs w:val="1"/>
          <w:color w:val="auto"/>
        </w:rPr>
        <w:t xml:space="preserve">     Item 18 </w:t>
      </w:r>
      <w:r>
        <w:rPr>
          <w:sz w:val="1"/>
          <w:szCs w:val="1"/>
          <w:color w:val="auto"/>
        </w:rPr>
        <w:drawing>
          <wp:inline distT="0" distB="0" distL="0" distR="0">
            <wp:extent cx="137160" cy="1371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11060" w:type="dxa"/>
            <w:vAlign w:val="bottom"/>
            <w:gridSpan w:val="31"/>
          </w:tcPr>
          <w:p>
            <w:pPr>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5"/>
        </w:trPr>
        <w:tc>
          <w:tcPr>
            <w:tcW w:w="4020" w:type="dxa"/>
            <w:vAlign w:val="bottom"/>
            <w:tcBorders>
              <w:bottom w:val="single" w:sz="8" w:color="0000EE"/>
            </w:tcBorders>
            <w:gridSpan w:val="14"/>
          </w:tcPr>
          <w:p>
            <w:pPr>
              <w:spacing w:after="0" w:line="205" w:lineRule="exact"/>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PRESENTATION OF FINANCIAL INFORMATION</w:t>
              </w:r>
            </w:hyperlink>
          </w:p>
        </w:tc>
        <w:tc>
          <w:tcPr>
            <w:tcW w:w="7040" w:type="dxa"/>
            <w:vAlign w:val="bottom"/>
            <w:gridSpan w:val="17"/>
          </w:tcPr>
          <w:p>
            <w:pPr>
              <w:spacing w:after="0"/>
              <w:rPr>
                <w:sz w:val="17"/>
                <w:szCs w:val="17"/>
                <w:color w:val="auto"/>
              </w:rPr>
            </w:pPr>
          </w:p>
        </w:tc>
        <w:tc>
          <w:tcPr>
            <w:tcW w:w="160" w:type="dxa"/>
            <w:vAlign w:val="bottom"/>
            <w:gridSpan w:val="2"/>
          </w:tcPr>
          <w:p>
            <w:pPr>
              <w:spacing w:after="0"/>
              <w:rPr>
                <w:sz w:val="17"/>
                <w:szCs w:val="17"/>
                <w:color w:val="auto"/>
              </w:rPr>
            </w:pPr>
          </w:p>
        </w:tc>
        <w:tc>
          <w:tcPr>
            <w:tcW w:w="80" w:type="dxa"/>
            <w:vAlign w:val="bottom"/>
            <w:tcBorders>
              <w:bottom w:val="single" w:sz="8" w:color="0000EE"/>
            </w:tcBorders>
          </w:tcPr>
          <w:p>
            <w:pPr>
              <w:jc w:val="right"/>
              <w:spacing w:after="0"/>
              <w:rPr>
                <w:rFonts w:ascii="Arial" w:cs="Arial" w:eastAsia="Arial" w:hAnsi="Arial"/>
                <w:sz w:val="15"/>
                <w:szCs w:val="15"/>
                <w:b w:val="1"/>
                <w:bCs w:val="1"/>
                <w:color w:val="0000EE"/>
                <w:w w:val="71"/>
              </w:rPr>
            </w:pPr>
            <w:hyperlink w:anchor="page3">
              <w:r>
                <w:rPr>
                  <w:rFonts w:ascii="Arial" w:cs="Arial" w:eastAsia="Arial" w:hAnsi="Arial"/>
                  <w:sz w:val="15"/>
                  <w:szCs w:val="15"/>
                  <w:b w:val="1"/>
                  <w:bCs w:val="1"/>
                  <w:color w:val="0000EE"/>
                  <w:w w:val="71"/>
                </w:rPr>
                <w:t>2</w:t>
              </w:r>
            </w:hyperlink>
          </w:p>
        </w:tc>
      </w:tr>
      <w:tr>
        <w:trPr>
          <w:trHeight w:val="223"/>
        </w:trPr>
        <w:tc>
          <w:tcPr>
            <w:tcW w:w="11060" w:type="dxa"/>
            <w:vAlign w:val="bottom"/>
            <w:gridSpan w:val="31"/>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CAUTIONARY STATEMENT WITH RESPECT TO FORWARD-LOOKING STATEMENTS</w:t>
              </w:r>
            </w:hyperlink>
          </w:p>
        </w:tc>
        <w:tc>
          <w:tcPr>
            <w:tcW w:w="240" w:type="dxa"/>
            <w:vAlign w:val="bottom"/>
            <w:gridSpan w:val="3"/>
          </w:tcPr>
          <w:p>
            <w:pPr>
              <w:jc w:val="right"/>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3</w:t>
              </w:r>
            </w:hyperlink>
          </w:p>
        </w:tc>
      </w:tr>
      <w:tr>
        <w:trPr>
          <w:trHeight w:val="316"/>
        </w:trPr>
        <w:tc>
          <w:tcPr>
            <w:tcW w:w="1160" w:type="dxa"/>
            <w:vAlign w:val="bottom"/>
            <w:tcBorders>
              <w:top w:val="single" w:sz="8" w:color="0000EE"/>
            </w:tcBorders>
            <w:gridSpan w:val="6"/>
          </w:tcPr>
          <w:p>
            <w:pPr>
              <w:spacing w:after="0"/>
              <w:rPr>
                <w:sz w:val="20"/>
                <w:szCs w:val="20"/>
                <w:color w:val="auto"/>
              </w:rPr>
            </w:pPr>
            <w:r>
              <w:rPr>
                <w:rFonts w:ascii="Arial" w:cs="Arial" w:eastAsia="Arial" w:hAnsi="Arial"/>
                <w:sz w:val="18"/>
                <w:szCs w:val="18"/>
                <w:b w:val="1"/>
                <w:bCs w:val="1"/>
                <w:color w:val="auto"/>
              </w:rPr>
              <w:t>PART I</w:t>
            </w:r>
          </w:p>
        </w:tc>
        <w:tc>
          <w:tcPr>
            <w:tcW w:w="84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259"/>
        </w:trPr>
        <w:tc>
          <w:tcPr>
            <w:tcW w:w="720" w:type="dxa"/>
            <w:vAlign w:val="bottom"/>
            <w:gridSpan w:val="2"/>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ITEM 1.</w:t>
              </w:r>
            </w:hyperlink>
          </w:p>
        </w:tc>
        <w:tc>
          <w:tcPr>
            <w:tcW w:w="440" w:type="dxa"/>
            <w:vAlign w:val="bottom"/>
            <w:gridSpan w:val="4"/>
          </w:tcPr>
          <w:p>
            <w:pPr>
              <w:spacing w:after="0"/>
              <w:rPr>
                <w:sz w:val="22"/>
                <w:szCs w:val="22"/>
                <w:color w:val="auto"/>
              </w:rPr>
            </w:pPr>
          </w:p>
        </w:tc>
        <w:tc>
          <w:tcPr>
            <w:tcW w:w="9900" w:type="dxa"/>
            <w:vAlign w:val="bottom"/>
            <w:gridSpan w:val="25"/>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IDENTITY OF DIRECTORS, SENIOR MANAGEMENT AND ADVISERS</w:t>
              </w:r>
            </w:hyperlink>
          </w:p>
        </w:tc>
        <w:tc>
          <w:tcPr>
            <w:tcW w:w="240" w:type="dxa"/>
            <w:vAlign w:val="bottom"/>
            <w:gridSpan w:val="3"/>
          </w:tcPr>
          <w:p>
            <w:pPr>
              <w:jc w:val="right"/>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4</w:t>
              </w:r>
            </w:hyperlink>
          </w:p>
        </w:tc>
      </w:tr>
      <w:tr>
        <w:trPr>
          <w:trHeight w:val="223"/>
        </w:trPr>
        <w:tc>
          <w:tcPr>
            <w:tcW w:w="640" w:type="dxa"/>
            <w:vAlign w:val="bottom"/>
            <w:tcBorders>
              <w:top w:val="single" w:sz="8" w:color="0000EE"/>
            </w:tcBorders>
          </w:tcPr>
          <w:p>
            <w:pPr>
              <w:spacing w:after="0"/>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ITEM 2.</w:t>
              </w:r>
            </w:hyperlink>
          </w:p>
        </w:tc>
        <w:tc>
          <w:tcPr>
            <w:tcW w:w="80" w:type="dxa"/>
            <w:vAlign w:val="bottom"/>
            <w:tcBorders>
              <w:top w:val="single" w:sz="8" w:color="0000EE"/>
            </w:tcBorders>
          </w:tcPr>
          <w:p>
            <w:pPr>
              <w:spacing w:after="0"/>
              <w:rPr>
                <w:sz w:val="19"/>
                <w:szCs w:val="19"/>
                <w:color w:val="auto"/>
              </w:rPr>
            </w:pPr>
          </w:p>
        </w:tc>
        <w:tc>
          <w:tcPr>
            <w:tcW w:w="440" w:type="dxa"/>
            <w:vAlign w:val="bottom"/>
            <w:gridSpan w:val="4"/>
          </w:tcPr>
          <w:p>
            <w:pPr>
              <w:spacing w:after="0"/>
              <w:rPr>
                <w:sz w:val="19"/>
                <w:szCs w:val="19"/>
                <w:color w:val="auto"/>
              </w:rPr>
            </w:pPr>
          </w:p>
        </w:tc>
        <w:tc>
          <w:tcPr>
            <w:tcW w:w="5720" w:type="dxa"/>
            <w:vAlign w:val="bottom"/>
            <w:tcBorders>
              <w:top w:val="single" w:sz="8" w:color="0000EE"/>
            </w:tcBorders>
            <w:gridSpan w:val="19"/>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OFFER STATISTICS AND EXPECTED TIMETABLE</w:t>
              </w:r>
            </w:hyperlink>
          </w:p>
        </w:tc>
        <w:tc>
          <w:tcPr>
            <w:tcW w:w="4180" w:type="dxa"/>
            <w:vAlign w:val="bottom"/>
            <w:gridSpan w:val="6"/>
          </w:tcPr>
          <w:p>
            <w:pPr>
              <w:spacing w:after="0"/>
              <w:rPr>
                <w:sz w:val="19"/>
                <w:szCs w:val="19"/>
                <w:color w:val="auto"/>
              </w:rPr>
            </w:pPr>
          </w:p>
        </w:tc>
        <w:tc>
          <w:tcPr>
            <w:tcW w:w="240" w:type="dxa"/>
            <w:vAlign w:val="bottom"/>
            <w:gridSpan w:val="3"/>
          </w:tcPr>
          <w:p>
            <w:pPr>
              <w:jc w:val="right"/>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4</w:t>
              </w:r>
            </w:hyperlink>
          </w:p>
        </w:tc>
      </w:tr>
      <w:tr>
        <w:trPr>
          <w:trHeight w:val="223"/>
        </w:trPr>
        <w:tc>
          <w:tcPr>
            <w:tcW w:w="640" w:type="dxa"/>
            <w:vAlign w:val="bottom"/>
            <w:tcBorders>
              <w:top w:val="single" w:sz="8" w:color="0000EE"/>
              <w:bottom w:val="single" w:sz="8" w:color="0000EE"/>
            </w:tcBorders>
          </w:tcPr>
          <w:p>
            <w:pPr>
              <w:spacing w:after="0"/>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ITEM 3.</w:t>
              </w:r>
            </w:hyperlink>
          </w:p>
        </w:tc>
        <w:tc>
          <w:tcPr>
            <w:tcW w:w="520" w:type="dxa"/>
            <w:vAlign w:val="bottom"/>
            <w:gridSpan w:val="5"/>
          </w:tcPr>
          <w:p>
            <w:pPr>
              <w:spacing w:after="0"/>
              <w:rPr>
                <w:sz w:val="19"/>
                <w:szCs w:val="19"/>
                <w:color w:val="auto"/>
              </w:rPr>
            </w:pPr>
          </w:p>
        </w:tc>
        <w:tc>
          <w:tcPr>
            <w:tcW w:w="1720" w:type="dxa"/>
            <w:vAlign w:val="bottom"/>
            <w:tcBorders>
              <w:top w:val="single" w:sz="8" w:color="0000EE"/>
              <w:bottom w:val="single" w:sz="8" w:color="0000EE"/>
            </w:tcBorders>
            <w:gridSpan w:val="3"/>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KEY INFORMATION</w:t>
              </w:r>
            </w:hyperlink>
          </w:p>
        </w:tc>
        <w:tc>
          <w:tcPr>
            <w:tcW w:w="2440" w:type="dxa"/>
            <w:vAlign w:val="bottom"/>
            <w:tcBorders>
              <w:top w:val="single" w:sz="8" w:color="0000EE"/>
            </w:tcBorders>
            <w:gridSpan w:val="10"/>
          </w:tcPr>
          <w:p>
            <w:pPr>
              <w:spacing w:after="0"/>
              <w:rPr>
                <w:sz w:val="19"/>
                <w:szCs w:val="19"/>
                <w:color w:val="auto"/>
              </w:rPr>
            </w:pPr>
          </w:p>
        </w:tc>
        <w:tc>
          <w:tcPr>
            <w:tcW w:w="5740" w:type="dxa"/>
            <w:vAlign w:val="bottom"/>
            <w:gridSpan w:val="12"/>
          </w:tcPr>
          <w:p>
            <w:pPr>
              <w:spacing w:after="0"/>
              <w:rPr>
                <w:sz w:val="19"/>
                <w:szCs w:val="19"/>
                <w:color w:val="auto"/>
              </w:rPr>
            </w:pPr>
          </w:p>
        </w:tc>
        <w:tc>
          <w:tcPr>
            <w:tcW w:w="160" w:type="dxa"/>
            <w:vAlign w:val="bottom"/>
            <w:gridSpan w:val="2"/>
          </w:tcPr>
          <w:p>
            <w:pPr>
              <w:spacing w:after="0"/>
              <w:rPr>
                <w:sz w:val="19"/>
                <w:szCs w:val="19"/>
                <w:color w:val="auto"/>
              </w:rPr>
            </w:pPr>
          </w:p>
        </w:tc>
        <w:tc>
          <w:tcPr>
            <w:tcW w:w="80" w:type="dxa"/>
            <w:vAlign w:val="bottom"/>
            <w:tcBorders>
              <w:top w:val="single" w:sz="8" w:color="0000EE"/>
              <w:bottom w:val="single" w:sz="8" w:color="0000EE"/>
            </w:tcBorders>
          </w:tcPr>
          <w:p>
            <w:pPr>
              <w:jc w:val="right"/>
              <w:spacing w:after="0"/>
              <w:rPr>
                <w:rFonts w:ascii="Arial" w:cs="Arial" w:eastAsia="Arial" w:hAnsi="Arial"/>
                <w:sz w:val="15"/>
                <w:szCs w:val="15"/>
                <w:b w:val="1"/>
                <w:bCs w:val="1"/>
                <w:color w:val="0000EE"/>
                <w:w w:val="71"/>
              </w:rPr>
            </w:pPr>
            <w:hyperlink w:anchor="page5">
              <w:r>
                <w:rPr>
                  <w:rFonts w:ascii="Arial" w:cs="Arial" w:eastAsia="Arial" w:hAnsi="Arial"/>
                  <w:sz w:val="15"/>
                  <w:szCs w:val="15"/>
                  <w:b w:val="1"/>
                  <w:bCs w:val="1"/>
                  <w:color w:val="0000EE"/>
                  <w:w w:val="71"/>
                </w:rPr>
                <w:t>4</w:t>
              </w:r>
            </w:hyperlink>
          </w:p>
        </w:tc>
      </w:tr>
      <w:tr>
        <w:trPr>
          <w:trHeight w:val="223"/>
        </w:trPr>
        <w:tc>
          <w:tcPr>
            <w:tcW w:w="640" w:type="dxa"/>
            <w:vAlign w:val="bottom"/>
          </w:tcPr>
          <w:p>
            <w:pPr>
              <w:spacing w:after="0"/>
              <w:rPr>
                <w:rFonts w:ascii="Arial" w:cs="Arial" w:eastAsia="Arial" w:hAnsi="Arial"/>
                <w:sz w:val="18"/>
                <w:szCs w:val="18"/>
                <w:b w:val="1"/>
                <w:bCs w:val="1"/>
                <w:color w:val="0000EE"/>
                <w:w w:val="98"/>
              </w:rPr>
            </w:pPr>
            <w:hyperlink w:anchor="page14">
              <w:r>
                <w:rPr>
                  <w:rFonts w:ascii="Arial" w:cs="Arial" w:eastAsia="Arial" w:hAnsi="Arial"/>
                  <w:sz w:val="18"/>
                  <w:szCs w:val="18"/>
                  <w:b w:val="1"/>
                  <w:bCs w:val="1"/>
                  <w:color w:val="0000EE"/>
                  <w:w w:val="98"/>
                </w:rPr>
                <w:t>ITEM 4.</w:t>
              </w:r>
            </w:hyperlink>
          </w:p>
        </w:tc>
        <w:tc>
          <w:tcPr>
            <w:tcW w:w="520" w:type="dxa"/>
            <w:vAlign w:val="bottom"/>
            <w:gridSpan w:val="5"/>
          </w:tcPr>
          <w:p>
            <w:pPr>
              <w:spacing w:after="0"/>
              <w:rPr>
                <w:sz w:val="19"/>
                <w:szCs w:val="19"/>
                <w:color w:val="auto"/>
              </w:rPr>
            </w:pPr>
          </w:p>
        </w:tc>
        <w:tc>
          <w:tcPr>
            <w:tcW w:w="2960" w:type="dxa"/>
            <w:vAlign w:val="bottom"/>
            <w:gridSpan w:val="9"/>
          </w:tcPr>
          <w:p>
            <w:pPr>
              <w:spacing w:after="0"/>
              <w:rPr>
                <w:rFonts w:ascii="Arial" w:cs="Arial" w:eastAsia="Arial" w:hAnsi="Arial"/>
                <w:sz w:val="18"/>
                <w:szCs w:val="18"/>
                <w:b w:val="1"/>
                <w:bCs w:val="1"/>
                <w:color w:val="0000EE"/>
                <w:w w:val="98"/>
              </w:rPr>
            </w:pPr>
            <w:hyperlink w:anchor="page14">
              <w:r>
                <w:rPr>
                  <w:rFonts w:ascii="Arial" w:cs="Arial" w:eastAsia="Arial" w:hAnsi="Arial"/>
                  <w:sz w:val="18"/>
                  <w:szCs w:val="18"/>
                  <w:b w:val="1"/>
                  <w:bCs w:val="1"/>
                  <w:color w:val="0000EE"/>
                  <w:w w:val="98"/>
                </w:rPr>
                <w:t>INFORMATION ON THE COMPANY</w:t>
              </w:r>
            </w:hyperlink>
          </w:p>
        </w:tc>
        <w:tc>
          <w:tcPr>
            <w:tcW w:w="6940" w:type="dxa"/>
            <w:vAlign w:val="bottom"/>
            <w:gridSpan w:val="16"/>
          </w:tcPr>
          <w:p>
            <w:pPr>
              <w:spacing w:after="0"/>
              <w:rPr>
                <w:sz w:val="19"/>
                <w:szCs w:val="19"/>
                <w:color w:val="auto"/>
              </w:rPr>
            </w:pPr>
          </w:p>
        </w:tc>
        <w:tc>
          <w:tcPr>
            <w:tcW w:w="240" w:type="dxa"/>
            <w:vAlign w:val="bottom"/>
            <w:gridSpan w:val="3"/>
          </w:tcPr>
          <w:p>
            <w:pPr>
              <w:jc w:val="right"/>
              <w:spacing w:after="0"/>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12</w:t>
              </w:r>
            </w:hyperlink>
          </w:p>
        </w:tc>
      </w:tr>
      <w:tr>
        <w:trPr>
          <w:trHeight w:val="20"/>
        </w:trPr>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23"/>
        </w:trPr>
        <w:tc>
          <w:tcPr>
            <w:tcW w:w="640" w:type="dxa"/>
            <w:vAlign w:val="bottom"/>
          </w:tcPr>
          <w:p>
            <w:pPr>
              <w:spacing w:after="0"/>
              <w:rPr>
                <w:rFonts w:ascii="Arial" w:cs="Arial" w:eastAsia="Arial" w:hAnsi="Arial"/>
                <w:sz w:val="18"/>
                <w:szCs w:val="18"/>
                <w:b w:val="1"/>
                <w:bCs w:val="1"/>
                <w:color w:val="0000EE"/>
                <w:w w:val="98"/>
              </w:rPr>
            </w:pPr>
            <w:hyperlink w:anchor="page82">
              <w:r>
                <w:rPr>
                  <w:rFonts w:ascii="Arial" w:cs="Arial" w:eastAsia="Arial" w:hAnsi="Arial"/>
                  <w:sz w:val="18"/>
                  <w:szCs w:val="18"/>
                  <w:b w:val="1"/>
                  <w:bCs w:val="1"/>
                  <w:color w:val="0000EE"/>
                  <w:w w:val="98"/>
                </w:rPr>
                <w:t>ITEM 5.</w:t>
              </w:r>
            </w:hyperlink>
          </w:p>
        </w:tc>
        <w:tc>
          <w:tcPr>
            <w:tcW w:w="520" w:type="dxa"/>
            <w:vAlign w:val="bottom"/>
            <w:gridSpan w:val="5"/>
          </w:tcPr>
          <w:p>
            <w:pPr>
              <w:spacing w:after="0"/>
              <w:rPr>
                <w:sz w:val="19"/>
                <w:szCs w:val="19"/>
                <w:color w:val="auto"/>
              </w:rPr>
            </w:pPr>
          </w:p>
        </w:tc>
        <w:tc>
          <w:tcPr>
            <w:tcW w:w="9900" w:type="dxa"/>
            <w:vAlign w:val="bottom"/>
            <w:gridSpan w:val="25"/>
          </w:tcPr>
          <w:p>
            <w:pPr>
              <w:spacing w:after="0"/>
              <w:rPr>
                <w:rFonts w:ascii="Arial" w:cs="Arial" w:eastAsia="Arial" w:hAnsi="Arial"/>
                <w:sz w:val="18"/>
                <w:szCs w:val="18"/>
                <w:b w:val="1"/>
                <w:bCs w:val="1"/>
                <w:color w:val="0000EE"/>
              </w:rPr>
            </w:pPr>
            <w:hyperlink w:anchor="page82">
              <w:r>
                <w:rPr>
                  <w:rFonts w:ascii="Arial" w:cs="Arial" w:eastAsia="Arial" w:hAnsi="Arial"/>
                  <w:sz w:val="18"/>
                  <w:szCs w:val="18"/>
                  <w:b w:val="1"/>
                  <w:bCs w:val="1"/>
                  <w:color w:val="0000EE"/>
                </w:rPr>
                <w:t>OPERATING AND FINANCIAL REVIEW AND PROSPECTS</w:t>
              </w:r>
            </w:hyperlink>
          </w:p>
        </w:tc>
        <w:tc>
          <w:tcPr>
            <w:tcW w:w="240" w:type="dxa"/>
            <w:vAlign w:val="bottom"/>
            <w:gridSpan w:val="3"/>
          </w:tcPr>
          <w:p>
            <w:pPr>
              <w:jc w:val="right"/>
              <w:spacing w:after="0"/>
              <w:rPr>
                <w:rFonts w:ascii="Arial" w:cs="Arial" w:eastAsia="Arial" w:hAnsi="Arial"/>
                <w:sz w:val="18"/>
                <w:szCs w:val="18"/>
                <w:b w:val="1"/>
                <w:bCs w:val="1"/>
                <w:color w:val="0000EE"/>
              </w:rPr>
            </w:pPr>
            <w:hyperlink w:anchor="page82">
              <w:r>
                <w:rPr>
                  <w:rFonts w:ascii="Arial" w:cs="Arial" w:eastAsia="Arial" w:hAnsi="Arial"/>
                  <w:sz w:val="18"/>
                  <w:szCs w:val="18"/>
                  <w:b w:val="1"/>
                  <w:bCs w:val="1"/>
                  <w:color w:val="0000EE"/>
                </w:rPr>
                <w:t>79</w:t>
              </w:r>
            </w:hyperlink>
          </w:p>
        </w:tc>
      </w:tr>
      <w:tr>
        <w:trPr>
          <w:trHeight w:val="20"/>
        </w:trPr>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23"/>
        </w:trPr>
        <w:tc>
          <w:tcPr>
            <w:tcW w:w="640" w:type="dxa"/>
            <w:vAlign w:val="bottom"/>
          </w:tcPr>
          <w:p>
            <w:pPr>
              <w:spacing w:after="0"/>
              <w:rPr>
                <w:rFonts w:ascii="Arial" w:cs="Arial" w:eastAsia="Arial" w:hAnsi="Arial"/>
                <w:sz w:val="18"/>
                <w:szCs w:val="18"/>
                <w:b w:val="1"/>
                <w:bCs w:val="1"/>
                <w:color w:val="0000EE"/>
                <w:w w:val="98"/>
              </w:rPr>
            </w:pPr>
            <w:hyperlink w:anchor="page100">
              <w:r>
                <w:rPr>
                  <w:rFonts w:ascii="Arial" w:cs="Arial" w:eastAsia="Arial" w:hAnsi="Arial"/>
                  <w:sz w:val="18"/>
                  <w:szCs w:val="18"/>
                  <w:b w:val="1"/>
                  <w:bCs w:val="1"/>
                  <w:color w:val="0000EE"/>
                  <w:w w:val="98"/>
                </w:rPr>
                <w:t>ITEM 6.</w:t>
              </w:r>
            </w:hyperlink>
          </w:p>
        </w:tc>
        <w:tc>
          <w:tcPr>
            <w:tcW w:w="520" w:type="dxa"/>
            <w:vAlign w:val="bottom"/>
            <w:gridSpan w:val="5"/>
          </w:tcPr>
          <w:p>
            <w:pPr>
              <w:spacing w:after="0"/>
              <w:rPr>
                <w:sz w:val="19"/>
                <w:szCs w:val="19"/>
                <w:color w:val="auto"/>
              </w:rPr>
            </w:pPr>
          </w:p>
        </w:tc>
        <w:tc>
          <w:tcPr>
            <w:tcW w:w="4740" w:type="dxa"/>
            <w:vAlign w:val="bottom"/>
            <w:gridSpan w:val="14"/>
          </w:tcPr>
          <w:p>
            <w:pPr>
              <w:spacing w:after="0"/>
              <w:rPr>
                <w:rFonts w:ascii="Arial" w:cs="Arial" w:eastAsia="Arial" w:hAnsi="Arial"/>
                <w:sz w:val="18"/>
                <w:szCs w:val="18"/>
                <w:b w:val="1"/>
                <w:bCs w:val="1"/>
                <w:color w:val="0000EE"/>
                <w:w w:val="97"/>
              </w:rPr>
            </w:pPr>
            <w:hyperlink w:anchor="page100">
              <w:r>
                <w:rPr>
                  <w:rFonts w:ascii="Arial" w:cs="Arial" w:eastAsia="Arial" w:hAnsi="Arial"/>
                  <w:sz w:val="18"/>
                  <w:szCs w:val="18"/>
                  <w:b w:val="1"/>
                  <w:bCs w:val="1"/>
                  <w:color w:val="0000EE"/>
                  <w:w w:val="97"/>
                </w:rPr>
                <w:t>DIRECTORS, SENIOR MANAGEMENT AND EMPLOYEES</w:t>
              </w:r>
            </w:hyperlink>
          </w:p>
        </w:tc>
        <w:tc>
          <w:tcPr>
            <w:tcW w:w="40" w:type="dxa"/>
            <w:vAlign w:val="bottom"/>
          </w:tcPr>
          <w:p>
            <w:pPr>
              <w:spacing w:after="0"/>
              <w:rPr>
                <w:sz w:val="19"/>
                <w:szCs w:val="19"/>
                <w:color w:val="auto"/>
              </w:rPr>
            </w:pPr>
          </w:p>
        </w:tc>
        <w:tc>
          <w:tcPr>
            <w:tcW w:w="5120" w:type="dxa"/>
            <w:vAlign w:val="bottom"/>
            <w:gridSpan w:val="10"/>
          </w:tcPr>
          <w:p>
            <w:pPr>
              <w:spacing w:after="0"/>
              <w:rPr>
                <w:sz w:val="19"/>
                <w:szCs w:val="19"/>
                <w:color w:val="auto"/>
              </w:rPr>
            </w:pPr>
          </w:p>
        </w:tc>
        <w:tc>
          <w:tcPr>
            <w:tcW w:w="240" w:type="dxa"/>
            <w:vAlign w:val="bottom"/>
            <w:gridSpan w:val="3"/>
          </w:tcPr>
          <w:p>
            <w:pPr>
              <w:jc w:val="right"/>
              <w:spacing w:after="0"/>
              <w:rPr>
                <w:rFonts w:ascii="Arial" w:cs="Arial" w:eastAsia="Arial" w:hAnsi="Arial"/>
                <w:sz w:val="18"/>
                <w:szCs w:val="18"/>
                <w:b w:val="1"/>
                <w:bCs w:val="1"/>
                <w:color w:val="0000EE"/>
              </w:rPr>
            </w:pPr>
            <w:hyperlink w:anchor="page100">
              <w:r>
                <w:rPr>
                  <w:rFonts w:ascii="Arial" w:cs="Arial" w:eastAsia="Arial" w:hAnsi="Arial"/>
                  <w:sz w:val="18"/>
                  <w:szCs w:val="18"/>
                  <w:b w:val="1"/>
                  <w:bCs w:val="1"/>
                  <w:color w:val="0000EE"/>
                </w:rPr>
                <w:t>97</w:t>
              </w:r>
            </w:hyperlink>
          </w:p>
        </w:tc>
      </w:tr>
      <w:tr>
        <w:trPr>
          <w:trHeight w:val="20"/>
        </w:trPr>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23"/>
        </w:trPr>
        <w:tc>
          <w:tcPr>
            <w:tcW w:w="640" w:type="dxa"/>
            <w:vAlign w:val="bottom"/>
            <w:tcBorders>
              <w:bottom w:val="single" w:sz="8" w:color="0000EE"/>
            </w:tcBorders>
          </w:tcPr>
          <w:p>
            <w:pPr>
              <w:spacing w:after="0"/>
              <w:rPr>
                <w:rFonts w:ascii="Arial" w:cs="Arial" w:eastAsia="Arial" w:hAnsi="Arial"/>
                <w:sz w:val="18"/>
                <w:szCs w:val="18"/>
                <w:b w:val="1"/>
                <w:bCs w:val="1"/>
                <w:color w:val="0000EE"/>
                <w:w w:val="98"/>
              </w:rPr>
            </w:pPr>
            <w:hyperlink w:anchor="page104">
              <w:r>
                <w:rPr>
                  <w:rFonts w:ascii="Arial" w:cs="Arial" w:eastAsia="Arial" w:hAnsi="Arial"/>
                  <w:sz w:val="18"/>
                  <w:szCs w:val="18"/>
                  <w:b w:val="1"/>
                  <w:bCs w:val="1"/>
                  <w:color w:val="0000EE"/>
                  <w:w w:val="98"/>
                </w:rPr>
                <w:t>ITEM 7.</w:t>
              </w:r>
            </w:hyperlink>
          </w:p>
        </w:tc>
        <w:tc>
          <w:tcPr>
            <w:tcW w:w="520" w:type="dxa"/>
            <w:vAlign w:val="bottom"/>
            <w:gridSpan w:val="5"/>
          </w:tcPr>
          <w:p>
            <w:pPr>
              <w:spacing w:after="0"/>
              <w:rPr>
                <w:sz w:val="19"/>
                <w:szCs w:val="19"/>
                <w:color w:val="auto"/>
              </w:rPr>
            </w:pPr>
          </w:p>
        </w:tc>
        <w:tc>
          <w:tcPr>
            <w:tcW w:w="5520" w:type="dxa"/>
            <w:vAlign w:val="bottom"/>
            <w:tcBorders>
              <w:bottom w:val="single" w:sz="8" w:color="0000EE"/>
            </w:tcBorders>
            <w:gridSpan w:val="17"/>
          </w:tcPr>
          <w:p>
            <w:pPr>
              <w:spacing w:after="0"/>
              <w:rPr>
                <w:rFonts w:ascii="Arial" w:cs="Arial" w:eastAsia="Arial" w:hAnsi="Arial"/>
                <w:sz w:val="18"/>
                <w:szCs w:val="18"/>
                <w:b w:val="1"/>
                <w:bCs w:val="1"/>
                <w:color w:val="0000EE"/>
                <w:w w:val="96"/>
              </w:rPr>
            </w:pPr>
            <w:hyperlink w:anchor="page104">
              <w:r>
                <w:rPr>
                  <w:rFonts w:ascii="Arial" w:cs="Arial" w:eastAsia="Arial" w:hAnsi="Arial"/>
                  <w:sz w:val="18"/>
                  <w:szCs w:val="18"/>
                  <w:b w:val="1"/>
                  <w:bCs w:val="1"/>
                  <w:color w:val="0000EE"/>
                  <w:w w:val="96"/>
                </w:rPr>
                <w:t>MAJOR SHAREHOLDERS AND RELATED PARTY TRANSACTIONS</w:t>
              </w:r>
            </w:hyperlink>
          </w:p>
        </w:tc>
        <w:tc>
          <w:tcPr>
            <w:tcW w:w="4380" w:type="dxa"/>
            <w:vAlign w:val="bottom"/>
            <w:gridSpan w:val="8"/>
          </w:tcPr>
          <w:p>
            <w:pPr>
              <w:spacing w:after="0"/>
              <w:rPr>
                <w:sz w:val="19"/>
                <w:szCs w:val="19"/>
                <w:color w:val="auto"/>
              </w:rPr>
            </w:pPr>
          </w:p>
        </w:tc>
        <w:tc>
          <w:tcPr>
            <w:tcW w:w="240" w:type="dxa"/>
            <w:vAlign w:val="bottom"/>
            <w:tcBorders>
              <w:bottom w:val="single" w:sz="8" w:color="0000EE"/>
            </w:tcBorders>
            <w:gridSpan w:val="3"/>
          </w:tcPr>
          <w:p>
            <w:pPr>
              <w:jc w:val="right"/>
              <w:spacing w:after="0"/>
              <w:rPr>
                <w:rFonts w:ascii="Arial" w:cs="Arial" w:eastAsia="Arial" w:hAnsi="Arial"/>
                <w:sz w:val="18"/>
                <w:szCs w:val="18"/>
                <w:b w:val="1"/>
                <w:bCs w:val="1"/>
                <w:color w:val="0000EE"/>
                <w:w w:val="73"/>
              </w:rPr>
            </w:pPr>
            <w:hyperlink w:anchor="page104">
              <w:r>
                <w:rPr>
                  <w:rFonts w:ascii="Arial" w:cs="Arial" w:eastAsia="Arial" w:hAnsi="Arial"/>
                  <w:sz w:val="18"/>
                  <w:szCs w:val="18"/>
                  <w:b w:val="1"/>
                  <w:bCs w:val="1"/>
                  <w:color w:val="0000EE"/>
                  <w:w w:val="73"/>
                </w:rPr>
                <w:t>101</w:t>
              </w:r>
            </w:hyperlink>
          </w:p>
        </w:tc>
      </w:tr>
      <w:tr>
        <w:trPr>
          <w:trHeight w:val="223"/>
        </w:trPr>
        <w:tc>
          <w:tcPr>
            <w:tcW w:w="640" w:type="dxa"/>
            <w:vAlign w:val="bottom"/>
          </w:tcPr>
          <w:p>
            <w:pPr>
              <w:spacing w:after="0"/>
              <w:rPr>
                <w:rFonts w:ascii="Arial" w:cs="Arial" w:eastAsia="Arial" w:hAnsi="Arial"/>
                <w:sz w:val="18"/>
                <w:szCs w:val="18"/>
                <w:b w:val="1"/>
                <w:bCs w:val="1"/>
                <w:color w:val="0000EE"/>
                <w:w w:val="98"/>
              </w:rPr>
            </w:pPr>
            <w:hyperlink w:anchor="page107">
              <w:r>
                <w:rPr>
                  <w:rFonts w:ascii="Arial" w:cs="Arial" w:eastAsia="Arial" w:hAnsi="Arial"/>
                  <w:sz w:val="18"/>
                  <w:szCs w:val="18"/>
                  <w:b w:val="1"/>
                  <w:bCs w:val="1"/>
                  <w:color w:val="0000EE"/>
                  <w:w w:val="98"/>
                </w:rPr>
                <w:t>ITEM 8.</w:t>
              </w:r>
            </w:hyperlink>
          </w:p>
        </w:tc>
        <w:tc>
          <w:tcPr>
            <w:tcW w:w="520" w:type="dxa"/>
            <w:vAlign w:val="bottom"/>
            <w:gridSpan w:val="5"/>
          </w:tcPr>
          <w:p>
            <w:pPr>
              <w:spacing w:after="0"/>
              <w:rPr>
                <w:sz w:val="19"/>
                <w:szCs w:val="19"/>
                <w:color w:val="auto"/>
              </w:rPr>
            </w:pPr>
          </w:p>
        </w:tc>
        <w:tc>
          <w:tcPr>
            <w:tcW w:w="9900" w:type="dxa"/>
            <w:vAlign w:val="bottom"/>
            <w:gridSpan w:val="25"/>
          </w:tcPr>
          <w:p>
            <w:pPr>
              <w:spacing w:after="0"/>
              <w:rPr>
                <w:rFonts w:ascii="Arial" w:cs="Arial" w:eastAsia="Arial" w:hAnsi="Arial"/>
                <w:sz w:val="18"/>
                <w:szCs w:val="18"/>
                <w:b w:val="1"/>
                <w:bCs w:val="1"/>
                <w:color w:val="0000EE"/>
              </w:rPr>
            </w:pPr>
            <w:hyperlink w:anchor="page107">
              <w:r>
                <w:rPr>
                  <w:rFonts w:ascii="Arial" w:cs="Arial" w:eastAsia="Arial" w:hAnsi="Arial"/>
                  <w:sz w:val="18"/>
                  <w:szCs w:val="18"/>
                  <w:b w:val="1"/>
                  <w:bCs w:val="1"/>
                  <w:color w:val="0000EE"/>
                </w:rPr>
                <w:t>FINANCIAL INFORMATION</w:t>
              </w:r>
            </w:hyperlink>
          </w:p>
        </w:tc>
        <w:tc>
          <w:tcPr>
            <w:tcW w:w="240" w:type="dxa"/>
            <w:vAlign w:val="bottom"/>
            <w:gridSpan w:val="3"/>
          </w:tcPr>
          <w:p>
            <w:pPr>
              <w:jc w:val="right"/>
              <w:spacing w:after="0"/>
              <w:rPr>
                <w:rFonts w:ascii="Arial" w:cs="Arial" w:eastAsia="Arial" w:hAnsi="Arial"/>
                <w:sz w:val="18"/>
                <w:szCs w:val="18"/>
                <w:b w:val="1"/>
                <w:bCs w:val="1"/>
                <w:color w:val="0000EE"/>
                <w:w w:val="73"/>
              </w:rPr>
            </w:pPr>
            <w:hyperlink w:anchor="page107">
              <w:r>
                <w:rPr>
                  <w:rFonts w:ascii="Arial" w:cs="Arial" w:eastAsia="Arial" w:hAnsi="Arial"/>
                  <w:sz w:val="18"/>
                  <w:szCs w:val="18"/>
                  <w:b w:val="1"/>
                  <w:bCs w:val="1"/>
                  <w:color w:val="0000EE"/>
                  <w:w w:val="73"/>
                </w:rPr>
                <w:t>104</w:t>
              </w:r>
            </w:hyperlink>
          </w:p>
        </w:tc>
      </w:tr>
      <w:tr>
        <w:trPr>
          <w:trHeight w:val="223"/>
        </w:trPr>
        <w:tc>
          <w:tcPr>
            <w:tcW w:w="640" w:type="dxa"/>
            <w:vAlign w:val="bottom"/>
            <w:tcBorders>
              <w:top w:val="single" w:sz="8" w:color="0000EE"/>
            </w:tcBorders>
          </w:tcPr>
          <w:p>
            <w:pPr>
              <w:spacing w:after="0"/>
              <w:rPr>
                <w:rFonts w:ascii="Arial" w:cs="Arial" w:eastAsia="Arial" w:hAnsi="Arial"/>
                <w:sz w:val="18"/>
                <w:szCs w:val="18"/>
                <w:b w:val="1"/>
                <w:bCs w:val="1"/>
                <w:color w:val="0000EE"/>
                <w:w w:val="98"/>
              </w:rPr>
            </w:pPr>
            <w:hyperlink w:anchor="page108">
              <w:r>
                <w:rPr>
                  <w:rFonts w:ascii="Arial" w:cs="Arial" w:eastAsia="Arial" w:hAnsi="Arial"/>
                  <w:sz w:val="18"/>
                  <w:szCs w:val="18"/>
                  <w:b w:val="1"/>
                  <w:bCs w:val="1"/>
                  <w:color w:val="0000EE"/>
                  <w:w w:val="98"/>
                </w:rPr>
                <w:t>ITEM 9.</w:t>
              </w:r>
            </w:hyperlink>
          </w:p>
        </w:tc>
        <w:tc>
          <w:tcPr>
            <w:tcW w:w="520" w:type="dxa"/>
            <w:vAlign w:val="bottom"/>
            <w:gridSpan w:val="5"/>
          </w:tcPr>
          <w:p>
            <w:pPr>
              <w:spacing w:after="0"/>
              <w:rPr>
                <w:sz w:val="19"/>
                <w:szCs w:val="19"/>
                <w:color w:val="auto"/>
              </w:rPr>
            </w:pPr>
          </w:p>
        </w:tc>
        <w:tc>
          <w:tcPr>
            <w:tcW w:w="2320" w:type="dxa"/>
            <w:vAlign w:val="bottom"/>
            <w:tcBorders>
              <w:top w:val="single" w:sz="8" w:color="0000EE"/>
            </w:tcBorders>
            <w:gridSpan w:val="5"/>
          </w:tcPr>
          <w:p>
            <w:pPr>
              <w:spacing w:after="0"/>
              <w:rPr>
                <w:rFonts w:ascii="Arial" w:cs="Arial" w:eastAsia="Arial" w:hAnsi="Arial"/>
                <w:sz w:val="18"/>
                <w:szCs w:val="18"/>
                <w:b w:val="1"/>
                <w:bCs w:val="1"/>
                <w:color w:val="0000EE"/>
              </w:rPr>
            </w:pPr>
            <w:hyperlink w:anchor="page108">
              <w:r>
                <w:rPr>
                  <w:rFonts w:ascii="Arial" w:cs="Arial" w:eastAsia="Arial" w:hAnsi="Arial"/>
                  <w:sz w:val="18"/>
                  <w:szCs w:val="18"/>
                  <w:b w:val="1"/>
                  <w:bCs w:val="1"/>
                  <w:color w:val="0000EE"/>
                </w:rPr>
                <w:t>THE OFFER AND LISTING</w:t>
              </w:r>
            </w:hyperlink>
          </w:p>
        </w:tc>
        <w:tc>
          <w:tcPr>
            <w:tcW w:w="7580" w:type="dxa"/>
            <w:vAlign w:val="bottom"/>
            <w:gridSpan w:val="20"/>
          </w:tcPr>
          <w:p>
            <w:pPr>
              <w:spacing w:after="0"/>
              <w:rPr>
                <w:sz w:val="19"/>
                <w:szCs w:val="19"/>
                <w:color w:val="auto"/>
              </w:rPr>
            </w:pPr>
          </w:p>
        </w:tc>
        <w:tc>
          <w:tcPr>
            <w:tcW w:w="240" w:type="dxa"/>
            <w:vAlign w:val="bottom"/>
            <w:tcBorders>
              <w:top w:val="single" w:sz="8" w:color="0000EE"/>
            </w:tcBorders>
            <w:gridSpan w:val="3"/>
          </w:tcPr>
          <w:p>
            <w:pPr>
              <w:jc w:val="right"/>
              <w:spacing w:after="0"/>
              <w:rPr>
                <w:rFonts w:ascii="Arial" w:cs="Arial" w:eastAsia="Arial" w:hAnsi="Arial"/>
                <w:sz w:val="18"/>
                <w:szCs w:val="18"/>
                <w:b w:val="1"/>
                <w:bCs w:val="1"/>
                <w:color w:val="0000EE"/>
                <w:w w:val="73"/>
              </w:rPr>
            </w:pPr>
            <w:hyperlink w:anchor="page108">
              <w:r>
                <w:rPr>
                  <w:rFonts w:ascii="Arial" w:cs="Arial" w:eastAsia="Arial" w:hAnsi="Arial"/>
                  <w:sz w:val="18"/>
                  <w:szCs w:val="18"/>
                  <w:b w:val="1"/>
                  <w:bCs w:val="1"/>
                  <w:color w:val="0000EE"/>
                  <w:w w:val="73"/>
                </w:rPr>
                <w:t>105</w:t>
              </w:r>
            </w:hyperlink>
          </w:p>
        </w:tc>
      </w:tr>
      <w:tr>
        <w:trPr>
          <w:trHeight w:val="20"/>
        </w:trPr>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223"/>
        </w:trPr>
        <w:tc>
          <w:tcPr>
            <w:tcW w:w="720" w:type="dxa"/>
            <w:vAlign w:val="bottom"/>
            <w:gridSpan w:val="2"/>
          </w:tcPr>
          <w:p>
            <w:pPr>
              <w:spacing w:after="0"/>
              <w:rPr>
                <w:rFonts w:ascii="Arial" w:cs="Arial" w:eastAsia="Arial" w:hAnsi="Arial"/>
                <w:sz w:val="18"/>
                <w:szCs w:val="18"/>
                <w:b w:val="1"/>
                <w:bCs w:val="1"/>
                <w:color w:val="0000EE"/>
                <w:w w:val="93"/>
              </w:rPr>
            </w:pPr>
            <w:hyperlink w:anchor="page113">
              <w:r>
                <w:rPr>
                  <w:rFonts w:ascii="Arial" w:cs="Arial" w:eastAsia="Arial" w:hAnsi="Arial"/>
                  <w:sz w:val="18"/>
                  <w:szCs w:val="18"/>
                  <w:b w:val="1"/>
                  <w:bCs w:val="1"/>
                  <w:color w:val="0000EE"/>
                  <w:w w:val="93"/>
                </w:rPr>
                <w:t>ITEM 10.</w:t>
              </w:r>
            </w:hyperlink>
          </w:p>
        </w:tc>
        <w:tc>
          <w:tcPr>
            <w:tcW w:w="440" w:type="dxa"/>
            <w:vAlign w:val="bottom"/>
            <w:gridSpan w:val="4"/>
          </w:tcPr>
          <w:p>
            <w:pPr>
              <w:spacing w:after="0"/>
              <w:rPr>
                <w:sz w:val="19"/>
                <w:szCs w:val="19"/>
                <w:color w:val="auto"/>
              </w:rPr>
            </w:pPr>
          </w:p>
        </w:tc>
        <w:tc>
          <w:tcPr>
            <w:tcW w:w="2480" w:type="dxa"/>
            <w:vAlign w:val="bottom"/>
            <w:gridSpan w:val="6"/>
          </w:tcPr>
          <w:p>
            <w:pPr>
              <w:spacing w:after="0"/>
              <w:rPr>
                <w:rFonts w:ascii="Arial" w:cs="Arial" w:eastAsia="Arial" w:hAnsi="Arial"/>
                <w:sz w:val="18"/>
                <w:szCs w:val="18"/>
                <w:b w:val="1"/>
                <w:bCs w:val="1"/>
                <w:color w:val="0000EE"/>
              </w:rPr>
            </w:pPr>
            <w:hyperlink w:anchor="page113">
              <w:r>
                <w:rPr>
                  <w:rFonts w:ascii="Arial" w:cs="Arial" w:eastAsia="Arial" w:hAnsi="Arial"/>
                  <w:sz w:val="18"/>
                  <w:szCs w:val="18"/>
                  <w:b w:val="1"/>
                  <w:bCs w:val="1"/>
                  <w:color w:val="0000EE"/>
                </w:rPr>
                <w:t>ADDITIONAL INFORMATION</w:t>
              </w:r>
            </w:hyperlink>
          </w:p>
        </w:tc>
        <w:tc>
          <w:tcPr>
            <w:tcW w:w="7420" w:type="dxa"/>
            <w:vAlign w:val="bottom"/>
            <w:gridSpan w:val="19"/>
          </w:tcPr>
          <w:p>
            <w:pPr>
              <w:spacing w:after="0"/>
              <w:rPr>
                <w:sz w:val="19"/>
                <w:szCs w:val="19"/>
                <w:color w:val="auto"/>
              </w:rPr>
            </w:pPr>
          </w:p>
        </w:tc>
        <w:tc>
          <w:tcPr>
            <w:tcW w:w="240" w:type="dxa"/>
            <w:vAlign w:val="bottom"/>
            <w:gridSpan w:val="3"/>
          </w:tcPr>
          <w:p>
            <w:pPr>
              <w:jc w:val="right"/>
              <w:spacing w:after="0"/>
              <w:rPr>
                <w:rFonts w:ascii="Arial" w:cs="Arial" w:eastAsia="Arial" w:hAnsi="Arial"/>
                <w:sz w:val="18"/>
                <w:szCs w:val="18"/>
                <w:b w:val="1"/>
                <w:bCs w:val="1"/>
                <w:color w:val="0000EE"/>
                <w:w w:val="73"/>
              </w:rPr>
            </w:pPr>
            <w:hyperlink w:anchor="page113">
              <w:r>
                <w:rPr>
                  <w:rFonts w:ascii="Arial" w:cs="Arial" w:eastAsia="Arial" w:hAnsi="Arial"/>
                  <w:sz w:val="18"/>
                  <w:szCs w:val="18"/>
                  <w:b w:val="1"/>
                  <w:bCs w:val="1"/>
                  <w:color w:val="0000EE"/>
                  <w:w w:val="73"/>
                </w:rPr>
                <w:t>110</w:t>
              </w:r>
            </w:hyperlink>
          </w:p>
        </w:tc>
      </w:tr>
      <w:tr>
        <w:trPr>
          <w:trHeight w:val="20"/>
        </w:trPr>
        <w:tc>
          <w:tcPr>
            <w:tcW w:w="7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223"/>
        </w:trPr>
        <w:tc>
          <w:tcPr>
            <w:tcW w:w="720" w:type="dxa"/>
            <w:vAlign w:val="bottom"/>
            <w:gridSpan w:val="2"/>
          </w:tcPr>
          <w:p>
            <w:pPr>
              <w:spacing w:after="0"/>
              <w:rPr>
                <w:rFonts w:ascii="Arial" w:cs="Arial" w:eastAsia="Arial" w:hAnsi="Arial"/>
                <w:sz w:val="18"/>
                <w:szCs w:val="18"/>
                <w:b w:val="1"/>
                <w:bCs w:val="1"/>
                <w:color w:val="0000EE"/>
                <w:w w:val="93"/>
              </w:rPr>
            </w:pPr>
            <w:hyperlink w:anchor="page115">
              <w:r>
                <w:rPr>
                  <w:rFonts w:ascii="Arial" w:cs="Arial" w:eastAsia="Arial" w:hAnsi="Arial"/>
                  <w:sz w:val="18"/>
                  <w:szCs w:val="18"/>
                  <w:b w:val="1"/>
                  <w:bCs w:val="1"/>
                  <w:color w:val="0000EE"/>
                  <w:w w:val="93"/>
                </w:rPr>
                <w:t>ITEM 11.</w:t>
              </w:r>
            </w:hyperlink>
          </w:p>
        </w:tc>
        <w:tc>
          <w:tcPr>
            <w:tcW w:w="440" w:type="dxa"/>
            <w:vAlign w:val="bottom"/>
            <w:gridSpan w:val="4"/>
          </w:tcPr>
          <w:p>
            <w:pPr>
              <w:spacing w:after="0"/>
              <w:rPr>
                <w:sz w:val="19"/>
                <w:szCs w:val="19"/>
                <w:color w:val="auto"/>
              </w:rPr>
            </w:pPr>
          </w:p>
        </w:tc>
        <w:tc>
          <w:tcPr>
            <w:tcW w:w="6300" w:type="dxa"/>
            <w:vAlign w:val="bottom"/>
            <w:gridSpan w:val="21"/>
          </w:tcPr>
          <w:p>
            <w:pPr>
              <w:spacing w:after="0"/>
              <w:rPr>
                <w:rFonts w:ascii="Arial" w:cs="Arial" w:eastAsia="Arial" w:hAnsi="Arial"/>
                <w:sz w:val="18"/>
                <w:szCs w:val="18"/>
                <w:b w:val="1"/>
                <w:bCs w:val="1"/>
                <w:color w:val="0000EE"/>
                <w:w w:val="98"/>
              </w:rPr>
            </w:pPr>
            <w:hyperlink w:anchor="page115">
              <w:r>
                <w:rPr>
                  <w:rFonts w:ascii="Arial" w:cs="Arial" w:eastAsia="Arial" w:hAnsi="Arial"/>
                  <w:sz w:val="18"/>
                  <w:szCs w:val="18"/>
                  <w:b w:val="1"/>
                  <w:bCs w:val="1"/>
                  <w:color w:val="0000EE"/>
                  <w:w w:val="98"/>
                </w:rPr>
                <w:t>QUANTITATIVE AND QUALITATIVE DISCLOSURES ABOUT MARKET RISK</w:t>
              </w:r>
            </w:hyperlink>
          </w:p>
        </w:tc>
        <w:tc>
          <w:tcPr>
            <w:tcW w:w="3600" w:type="dxa"/>
            <w:vAlign w:val="bottom"/>
            <w:gridSpan w:val="4"/>
          </w:tcPr>
          <w:p>
            <w:pPr>
              <w:spacing w:after="0"/>
              <w:rPr>
                <w:sz w:val="19"/>
                <w:szCs w:val="19"/>
                <w:color w:val="auto"/>
              </w:rPr>
            </w:pPr>
          </w:p>
        </w:tc>
        <w:tc>
          <w:tcPr>
            <w:tcW w:w="240" w:type="dxa"/>
            <w:vAlign w:val="bottom"/>
            <w:gridSpan w:val="3"/>
          </w:tcPr>
          <w:p>
            <w:pPr>
              <w:jc w:val="right"/>
              <w:spacing w:after="0"/>
              <w:rPr>
                <w:rFonts w:ascii="Arial" w:cs="Arial" w:eastAsia="Arial" w:hAnsi="Arial"/>
                <w:sz w:val="18"/>
                <w:szCs w:val="18"/>
                <w:b w:val="1"/>
                <w:bCs w:val="1"/>
                <w:color w:val="0000EE"/>
                <w:w w:val="73"/>
              </w:rPr>
            </w:pPr>
            <w:hyperlink w:anchor="page115">
              <w:r>
                <w:rPr>
                  <w:rFonts w:ascii="Arial" w:cs="Arial" w:eastAsia="Arial" w:hAnsi="Arial"/>
                  <w:sz w:val="18"/>
                  <w:szCs w:val="18"/>
                  <w:b w:val="1"/>
                  <w:bCs w:val="1"/>
                  <w:color w:val="0000EE"/>
                  <w:w w:val="73"/>
                </w:rPr>
                <w:t>112</w:t>
              </w:r>
            </w:hyperlink>
          </w:p>
        </w:tc>
      </w:tr>
      <w:tr>
        <w:trPr>
          <w:trHeight w:val="20"/>
        </w:trPr>
        <w:tc>
          <w:tcPr>
            <w:tcW w:w="7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223"/>
        </w:trPr>
        <w:tc>
          <w:tcPr>
            <w:tcW w:w="720" w:type="dxa"/>
            <w:vAlign w:val="bottom"/>
            <w:gridSpan w:val="2"/>
          </w:tcPr>
          <w:p>
            <w:pPr>
              <w:spacing w:after="0"/>
              <w:rPr>
                <w:rFonts w:ascii="Arial" w:cs="Arial" w:eastAsia="Arial" w:hAnsi="Arial"/>
                <w:sz w:val="18"/>
                <w:szCs w:val="18"/>
                <w:b w:val="1"/>
                <w:bCs w:val="1"/>
                <w:color w:val="0000EE"/>
                <w:w w:val="93"/>
              </w:rPr>
            </w:pPr>
            <w:hyperlink w:anchor="page121">
              <w:r>
                <w:rPr>
                  <w:rFonts w:ascii="Arial" w:cs="Arial" w:eastAsia="Arial" w:hAnsi="Arial"/>
                  <w:sz w:val="18"/>
                  <w:szCs w:val="18"/>
                  <w:b w:val="1"/>
                  <w:bCs w:val="1"/>
                  <w:color w:val="0000EE"/>
                  <w:w w:val="93"/>
                </w:rPr>
                <w:t>ITEM 12.</w:t>
              </w:r>
            </w:hyperlink>
          </w:p>
        </w:tc>
        <w:tc>
          <w:tcPr>
            <w:tcW w:w="440" w:type="dxa"/>
            <w:vAlign w:val="bottom"/>
            <w:gridSpan w:val="4"/>
          </w:tcPr>
          <w:p>
            <w:pPr>
              <w:spacing w:after="0"/>
              <w:rPr>
                <w:sz w:val="19"/>
                <w:szCs w:val="19"/>
                <w:color w:val="auto"/>
              </w:rPr>
            </w:pPr>
          </w:p>
        </w:tc>
        <w:tc>
          <w:tcPr>
            <w:tcW w:w="9900" w:type="dxa"/>
            <w:vAlign w:val="bottom"/>
            <w:gridSpan w:val="25"/>
          </w:tcPr>
          <w:p>
            <w:pPr>
              <w:spacing w:after="0"/>
              <w:rPr>
                <w:rFonts w:ascii="Arial" w:cs="Arial" w:eastAsia="Arial" w:hAnsi="Arial"/>
                <w:sz w:val="18"/>
                <w:szCs w:val="18"/>
                <w:b w:val="1"/>
                <w:bCs w:val="1"/>
                <w:color w:val="0000EE"/>
              </w:rPr>
            </w:pPr>
            <w:hyperlink w:anchor="page121">
              <w:r>
                <w:rPr>
                  <w:rFonts w:ascii="Arial" w:cs="Arial" w:eastAsia="Arial" w:hAnsi="Arial"/>
                  <w:sz w:val="18"/>
                  <w:szCs w:val="18"/>
                  <w:b w:val="1"/>
                  <w:bCs w:val="1"/>
                  <w:color w:val="0000EE"/>
                </w:rPr>
                <w:t>DESCRIPTION OF SECURITIES OTHER THAN EQUITY SECURITIES</w:t>
              </w:r>
            </w:hyperlink>
          </w:p>
        </w:tc>
        <w:tc>
          <w:tcPr>
            <w:tcW w:w="240" w:type="dxa"/>
            <w:vAlign w:val="bottom"/>
            <w:gridSpan w:val="3"/>
          </w:tcPr>
          <w:p>
            <w:pPr>
              <w:jc w:val="right"/>
              <w:spacing w:after="0"/>
              <w:rPr>
                <w:rFonts w:ascii="Arial" w:cs="Arial" w:eastAsia="Arial" w:hAnsi="Arial"/>
                <w:sz w:val="18"/>
                <w:szCs w:val="18"/>
                <w:b w:val="1"/>
                <w:bCs w:val="1"/>
                <w:color w:val="0000EE"/>
                <w:w w:val="73"/>
              </w:rPr>
            </w:pPr>
            <w:hyperlink w:anchor="page121">
              <w:r>
                <w:rPr>
                  <w:rFonts w:ascii="Arial" w:cs="Arial" w:eastAsia="Arial" w:hAnsi="Arial"/>
                  <w:sz w:val="18"/>
                  <w:szCs w:val="18"/>
                  <w:b w:val="1"/>
                  <w:bCs w:val="1"/>
                  <w:color w:val="0000EE"/>
                  <w:w w:val="73"/>
                </w:rPr>
                <w:t>118</w:t>
              </w:r>
            </w:hyperlink>
          </w:p>
        </w:tc>
      </w:tr>
      <w:tr>
        <w:trPr>
          <w:trHeight w:val="20"/>
        </w:trPr>
        <w:tc>
          <w:tcPr>
            <w:tcW w:w="7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223"/>
        </w:trPr>
        <w:tc>
          <w:tcPr>
            <w:tcW w:w="720" w:type="dxa"/>
            <w:vAlign w:val="bottom"/>
            <w:tcBorders>
              <w:bottom w:val="single" w:sz="8" w:color="0000EE"/>
            </w:tcBorders>
            <w:gridSpan w:val="2"/>
          </w:tcPr>
          <w:p>
            <w:pPr>
              <w:spacing w:after="0"/>
              <w:rPr>
                <w:rFonts w:ascii="Arial" w:cs="Arial" w:eastAsia="Arial" w:hAnsi="Arial"/>
                <w:sz w:val="18"/>
                <w:szCs w:val="18"/>
                <w:b w:val="1"/>
                <w:bCs w:val="1"/>
                <w:color w:val="0000EE"/>
                <w:w w:val="93"/>
              </w:rPr>
            </w:pPr>
            <w:hyperlink w:anchor="page122">
              <w:r>
                <w:rPr>
                  <w:rFonts w:ascii="Arial" w:cs="Arial" w:eastAsia="Arial" w:hAnsi="Arial"/>
                  <w:sz w:val="18"/>
                  <w:szCs w:val="18"/>
                  <w:b w:val="1"/>
                  <w:bCs w:val="1"/>
                  <w:color w:val="0000EE"/>
                  <w:w w:val="93"/>
                </w:rPr>
                <w:t>ITEM 13.</w:t>
              </w:r>
            </w:hyperlink>
          </w:p>
        </w:tc>
        <w:tc>
          <w:tcPr>
            <w:tcW w:w="140" w:type="dxa"/>
            <w:vAlign w:val="bottom"/>
            <w:tcBorders>
              <w:bottom w:val="single" w:sz="8" w:color="0000EE"/>
            </w:tcBorders>
          </w:tcPr>
          <w:p>
            <w:pPr>
              <w:spacing w:after="0"/>
              <w:rPr>
                <w:sz w:val="19"/>
                <w:szCs w:val="19"/>
                <w:color w:val="auto"/>
              </w:rPr>
            </w:pPr>
          </w:p>
        </w:tc>
        <w:tc>
          <w:tcPr>
            <w:tcW w:w="300" w:type="dxa"/>
            <w:vAlign w:val="bottom"/>
            <w:gridSpan w:val="3"/>
          </w:tcPr>
          <w:p>
            <w:pPr>
              <w:spacing w:after="0"/>
              <w:rPr>
                <w:sz w:val="19"/>
                <w:szCs w:val="19"/>
                <w:color w:val="auto"/>
              </w:rPr>
            </w:pPr>
          </w:p>
        </w:tc>
        <w:tc>
          <w:tcPr>
            <w:tcW w:w="5100" w:type="dxa"/>
            <w:vAlign w:val="bottom"/>
            <w:tcBorders>
              <w:bottom w:val="single" w:sz="8" w:color="0000EE"/>
            </w:tcBorders>
            <w:gridSpan w:val="16"/>
          </w:tcPr>
          <w:p>
            <w:pPr>
              <w:spacing w:after="0"/>
              <w:rPr>
                <w:rFonts w:ascii="Arial" w:cs="Arial" w:eastAsia="Arial" w:hAnsi="Arial"/>
                <w:sz w:val="18"/>
                <w:szCs w:val="18"/>
                <w:b w:val="1"/>
                <w:bCs w:val="1"/>
                <w:color w:val="0000EE"/>
                <w:w w:val="97"/>
              </w:rPr>
            </w:pPr>
            <w:hyperlink w:anchor="page122">
              <w:r>
                <w:rPr>
                  <w:rFonts w:ascii="Arial" w:cs="Arial" w:eastAsia="Arial" w:hAnsi="Arial"/>
                  <w:sz w:val="18"/>
                  <w:szCs w:val="18"/>
                  <w:b w:val="1"/>
                  <w:bCs w:val="1"/>
                  <w:color w:val="0000EE"/>
                  <w:w w:val="97"/>
                </w:rPr>
                <w:t>DEFAULTS, DIVIDEND ARREARAGES AND DELINQUENCIES</w:t>
              </w:r>
            </w:hyperlink>
          </w:p>
        </w:tc>
        <w:tc>
          <w:tcPr>
            <w:tcW w:w="580" w:type="dxa"/>
            <w:vAlign w:val="bottom"/>
            <w:gridSpan w:val="2"/>
          </w:tcPr>
          <w:p>
            <w:pPr>
              <w:spacing w:after="0"/>
              <w:rPr>
                <w:sz w:val="19"/>
                <w:szCs w:val="19"/>
                <w:color w:val="auto"/>
              </w:rPr>
            </w:pPr>
          </w:p>
        </w:tc>
        <w:tc>
          <w:tcPr>
            <w:tcW w:w="4220" w:type="dxa"/>
            <w:vAlign w:val="bottom"/>
            <w:gridSpan w:val="7"/>
          </w:tcPr>
          <w:p>
            <w:pPr>
              <w:spacing w:after="0"/>
              <w:rPr>
                <w:sz w:val="19"/>
                <w:szCs w:val="19"/>
                <w:color w:val="auto"/>
              </w:rPr>
            </w:pPr>
          </w:p>
        </w:tc>
        <w:tc>
          <w:tcPr>
            <w:tcW w:w="240" w:type="dxa"/>
            <w:vAlign w:val="bottom"/>
            <w:gridSpan w:val="3"/>
          </w:tcPr>
          <w:p>
            <w:pPr>
              <w:jc w:val="right"/>
              <w:spacing w:after="0"/>
              <w:rPr>
                <w:rFonts w:ascii="Arial" w:cs="Arial" w:eastAsia="Arial" w:hAnsi="Arial"/>
                <w:sz w:val="18"/>
                <w:szCs w:val="18"/>
                <w:b w:val="1"/>
                <w:bCs w:val="1"/>
                <w:color w:val="0000EE"/>
                <w:w w:val="73"/>
              </w:rPr>
            </w:pPr>
            <w:hyperlink w:anchor="page122">
              <w:r>
                <w:rPr>
                  <w:rFonts w:ascii="Arial" w:cs="Arial" w:eastAsia="Arial" w:hAnsi="Arial"/>
                  <w:sz w:val="18"/>
                  <w:szCs w:val="18"/>
                  <w:b w:val="1"/>
                  <w:bCs w:val="1"/>
                  <w:color w:val="0000EE"/>
                  <w:w w:val="73"/>
                </w:rPr>
                <w:t>119</w:t>
              </w:r>
            </w:hyperlink>
          </w:p>
        </w:tc>
      </w:tr>
      <w:tr>
        <w:trPr>
          <w:trHeight w:val="223"/>
        </w:trPr>
        <w:tc>
          <w:tcPr>
            <w:tcW w:w="720" w:type="dxa"/>
            <w:vAlign w:val="bottom"/>
            <w:gridSpan w:val="2"/>
          </w:tcPr>
          <w:p>
            <w:pPr>
              <w:spacing w:after="0"/>
              <w:rPr>
                <w:rFonts w:ascii="Arial" w:cs="Arial" w:eastAsia="Arial" w:hAnsi="Arial"/>
                <w:sz w:val="18"/>
                <w:szCs w:val="18"/>
                <w:b w:val="1"/>
                <w:bCs w:val="1"/>
                <w:color w:val="0000EE"/>
                <w:w w:val="93"/>
              </w:rPr>
            </w:pPr>
            <w:hyperlink w:anchor="page122">
              <w:r>
                <w:rPr>
                  <w:rFonts w:ascii="Arial" w:cs="Arial" w:eastAsia="Arial" w:hAnsi="Arial"/>
                  <w:sz w:val="18"/>
                  <w:szCs w:val="18"/>
                  <w:b w:val="1"/>
                  <w:bCs w:val="1"/>
                  <w:color w:val="0000EE"/>
                  <w:w w:val="93"/>
                </w:rPr>
                <w:t>ITEM 14.</w:t>
              </w:r>
            </w:hyperlink>
          </w:p>
        </w:tc>
        <w:tc>
          <w:tcPr>
            <w:tcW w:w="440" w:type="dxa"/>
            <w:vAlign w:val="bottom"/>
            <w:gridSpan w:val="4"/>
          </w:tcPr>
          <w:p>
            <w:pPr>
              <w:spacing w:after="0"/>
              <w:rPr>
                <w:sz w:val="19"/>
                <w:szCs w:val="19"/>
                <w:color w:val="auto"/>
              </w:rPr>
            </w:pPr>
          </w:p>
        </w:tc>
        <w:tc>
          <w:tcPr>
            <w:tcW w:w="9900" w:type="dxa"/>
            <w:vAlign w:val="bottom"/>
            <w:gridSpan w:val="25"/>
          </w:tcPr>
          <w:p>
            <w:pPr>
              <w:spacing w:after="0"/>
              <w:rPr>
                <w:rFonts w:ascii="Arial" w:cs="Arial" w:eastAsia="Arial" w:hAnsi="Arial"/>
                <w:sz w:val="18"/>
                <w:szCs w:val="18"/>
                <w:b w:val="1"/>
                <w:bCs w:val="1"/>
                <w:color w:val="0000EE"/>
              </w:rPr>
            </w:pPr>
            <w:hyperlink w:anchor="page122">
              <w:r>
                <w:rPr>
                  <w:rFonts w:ascii="Arial" w:cs="Arial" w:eastAsia="Arial" w:hAnsi="Arial"/>
                  <w:sz w:val="18"/>
                  <w:szCs w:val="18"/>
                  <w:b w:val="1"/>
                  <w:bCs w:val="1"/>
                  <w:color w:val="0000EE"/>
                </w:rPr>
                <w:t>MATERIAL MODIFICATIONS TO THE RIGHTS OF SECURITY HOLDERS AND USE OF PROCEEDS</w:t>
              </w:r>
            </w:hyperlink>
          </w:p>
        </w:tc>
        <w:tc>
          <w:tcPr>
            <w:tcW w:w="240" w:type="dxa"/>
            <w:vAlign w:val="bottom"/>
            <w:gridSpan w:val="3"/>
          </w:tcPr>
          <w:p>
            <w:pPr>
              <w:jc w:val="right"/>
              <w:spacing w:after="0"/>
              <w:rPr>
                <w:rFonts w:ascii="Arial" w:cs="Arial" w:eastAsia="Arial" w:hAnsi="Arial"/>
                <w:sz w:val="18"/>
                <w:szCs w:val="18"/>
                <w:b w:val="1"/>
                <w:bCs w:val="1"/>
                <w:color w:val="0000EE"/>
                <w:w w:val="73"/>
              </w:rPr>
            </w:pPr>
            <w:hyperlink w:anchor="page122">
              <w:r>
                <w:rPr>
                  <w:rFonts w:ascii="Arial" w:cs="Arial" w:eastAsia="Arial" w:hAnsi="Arial"/>
                  <w:sz w:val="18"/>
                  <w:szCs w:val="18"/>
                  <w:b w:val="1"/>
                  <w:bCs w:val="1"/>
                  <w:color w:val="0000EE"/>
                  <w:w w:val="73"/>
                </w:rPr>
                <w:t>119</w:t>
              </w:r>
            </w:hyperlink>
          </w:p>
        </w:tc>
      </w:tr>
      <w:tr>
        <w:trPr>
          <w:trHeight w:val="20"/>
        </w:trPr>
        <w:tc>
          <w:tcPr>
            <w:tcW w:w="7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gridSpan w:val="3"/>
            <w:shd w:val="clear" w:color="auto" w:fill="0000EE"/>
          </w:tcPr>
          <w:p>
            <w:pPr>
              <w:spacing w:after="0" w:line="20" w:lineRule="exact"/>
              <w:rPr>
                <w:sz w:val="1"/>
                <w:szCs w:val="1"/>
                <w:color w:val="auto"/>
              </w:rPr>
            </w:pPr>
          </w:p>
        </w:tc>
        <w:tc>
          <w:tcPr>
            <w:tcW w:w="1560" w:type="dxa"/>
            <w:vAlign w:val="bottom"/>
            <w:gridSpan w:val="7"/>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223"/>
        </w:trPr>
        <w:tc>
          <w:tcPr>
            <w:tcW w:w="720" w:type="dxa"/>
            <w:vAlign w:val="bottom"/>
            <w:gridSpan w:val="2"/>
          </w:tcPr>
          <w:p>
            <w:pPr>
              <w:spacing w:after="0"/>
              <w:rPr>
                <w:rFonts w:ascii="Arial" w:cs="Arial" w:eastAsia="Arial" w:hAnsi="Arial"/>
                <w:sz w:val="18"/>
                <w:szCs w:val="18"/>
                <w:b w:val="1"/>
                <w:bCs w:val="1"/>
                <w:color w:val="0000EE"/>
                <w:w w:val="93"/>
              </w:rPr>
            </w:pPr>
            <w:hyperlink w:anchor="page122">
              <w:r>
                <w:rPr>
                  <w:rFonts w:ascii="Arial" w:cs="Arial" w:eastAsia="Arial" w:hAnsi="Arial"/>
                  <w:sz w:val="18"/>
                  <w:szCs w:val="18"/>
                  <w:b w:val="1"/>
                  <w:bCs w:val="1"/>
                  <w:color w:val="0000EE"/>
                  <w:w w:val="93"/>
                </w:rPr>
                <w:t>ITEM 15.</w:t>
              </w:r>
            </w:hyperlink>
          </w:p>
        </w:tc>
        <w:tc>
          <w:tcPr>
            <w:tcW w:w="440" w:type="dxa"/>
            <w:vAlign w:val="bottom"/>
            <w:gridSpan w:val="4"/>
          </w:tcPr>
          <w:p>
            <w:pPr>
              <w:spacing w:after="0"/>
              <w:rPr>
                <w:sz w:val="19"/>
                <w:szCs w:val="19"/>
                <w:color w:val="auto"/>
              </w:rPr>
            </w:pPr>
          </w:p>
        </w:tc>
        <w:tc>
          <w:tcPr>
            <w:tcW w:w="2660" w:type="dxa"/>
            <w:vAlign w:val="bottom"/>
            <w:gridSpan w:val="7"/>
          </w:tcPr>
          <w:p>
            <w:pPr>
              <w:spacing w:after="0"/>
              <w:rPr>
                <w:rFonts w:ascii="Arial" w:cs="Arial" w:eastAsia="Arial" w:hAnsi="Arial"/>
                <w:sz w:val="18"/>
                <w:szCs w:val="18"/>
                <w:b w:val="1"/>
                <w:bCs w:val="1"/>
                <w:color w:val="0000EE"/>
                <w:w w:val="95"/>
              </w:rPr>
            </w:pPr>
            <w:hyperlink w:anchor="page122">
              <w:r>
                <w:rPr>
                  <w:rFonts w:ascii="Arial" w:cs="Arial" w:eastAsia="Arial" w:hAnsi="Arial"/>
                  <w:sz w:val="18"/>
                  <w:szCs w:val="18"/>
                  <w:b w:val="1"/>
                  <w:bCs w:val="1"/>
                  <w:color w:val="0000EE"/>
                  <w:w w:val="95"/>
                </w:rPr>
                <w:t>CONTROLS AND PROCEDURES</w:t>
              </w:r>
            </w:hyperlink>
          </w:p>
        </w:tc>
        <w:tc>
          <w:tcPr>
            <w:tcW w:w="5460" w:type="dxa"/>
            <w:vAlign w:val="bottom"/>
            <w:gridSpan w:val="17"/>
          </w:tcPr>
          <w:p>
            <w:pPr>
              <w:spacing w:after="0"/>
              <w:rPr>
                <w:sz w:val="19"/>
                <w:szCs w:val="19"/>
                <w:color w:val="auto"/>
              </w:rPr>
            </w:pPr>
          </w:p>
        </w:tc>
        <w:tc>
          <w:tcPr>
            <w:tcW w:w="1780" w:type="dxa"/>
            <w:vAlign w:val="bottom"/>
          </w:tcPr>
          <w:p>
            <w:pPr>
              <w:spacing w:after="0"/>
              <w:rPr>
                <w:sz w:val="19"/>
                <w:szCs w:val="19"/>
                <w:color w:val="auto"/>
              </w:rPr>
            </w:pPr>
          </w:p>
        </w:tc>
        <w:tc>
          <w:tcPr>
            <w:tcW w:w="240" w:type="dxa"/>
            <w:vAlign w:val="bottom"/>
            <w:gridSpan w:val="3"/>
          </w:tcPr>
          <w:p>
            <w:pPr>
              <w:jc w:val="right"/>
              <w:spacing w:after="0"/>
              <w:rPr>
                <w:rFonts w:ascii="Arial" w:cs="Arial" w:eastAsia="Arial" w:hAnsi="Arial"/>
                <w:sz w:val="18"/>
                <w:szCs w:val="18"/>
                <w:b w:val="1"/>
                <w:bCs w:val="1"/>
                <w:color w:val="0000EE"/>
                <w:w w:val="73"/>
              </w:rPr>
            </w:pPr>
            <w:hyperlink w:anchor="page122">
              <w:r>
                <w:rPr>
                  <w:rFonts w:ascii="Arial" w:cs="Arial" w:eastAsia="Arial" w:hAnsi="Arial"/>
                  <w:sz w:val="18"/>
                  <w:szCs w:val="18"/>
                  <w:b w:val="1"/>
                  <w:bCs w:val="1"/>
                  <w:color w:val="0000EE"/>
                  <w:w w:val="73"/>
                </w:rPr>
                <w:t>119</w:t>
              </w:r>
            </w:hyperlink>
          </w:p>
        </w:tc>
      </w:tr>
      <w:tr>
        <w:trPr>
          <w:trHeight w:val="20"/>
        </w:trPr>
        <w:tc>
          <w:tcPr>
            <w:tcW w:w="7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560" w:type="dxa"/>
            <w:vAlign w:val="bottom"/>
            <w:gridSpan w:val="7"/>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223"/>
        </w:trPr>
        <w:tc>
          <w:tcPr>
            <w:tcW w:w="860" w:type="dxa"/>
            <w:vAlign w:val="bottom"/>
            <w:gridSpan w:val="3"/>
          </w:tcPr>
          <w:p>
            <w:pPr>
              <w:spacing w:after="0"/>
              <w:rPr>
                <w:rFonts w:ascii="Arial" w:cs="Arial" w:eastAsia="Arial" w:hAnsi="Arial"/>
                <w:sz w:val="18"/>
                <w:szCs w:val="18"/>
                <w:b w:val="1"/>
                <w:bCs w:val="1"/>
                <w:color w:val="0000EE"/>
                <w:w w:val="95"/>
              </w:rPr>
            </w:pPr>
            <w:hyperlink w:anchor="page122">
              <w:r>
                <w:rPr>
                  <w:rFonts w:ascii="Arial" w:cs="Arial" w:eastAsia="Arial" w:hAnsi="Arial"/>
                  <w:sz w:val="18"/>
                  <w:szCs w:val="18"/>
                  <w:b w:val="1"/>
                  <w:bCs w:val="1"/>
                  <w:color w:val="0000EE"/>
                  <w:w w:val="95"/>
                </w:rPr>
                <w:t>ITEM 16A.</w:t>
              </w:r>
            </w:hyperlink>
          </w:p>
        </w:tc>
        <w:tc>
          <w:tcPr>
            <w:tcW w:w="300" w:type="dxa"/>
            <w:vAlign w:val="bottom"/>
            <w:gridSpan w:val="3"/>
          </w:tcPr>
          <w:p>
            <w:pPr>
              <w:spacing w:after="0"/>
              <w:rPr>
                <w:sz w:val="19"/>
                <w:szCs w:val="19"/>
                <w:color w:val="auto"/>
              </w:rPr>
            </w:pPr>
          </w:p>
        </w:tc>
        <w:tc>
          <w:tcPr>
            <w:tcW w:w="9900" w:type="dxa"/>
            <w:vAlign w:val="bottom"/>
            <w:gridSpan w:val="25"/>
          </w:tcPr>
          <w:p>
            <w:pPr>
              <w:spacing w:after="0"/>
              <w:rPr>
                <w:rFonts w:ascii="Arial" w:cs="Arial" w:eastAsia="Arial" w:hAnsi="Arial"/>
                <w:sz w:val="18"/>
                <w:szCs w:val="18"/>
                <w:b w:val="1"/>
                <w:bCs w:val="1"/>
                <w:color w:val="0000EE"/>
              </w:rPr>
            </w:pPr>
            <w:hyperlink w:anchor="page122">
              <w:r>
                <w:rPr>
                  <w:rFonts w:ascii="Arial" w:cs="Arial" w:eastAsia="Arial" w:hAnsi="Arial"/>
                  <w:sz w:val="18"/>
                  <w:szCs w:val="18"/>
                  <w:b w:val="1"/>
                  <w:bCs w:val="1"/>
                  <w:color w:val="0000EE"/>
                </w:rPr>
                <w:t>AUDIT COMMITTEE FINANCIAL EXPERT</w:t>
              </w:r>
            </w:hyperlink>
          </w:p>
        </w:tc>
        <w:tc>
          <w:tcPr>
            <w:tcW w:w="240" w:type="dxa"/>
            <w:vAlign w:val="bottom"/>
            <w:gridSpan w:val="3"/>
          </w:tcPr>
          <w:p>
            <w:pPr>
              <w:jc w:val="right"/>
              <w:spacing w:after="0"/>
              <w:rPr>
                <w:rFonts w:ascii="Arial" w:cs="Arial" w:eastAsia="Arial" w:hAnsi="Arial"/>
                <w:sz w:val="18"/>
                <w:szCs w:val="18"/>
                <w:b w:val="1"/>
                <w:bCs w:val="1"/>
                <w:color w:val="0000EE"/>
                <w:w w:val="73"/>
              </w:rPr>
            </w:pPr>
            <w:hyperlink w:anchor="page122">
              <w:r>
                <w:rPr>
                  <w:rFonts w:ascii="Arial" w:cs="Arial" w:eastAsia="Arial" w:hAnsi="Arial"/>
                  <w:sz w:val="18"/>
                  <w:szCs w:val="18"/>
                  <w:b w:val="1"/>
                  <w:bCs w:val="1"/>
                  <w:color w:val="0000EE"/>
                  <w:w w:val="73"/>
                </w:rPr>
                <w:t>119</w:t>
              </w:r>
            </w:hyperlink>
          </w:p>
        </w:tc>
      </w:tr>
      <w:tr>
        <w:trPr>
          <w:trHeight w:val="20"/>
        </w:trPr>
        <w:tc>
          <w:tcPr>
            <w:tcW w:w="86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560" w:type="dxa"/>
            <w:vAlign w:val="bottom"/>
            <w:gridSpan w:val="7"/>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223"/>
        </w:trPr>
        <w:tc>
          <w:tcPr>
            <w:tcW w:w="860" w:type="dxa"/>
            <w:vAlign w:val="bottom"/>
            <w:tcBorders>
              <w:bottom w:val="single" w:sz="8" w:color="0000EE"/>
            </w:tcBorders>
            <w:gridSpan w:val="3"/>
          </w:tcPr>
          <w:p>
            <w:pPr>
              <w:spacing w:after="0"/>
              <w:rPr>
                <w:rFonts w:ascii="Arial" w:cs="Arial" w:eastAsia="Arial" w:hAnsi="Arial"/>
                <w:sz w:val="18"/>
                <w:szCs w:val="18"/>
                <w:b w:val="1"/>
                <w:bCs w:val="1"/>
                <w:color w:val="0000EE"/>
                <w:w w:val="95"/>
              </w:rPr>
            </w:pPr>
            <w:hyperlink w:anchor="page123">
              <w:r>
                <w:rPr>
                  <w:rFonts w:ascii="Arial" w:cs="Arial" w:eastAsia="Arial" w:hAnsi="Arial"/>
                  <w:sz w:val="18"/>
                  <w:szCs w:val="18"/>
                  <w:b w:val="1"/>
                  <w:bCs w:val="1"/>
                  <w:color w:val="0000EE"/>
                  <w:w w:val="95"/>
                </w:rPr>
                <w:t>ITEM 16B.</w:t>
              </w:r>
            </w:hyperlink>
          </w:p>
        </w:tc>
        <w:tc>
          <w:tcPr>
            <w:tcW w:w="20" w:type="dxa"/>
            <w:vAlign w:val="bottom"/>
            <w:tcBorders>
              <w:bottom w:val="single" w:sz="8" w:color="0000EE"/>
            </w:tcBorders>
          </w:tcPr>
          <w:p>
            <w:pPr>
              <w:spacing w:after="0"/>
              <w:rPr>
                <w:sz w:val="19"/>
                <w:szCs w:val="19"/>
                <w:color w:val="auto"/>
              </w:rPr>
            </w:pPr>
          </w:p>
        </w:tc>
        <w:tc>
          <w:tcPr>
            <w:tcW w:w="280" w:type="dxa"/>
            <w:vAlign w:val="bottom"/>
            <w:gridSpan w:val="2"/>
          </w:tcPr>
          <w:p>
            <w:pPr>
              <w:spacing w:after="0"/>
              <w:rPr>
                <w:sz w:val="19"/>
                <w:szCs w:val="19"/>
                <w:color w:val="auto"/>
              </w:rPr>
            </w:pPr>
          </w:p>
        </w:tc>
        <w:tc>
          <w:tcPr>
            <w:tcW w:w="1500" w:type="dxa"/>
            <w:vAlign w:val="bottom"/>
            <w:tcBorders>
              <w:bottom w:val="single" w:sz="8" w:color="0000EE"/>
            </w:tcBorders>
            <w:gridSpan w:val="2"/>
          </w:tcPr>
          <w:p>
            <w:pPr>
              <w:spacing w:after="0"/>
              <w:rPr>
                <w:rFonts w:ascii="Arial" w:cs="Arial" w:eastAsia="Arial" w:hAnsi="Arial"/>
                <w:sz w:val="18"/>
                <w:szCs w:val="18"/>
                <w:b w:val="1"/>
                <w:bCs w:val="1"/>
                <w:color w:val="0000EE"/>
                <w:w w:val="96"/>
              </w:rPr>
            </w:pPr>
            <w:hyperlink w:anchor="page123">
              <w:r>
                <w:rPr>
                  <w:rFonts w:ascii="Arial" w:cs="Arial" w:eastAsia="Arial" w:hAnsi="Arial"/>
                  <w:sz w:val="18"/>
                  <w:szCs w:val="18"/>
                  <w:b w:val="1"/>
                  <w:bCs w:val="1"/>
                  <w:color w:val="0000EE"/>
                  <w:w w:val="96"/>
                </w:rPr>
                <w:t>CODE OF ETHICS</w:t>
              </w:r>
            </w:hyperlink>
          </w:p>
        </w:tc>
        <w:tc>
          <w:tcPr>
            <w:tcW w:w="2020" w:type="dxa"/>
            <w:vAlign w:val="bottom"/>
            <w:gridSpan w:val="8"/>
          </w:tcPr>
          <w:p>
            <w:pPr>
              <w:spacing w:after="0"/>
              <w:rPr>
                <w:sz w:val="19"/>
                <w:szCs w:val="19"/>
                <w:color w:val="auto"/>
              </w:rPr>
            </w:pPr>
          </w:p>
        </w:tc>
        <w:tc>
          <w:tcPr>
            <w:tcW w:w="6380" w:type="dxa"/>
            <w:vAlign w:val="bottom"/>
            <w:gridSpan w:val="15"/>
          </w:tcPr>
          <w:p>
            <w:pPr>
              <w:spacing w:after="0"/>
              <w:rPr>
                <w:sz w:val="19"/>
                <w:szCs w:val="19"/>
                <w:color w:val="auto"/>
              </w:rPr>
            </w:pPr>
          </w:p>
        </w:tc>
        <w:tc>
          <w:tcPr>
            <w:tcW w:w="240" w:type="dxa"/>
            <w:vAlign w:val="bottom"/>
            <w:tcBorders>
              <w:bottom w:val="single" w:sz="8" w:color="0000EE"/>
            </w:tcBorders>
            <w:gridSpan w:val="3"/>
          </w:tcPr>
          <w:p>
            <w:pPr>
              <w:jc w:val="right"/>
              <w:spacing w:after="0"/>
              <w:rPr>
                <w:rFonts w:ascii="Arial" w:cs="Arial" w:eastAsia="Arial" w:hAnsi="Arial"/>
                <w:sz w:val="18"/>
                <w:szCs w:val="18"/>
                <w:b w:val="1"/>
                <w:bCs w:val="1"/>
                <w:color w:val="0000EE"/>
                <w:w w:val="73"/>
              </w:rPr>
            </w:pPr>
            <w:hyperlink w:anchor="page123">
              <w:r>
                <w:rPr>
                  <w:rFonts w:ascii="Arial" w:cs="Arial" w:eastAsia="Arial" w:hAnsi="Arial"/>
                  <w:sz w:val="18"/>
                  <w:szCs w:val="18"/>
                  <w:b w:val="1"/>
                  <w:bCs w:val="1"/>
                  <w:color w:val="0000EE"/>
                  <w:w w:val="73"/>
                </w:rPr>
                <w:t>120</w:t>
              </w:r>
            </w:hyperlink>
          </w:p>
        </w:tc>
      </w:tr>
      <w:tr>
        <w:trPr>
          <w:trHeight w:val="223"/>
        </w:trPr>
        <w:tc>
          <w:tcPr>
            <w:tcW w:w="880" w:type="dxa"/>
            <w:vAlign w:val="bottom"/>
            <w:tcBorders>
              <w:bottom w:val="single" w:sz="8" w:color="0000EE"/>
            </w:tcBorders>
            <w:gridSpan w:val="4"/>
          </w:tcPr>
          <w:p>
            <w:pPr>
              <w:spacing w:after="0"/>
              <w:rPr>
                <w:rFonts w:ascii="Arial" w:cs="Arial" w:eastAsia="Arial" w:hAnsi="Arial"/>
                <w:sz w:val="18"/>
                <w:szCs w:val="18"/>
                <w:b w:val="1"/>
                <w:bCs w:val="1"/>
                <w:color w:val="0000EE"/>
                <w:w w:val="99"/>
              </w:rPr>
            </w:pPr>
            <w:hyperlink w:anchor="page123">
              <w:r>
                <w:rPr>
                  <w:rFonts w:ascii="Arial" w:cs="Arial" w:eastAsia="Arial" w:hAnsi="Arial"/>
                  <w:sz w:val="18"/>
                  <w:szCs w:val="18"/>
                  <w:b w:val="1"/>
                  <w:bCs w:val="1"/>
                  <w:color w:val="0000EE"/>
                  <w:w w:val="99"/>
                </w:rPr>
                <w:t>ITEM 16C.</w:t>
              </w:r>
            </w:hyperlink>
          </w:p>
        </w:tc>
        <w:tc>
          <w:tcPr>
            <w:tcW w:w="280" w:type="dxa"/>
            <w:vAlign w:val="bottom"/>
            <w:gridSpan w:val="2"/>
          </w:tcPr>
          <w:p>
            <w:pPr>
              <w:spacing w:after="0"/>
              <w:rPr>
                <w:sz w:val="19"/>
                <w:szCs w:val="19"/>
                <w:color w:val="auto"/>
              </w:rPr>
            </w:pPr>
          </w:p>
        </w:tc>
        <w:tc>
          <w:tcPr>
            <w:tcW w:w="4080" w:type="dxa"/>
            <w:vAlign w:val="bottom"/>
            <w:tcBorders>
              <w:bottom w:val="single" w:sz="8" w:color="0000EE"/>
            </w:tcBorders>
            <w:gridSpan w:val="12"/>
          </w:tcPr>
          <w:p>
            <w:pPr>
              <w:spacing w:after="0"/>
              <w:rPr>
                <w:rFonts w:ascii="Arial" w:cs="Arial" w:eastAsia="Arial" w:hAnsi="Arial"/>
                <w:sz w:val="18"/>
                <w:szCs w:val="18"/>
                <w:b w:val="1"/>
                <w:bCs w:val="1"/>
                <w:color w:val="0000EE"/>
                <w:w w:val="96"/>
              </w:rPr>
            </w:pPr>
            <w:hyperlink w:anchor="page123">
              <w:r>
                <w:rPr>
                  <w:rFonts w:ascii="Arial" w:cs="Arial" w:eastAsia="Arial" w:hAnsi="Arial"/>
                  <w:sz w:val="18"/>
                  <w:szCs w:val="18"/>
                  <w:b w:val="1"/>
                  <w:bCs w:val="1"/>
                  <w:color w:val="0000EE"/>
                  <w:w w:val="96"/>
                </w:rPr>
                <w:t>PRINCIPAL ACCOUNTANT FEES AND SERVICES</w:t>
              </w:r>
            </w:hyperlink>
          </w:p>
        </w:tc>
        <w:tc>
          <w:tcPr>
            <w:tcW w:w="5820" w:type="dxa"/>
            <w:vAlign w:val="bottom"/>
            <w:gridSpan w:val="13"/>
          </w:tcPr>
          <w:p>
            <w:pPr>
              <w:spacing w:after="0"/>
              <w:rPr>
                <w:sz w:val="19"/>
                <w:szCs w:val="19"/>
                <w:color w:val="auto"/>
              </w:rPr>
            </w:pPr>
          </w:p>
        </w:tc>
        <w:tc>
          <w:tcPr>
            <w:tcW w:w="240" w:type="dxa"/>
            <w:vAlign w:val="bottom"/>
            <w:tcBorders>
              <w:bottom w:val="single" w:sz="8" w:color="0000EE"/>
            </w:tcBorders>
            <w:gridSpan w:val="3"/>
          </w:tcPr>
          <w:p>
            <w:pPr>
              <w:jc w:val="right"/>
              <w:spacing w:after="0"/>
              <w:rPr>
                <w:rFonts w:ascii="Arial" w:cs="Arial" w:eastAsia="Arial" w:hAnsi="Arial"/>
                <w:sz w:val="18"/>
                <w:szCs w:val="18"/>
                <w:b w:val="1"/>
                <w:bCs w:val="1"/>
                <w:color w:val="0000EE"/>
                <w:w w:val="73"/>
              </w:rPr>
            </w:pPr>
            <w:hyperlink w:anchor="page123">
              <w:r>
                <w:rPr>
                  <w:rFonts w:ascii="Arial" w:cs="Arial" w:eastAsia="Arial" w:hAnsi="Arial"/>
                  <w:sz w:val="18"/>
                  <w:szCs w:val="18"/>
                  <w:b w:val="1"/>
                  <w:bCs w:val="1"/>
                  <w:color w:val="0000EE"/>
                  <w:w w:val="73"/>
                </w:rPr>
                <w:t>120</w:t>
              </w:r>
            </w:hyperlink>
          </w:p>
        </w:tc>
      </w:tr>
      <w:tr>
        <w:trPr>
          <w:trHeight w:val="223"/>
        </w:trPr>
        <w:tc>
          <w:tcPr>
            <w:tcW w:w="860" w:type="dxa"/>
            <w:vAlign w:val="bottom"/>
            <w:gridSpan w:val="3"/>
          </w:tcPr>
          <w:p>
            <w:pPr>
              <w:spacing w:after="0"/>
              <w:rPr>
                <w:rFonts w:ascii="Arial" w:cs="Arial" w:eastAsia="Arial" w:hAnsi="Arial"/>
                <w:sz w:val="18"/>
                <w:szCs w:val="18"/>
                <w:b w:val="1"/>
                <w:bCs w:val="1"/>
                <w:color w:val="0000EE"/>
                <w:w w:val="95"/>
              </w:rPr>
            </w:pPr>
            <w:hyperlink w:anchor="page124">
              <w:r>
                <w:rPr>
                  <w:rFonts w:ascii="Arial" w:cs="Arial" w:eastAsia="Arial" w:hAnsi="Arial"/>
                  <w:sz w:val="18"/>
                  <w:szCs w:val="18"/>
                  <w:b w:val="1"/>
                  <w:bCs w:val="1"/>
                  <w:color w:val="0000EE"/>
                  <w:w w:val="95"/>
                </w:rPr>
                <w:t>ITEM 16D.</w:t>
              </w:r>
            </w:hyperlink>
          </w:p>
        </w:tc>
        <w:tc>
          <w:tcPr>
            <w:tcW w:w="300" w:type="dxa"/>
            <w:vAlign w:val="bottom"/>
            <w:gridSpan w:val="3"/>
          </w:tcPr>
          <w:p>
            <w:pPr>
              <w:spacing w:after="0"/>
              <w:rPr>
                <w:sz w:val="19"/>
                <w:szCs w:val="19"/>
                <w:color w:val="auto"/>
              </w:rPr>
            </w:pPr>
          </w:p>
        </w:tc>
        <w:tc>
          <w:tcPr>
            <w:tcW w:w="9900" w:type="dxa"/>
            <w:vAlign w:val="bottom"/>
            <w:gridSpan w:val="25"/>
          </w:tcPr>
          <w:p>
            <w:pPr>
              <w:spacing w:after="0"/>
              <w:rPr>
                <w:rFonts w:ascii="Arial" w:cs="Arial" w:eastAsia="Arial" w:hAnsi="Arial"/>
                <w:sz w:val="18"/>
                <w:szCs w:val="18"/>
                <w:b w:val="1"/>
                <w:bCs w:val="1"/>
                <w:color w:val="0000EE"/>
              </w:rPr>
            </w:pPr>
            <w:hyperlink w:anchor="page124">
              <w:r>
                <w:rPr>
                  <w:rFonts w:ascii="Arial" w:cs="Arial" w:eastAsia="Arial" w:hAnsi="Arial"/>
                  <w:sz w:val="18"/>
                  <w:szCs w:val="18"/>
                  <w:b w:val="1"/>
                  <w:bCs w:val="1"/>
                  <w:color w:val="0000EE"/>
                </w:rPr>
                <w:t>EXEMPTIONS FROM THE LISTING STANDARDS FOR AUDIT COMMITTEES</w:t>
              </w:r>
            </w:hyperlink>
          </w:p>
        </w:tc>
        <w:tc>
          <w:tcPr>
            <w:tcW w:w="240" w:type="dxa"/>
            <w:vAlign w:val="bottom"/>
            <w:gridSpan w:val="3"/>
          </w:tcPr>
          <w:p>
            <w:pPr>
              <w:jc w:val="right"/>
              <w:spacing w:after="0"/>
              <w:rPr>
                <w:rFonts w:ascii="Arial" w:cs="Arial" w:eastAsia="Arial" w:hAnsi="Arial"/>
                <w:sz w:val="18"/>
                <w:szCs w:val="18"/>
                <w:b w:val="1"/>
                <w:bCs w:val="1"/>
                <w:color w:val="0000EE"/>
                <w:w w:val="73"/>
              </w:rPr>
            </w:pPr>
            <w:hyperlink w:anchor="page124">
              <w:r>
                <w:rPr>
                  <w:rFonts w:ascii="Arial" w:cs="Arial" w:eastAsia="Arial" w:hAnsi="Arial"/>
                  <w:sz w:val="18"/>
                  <w:szCs w:val="18"/>
                  <w:b w:val="1"/>
                  <w:bCs w:val="1"/>
                  <w:color w:val="0000EE"/>
                  <w:w w:val="73"/>
                </w:rPr>
                <w:t>121</w:t>
              </w:r>
            </w:hyperlink>
          </w:p>
        </w:tc>
      </w:tr>
      <w:tr>
        <w:trPr>
          <w:trHeight w:val="20"/>
        </w:trPr>
        <w:tc>
          <w:tcPr>
            <w:tcW w:w="860" w:type="dxa"/>
            <w:vAlign w:val="bottom"/>
            <w:tcBorders>
              <w:right w:val="single" w:sz="8" w:color="0000EE"/>
            </w:tcBorders>
            <w:gridSpan w:val="3"/>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360" w:type="dxa"/>
            <w:vAlign w:val="bottom"/>
            <w:tcBorders>
              <w:right w:val="single" w:sz="8" w:color="0000EE"/>
            </w:tcBorders>
            <w:gridSpan w:val="3"/>
            <w:shd w:val="clear" w:color="auto" w:fill="0000EE"/>
          </w:tcPr>
          <w:p>
            <w:pPr>
              <w:spacing w:after="0" w:line="20" w:lineRule="exact"/>
              <w:rPr>
                <w:sz w:val="1"/>
                <w:szCs w:val="1"/>
                <w:color w:val="auto"/>
              </w:rPr>
            </w:pPr>
          </w:p>
        </w:tc>
        <w:tc>
          <w:tcPr>
            <w:tcW w:w="1400" w:type="dxa"/>
            <w:vAlign w:val="bottom"/>
            <w:gridSpan w:val="7"/>
            <w:shd w:val="clear" w:color="auto" w:fill="0000EE"/>
          </w:tcPr>
          <w:p>
            <w:pPr>
              <w:spacing w:after="0" w:line="20" w:lineRule="exact"/>
              <w:rPr>
                <w:sz w:val="1"/>
                <w:szCs w:val="1"/>
                <w:color w:val="auto"/>
              </w:rPr>
            </w:pPr>
          </w:p>
        </w:tc>
        <w:tc>
          <w:tcPr>
            <w:tcW w:w="1180" w:type="dxa"/>
            <w:vAlign w:val="bottom"/>
            <w:tcBorders>
              <w:right w:val="single" w:sz="8" w:color="0000EE"/>
            </w:tcBorders>
            <w:gridSpan w:val="4"/>
            <w:shd w:val="clear" w:color="auto" w:fill="0000EE"/>
          </w:tcPr>
          <w:p>
            <w:pPr>
              <w:spacing w:after="0" w:line="20" w:lineRule="exact"/>
              <w:rPr>
                <w:sz w:val="1"/>
                <w:szCs w:val="1"/>
                <w:color w:val="auto"/>
              </w:rPr>
            </w:pPr>
          </w:p>
        </w:tc>
        <w:tc>
          <w:tcPr>
            <w:tcW w:w="1560" w:type="dxa"/>
            <w:vAlign w:val="bottom"/>
            <w:gridSpan w:val="7"/>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560" w:type="dxa"/>
            <w:vAlign w:val="bottom"/>
            <w:tcBorders>
              <w:right w:val="single" w:sz="8" w:color="0000EE"/>
            </w:tcBorders>
            <w:gridSpan w:val="2"/>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223"/>
        </w:trPr>
        <w:tc>
          <w:tcPr>
            <w:tcW w:w="860" w:type="dxa"/>
            <w:vAlign w:val="bottom"/>
            <w:gridSpan w:val="3"/>
          </w:tcPr>
          <w:p>
            <w:pPr>
              <w:spacing w:after="0"/>
              <w:rPr>
                <w:rFonts w:ascii="Arial" w:cs="Arial" w:eastAsia="Arial" w:hAnsi="Arial"/>
                <w:sz w:val="18"/>
                <w:szCs w:val="18"/>
                <w:b w:val="1"/>
                <w:bCs w:val="1"/>
                <w:color w:val="0000EE"/>
                <w:w w:val="96"/>
              </w:rPr>
            </w:pPr>
            <w:hyperlink w:anchor="page124">
              <w:r>
                <w:rPr>
                  <w:rFonts w:ascii="Arial" w:cs="Arial" w:eastAsia="Arial" w:hAnsi="Arial"/>
                  <w:sz w:val="18"/>
                  <w:szCs w:val="18"/>
                  <w:b w:val="1"/>
                  <w:bCs w:val="1"/>
                  <w:color w:val="0000EE"/>
                  <w:w w:val="96"/>
                </w:rPr>
                <w:t>ITEM 16E.</w:t>
              </w:r>
            </w:hyperlink>
          </w:p>
        </w:tc>
        <w:tc>
          <w:tcPr>
            <w:tcW w:w="300" w:type="dxa"/>
            <w:vAlign w:val="bottom"/>
            <w:gridSpan w:val="3"/>
          </w:tcPr>
          <w:p>
            <w:pPr>
              <w:spacing w:after="0"/>
              <w:rPr>
                <w:sz w:val="19"/>
                <w:szCs w:val="19"/>
                <w:color w:val="auto"/>
              </w:rPr>
            </w:pPr>
          </w:p>
        </w:tc>
        <w:tc>
          <w:tcPr>
            <w:tcW w:w="9900" w:type="dxa"/>
            <w:vAlign w:val="bottom"/>
            <w:gridSpan w:val="25"/>
          </w:tcPr>
          <w:p>
            <w:pPr>
              <w:spacing w:after="0"/>
              <w:rPr>
                <w:rFonts w:ascii="Arial" w:cs="Arial" w:eastAsia="Arial" w:hAnsi="Arial"/>
                <w:sz w:val="18"/>
                <w:szCs w:val="18"/>
                <w:b w:val="1"/>
                <w:bCs w:val="1"/>
                <w:color w:val="0000EE"/>
              </w:rPr>
            </w:pPr>
            <w:hyperlink w:anchor="page124">
              <w:r>
                <w:rPr>
                  <w:rFonts w:ascii="Arial" w:cs="Arial" w:eastAsia="Arial" w:hAnsi="Arial"/>
                  <w:sz w:val="18"/>
                  <w:szCs w:val="18"/>
                  <w:b w:val="1"/>
                  <w:bCs w:val="1"/>
                  <w:color w:val="0000EE"/>
                </w:rPr>
                <w:t>PURCHASES OF EQUITY SECURITIES BY THE ISSUER AND AFFILIATED PURCHASERS</w:t>
              </w:r>
            </w:hyperlink>
          </w:p>
        </w:tc>
        <w:tc>
          <w:tcPr>
            <w:tcW w:w="240" w:type="dxa"/>
            <w:vAlign w:val="bottom"/>
            <w:gridSpan w:val="3"/>
          </w:tcPr>
          <w:p>
            <w:pPr>
              <w:jc w:val="right"/>
              <w:spacing w:after="0"/>
              <w:rPr>
                <w:rFonts w:ascii="Arial" w:cs="Arial" w:eastAsia="Arial" w:hAnsi="Arial"/>
                <w:sz w:val="18"/>
                <w:szCs w:val="18"/>
                <w:b w:val="1"/>
                <w:bCs w:val="1"/>
                <w:color w:val="0000EE"/>
                <w:w w:val="73"/>
              </w:rPr>
            </w:pPr>
            <w:hyperlink w:anchor="page124">
              <w:r>
                <w:rPr>
                  <w:rFonts w:ascii="Arial" w:cs="Arial" w:eastAsia="Arial" w:hAnsi="Arial"/>
                  <w:sz w:val="18"/>
                  <w:szCs w:val="18"/>
                  <w:b w:val="1"/>
                  <w:bCs w:val="1"/>
                  <w:color w:val="0000EE"/>
                  <w:w w:val="73"/>
                </w:rPr>
                <w:t>121</w:t>
              </w:r>
            </w:hyperlink>
          </w:p>
        </w:tc>
      </w:tr>
      <w:tr>
        <w:trPr>
          <w:trHeight w:val="223"/>
        </w:trPr>
        <w:tc>
          <w:tcPr>
            <w:tcW w:w="720" w:type="dxa"/>
            <w:vAlign w:val="bottom"/>
            <w:tcBorders>
              <w:top w:val="single" w:sz="8" w:color="0000EE"/>
            </w:tcBorders>
            <w:gridSpan w:val="2"/>
          </w:tcPr>
          <w:p>
            <w:pPr>
              <w:spacing w:after="0"/>
              <w:rPr>
                <w:rFonts w:ascii="Arial" w:cs="Arial" w:eastAsia="Arial" w:hAnsi="Arial"/>
                <w:sz w:val="18"/>
                <w:szCs w:val="18"/>
                <w:b w:val="1"/>
                <w:bCs w:val="1"/>
                <w:color w:val="0000EE"/>
                <w:w w:val="93"/>
              </w:rPr>
            </w:pPr>
            <w:hyperlink w:anchor="page125">
              <w:r>
                <w:rPr>
                  <w:rFonts w:ascii="Arial" w:cs="Arial" w:eastAsia="Arial" w:hAnsi="Arial"/>
                  <w:sz w:val="18"/>
                  <w:szCs w:val="18"/>
                  <w:b w:val="1"/>
                  <w:bCs w:val="1"/>
                  <w:color w:val="0000EE"/>
                  <w:w w:val="93"/>
                </w:rPr>
                <w:t>ITEM 17.</w:t>
              </w:r>
            </w:hyperlink>
          </w:p>
        </w:tc>
        <w:tc>
          <w:tcPr>
            <w:tcW w:w="140" w:type="dxa"/>
            <w:vAlign w:val="bottom"/>
            <w:tcBorders>
              <w:top w:val="single" w:sz="8" w:color="0000EE"/>
            </w:tcBorders>
          </w:tcPr>
          <w:p>
            <w:pPr>
              <w:spacing w:after="0"/>
              <w:rPr>
                <w:sz w:val="19"/>
                <w:szCs w:val="19"/>
                <w:color w:val="auto"/>
              </w:rPr>
            </w:pPr>
          </w:p>
        </w:tc>
        <w:tc>
          <w:tcPr>
            <w:tcW w:w="300" w:type="dxa"/>
            <w:vAlign w:val="bottom"/>
            <w:gridSpan w:val="3"/>
          </w:tcPr>
          <w:p>
            <w:pPr>
              <w:spacing w:after="0"/>
              <w:rPr>
                <w:sz w:val="19"/>
                <w:szCs w:val="19"/>
                <w:color w:val="auto"/>
              </w:rPr>
            </w:pPr>
          </w:p>
        </w:tc>
        <w:tc>
          <w:tcPr>
            <w:tcW w:w="7340" w:type="dxa"/>
            <w:vAlign w:val="bottom"/>
            <w:tcBorders>
              <w:top w:val="single" w:sz="8" w:color="0000EE"/>
            </w:tcBorders>
            <w:gridSpan w:val="23"/>
          </w:tcPr>
          <w:p>
            <w:pPr>
              <w:spacing w:after="0"/>
              <w:rPr>
                <w:rFonts w:ascii="Arial" w:cs="Arial" w:eastAsia="Arial" w:hAnsi="Arial"/>
                <w:sz w:val="18"/>
                <w:szCs w:val="18"/>
                <w:b w:val="1"/>
                <w:bCs w:val="1"/>
                <w:color w:val="0000EE"/>
              </w:rPr>
            </w:pPr>
            <w:hyperlink w:anchor="page125">
              <w:r>
                <w:rPr>
                  <w:rFonts w:ascii="Arial" w:cs="Arial" w:eastAsia="Arial" w:hAnsi="Arial"/>
                  <w:sz w:val="18"/>
                  <w:szCs w:val="18"/>
                  <w:b w:val="1"/>
                  <w:bCs w:val="1"/>
                  <w:color w:val="0000EE"/>
                </w:rPr>
                <w:t>FINANCIAL STATEMENTS</w:t>
              </w:r>
            </w:hyperlink>
          </w:p>
        </w:tc>
        <w:tc>
          <w:tcPr>
            <w:tcW w:w="2560" w:type="dxa"/>
            <w:vAlign w:val="bottom"/>
            <w:gridSpan w:val="2"/>
          </w:tcPr>
          <w:p>
            <w:pPr>
              <w:spacing w:after="0"/>
              <w:rPr>
                <w:sz w:val="19"/>
                <w:szCs w:val="19"/>
                <w:color w:val="auto"/>
              </w:rPr>
            </w:pPr>
          </w:p>
        </w:tc>
        <w:tc>
          <w:tcPr>
            <w:tcW w:w="240" w:type="dxa"/>
            <w:vAlign w:val="bottom"/>
            <w:tcBorders>
              <w:top w:val="single" w:sz="8" w:color="0000EE"/>
            </w:tcBorders>
            <w:gridSpan w:val="3"/>
          </w:tcPr>
          <w:p>
            <w:pPr>
              <w:jc w:val="right"/>
              <w:spacing w:after="0"/>
              <w:rPr>
                <w:rFonts w:ascii="Arial" w:cs="Arial" w:eastAsia="Arial" w:hAnsi="Arial"/>
                <w:sz w:val="18"/>
                <w:szCs w:val="18"/>
                <w:b w:val="1"/>
                <w:bCs w:val="1"/>
                <w:color w:val="0000EE"/>
                <w:w w:val="73"/>
              </w:rPr>
            </w:pPr>
            <w:hyperlink w:anchor="page125">
              <w:r>
                <w:rPr>
                  <w:rFonts w:ascii="Arial" w:cs="Arial" w:eastAsia="Arial" w:hAnsi="Arial"/>
                  <w:sz w:val="18"/>
                  <w:szCs w:val="18"/>
                  <w:b w:val="1"/>
                  <w:bCs w:val="1"/>
                  <w:color w:val="0000EE"/>
                  <w:w w:val="73"/>
                </w:rPr>
                <w:t>122</w:t>
              </w:r>
            </w:hyperlink>
          </w:p>
        </w:tc>
      </w:tr>
      <w:tr>
        <w:trPr>
          <w:trHeight w:val="20"/>
        </w:trPr>
        <w:tc>
          <w:tcPr>
            <w:tcW w:w="72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360" w:type="dxa"/>
            <w:vAlign w:val="bottom"/>
            <w:tcBorders>
              <w:right w:val="single" w:sz="8" w:color="0000EE"/>
            </w:tcBorders>
            <w:gridSpan w:val="3"/>
            <w:shd w:val="clear" w:color="auto" w:fill="0000EE"/>
          </w:tcPr>
          <w:p>
            <w:pPr>
              <w:spacing w:after="0" w:line="20" w:lineRule="exact"/>
              <w:rPr>
                <w:sz w:val="1"/>
                <w:szCs w:val="1"/>
                <w:color w:val="auto"/>
              </w:rPr>
            </w:pPr>
          </w:p>
        </w:tc>
        <w:tc>
          <w:tcPr>
            <w:tcW w:w="1400" w:type="dxa"/>
            <w:vAlign w:val="bottom"/>
            <w:gridSpan w:val="7"/>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5120" w:type="dxa"/>
            <w:vAlign w:val="bottom"/>
            <w:tcBorders>
              <w:right w:val="single" w:sz="8" w:color="0000EE"/>
            </w:tcBorders>
            <w:gridSpan w:val="10"/>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223"/>
        </w:trPr>
        <w:tc>
          <w:tcPr>
            <w:tcW w:w="720" w:type="dxa"/>
            <w:vAlign w:val="bottom"/>
            <w:gridSpan w:val="2"/>
          </w:tcPr>
          <w:p>
            <w:pPr>
              <w:spacing w:after="0"/>
              <w:rPr>
                <w:rFonts w:ascii="Arial" w:cs="Arial" w:eastAsia="Arial" w:hAnsi="Arial"/>
                <w:sz w:val="18"/>
                <w:szCs w:val="18"/>
                <w:b w:val="1"/>
                <w:bCs w:val="1"/>
                <w:color w:val="0000EE"/>
                <w:w w:val="93"/>
              </w:rPr>
            </w:pPr>
            <w:hyperlink w:anchor="page125">
              <w:r>
                <w:rPr>
                  <w:rFonts w:ascii="Arial" w:cs="Arial" w:eastAsia="Arial" w:hAnsi="Arial"/>
                  <w:sz w:val="18"/>
                  <w:szCs w:val="18"/>
                  <w:b w:val="1"/>
                  <w:bCs w:val="1"/>
                  <w:color w:val="0000EE"/>
                  <w:w w:val="93"/>
                </w:rPr>
                <w:t>ITEM 18.</w:t>
              </w:r>
            </w:hyperlink>
          </w:p>
        </w:tc>
        <w:tc>
          <w:tcPr>
            <w:tcW w:w="440" w:type="dxa"/>
            <w:vAlign w:val="bottom"/>
            <w:gridSpan w:val="4"/>
          </w:tcPr>
          <w:p>
            <w:pPr>
              <w:spacing w:after="0"/>
              <w:rPr>
                <w:sz w:val="19"/>
                <w:szCs w:val="19"/>
                <w:color w:val="auto"/>
              </w:rPr>
            </w:pPr>
          </w:p>
        </w:tc>
        <w:tc>
          <w:tcPr>
            <w:tcW w:w="9900" w:type="dxa"/>
            <w:vAlign w:val="bottom"/>
            <w:gridSpan w:val="25"/>
          </w:tcPr>
          <w:p>
            <w:pPr>
              <w:spacing w:after="0"/>
              <w:rPr>
                <w:rFonts w:ascii="Arial" w:cs="Arial" w:eastAsia="Arial" w:hAnsi="Arial"/>
                <w:sz w:val="18"/>
                <w:szCs w:val="18"/>
                <w:b w:val="1"/>
                <w:bCs w:val="1"/>
                <w:color w:val="0000EE"/>
              </w:rPr>
            </w:pPr>
            <w:hyperlink w:anchor="page125">
              <w:r>
                <w:rPr>
                  <w:rFonts w:ascii="Arial" w:cs="Arial" w:eastAsia="Arial" w:hAnsi="Arial"/>
                  <w:sz w:val="18"/>
                  <w:szCs w:val="18"/>
                  <w:b w:val="1"/>
                  <w:bCs w:val="1"/>
                  <w:color w:val="0000EE"/>
                </w:rPr>
                <w:t>FINANCIAL STATEMENTS</w:t>
              </w:r>
            </w:hyperlink>
          </w:p>
        </w:tc>
        <w:tc>
          <w:tcPr>
            <w:tcW w:w="240" w:type="dxa"/>
            <w:vAlign w:val="bottom"/>
            <w:gridSpan w:val="3"/>
          </w:tcPr>
          <w:p>
            <w:pPr>
              <w:jc w:val="right"/>
              <w:spacing w:after="0"/>
              <w:rPr>
                <w:rFonts w:ascii="Arial" w:cs="Arial" w:eastAsia="Arial" w:hAnsi="Arial"/>
                <w:sz w:val="18"/>
                <w:szCs w:val="18"/>
                <w:b w:val="1"/>
                <w:bCs w:val="1"/>
                <w:color w:val="0000EE"/>
                <w:w w:val="73"/>
              </w:rPr>
            </w:pPr>
            <w:hyperlink w:anchor="page125">
              <w:r>
                <w:rPr>
                  <w:rFonts w:ascii="Arial" w:cs="Arial" w:eastAsia="Arial" w:hAnsi="Arial"/>
                  <w:sz w:val="18"/>
                  <w:szCs w:val="18"/>
                  <w:b w:val="1"/>
                  <w:bCs w:val="1"/>
                  <w:color w:val="0000EE"/>
                  <w:w w:val="73"/>
                </w:rPr>
                <w:t>122</w:t>
              </w:r>
            </w:hyperlink>
          </w:p>
        </w:tc>
      </w:tr>
      <w:tr>
        <w:trPr>
          <w:trHeight w:val="223"/>
        </w:trPr>
        <w:tc>
          <w:tcPr>
            <w:tcW w:w="720" w:type="dxa"/>
            <w:vAlign w:val="bottom"/>
            <w:tcBorders>
              <w:top w:val="single" w:sz="8" w:color="0000EE"/>
            </w:tcBorders>
            <w:gridSpan w:val="2"/>
          </w:tcPr>
          <w:p>
            <w:pPr>
              <w:spacing w:after="0"/>
              <w:rPr>
                <w:rFonts w:ascii="Arial" w:cs="Arial" w:eastAsia="Arial" w:hAnsi="Arial"/>
                <w:sz w:val="18"/>
                <w:szCs w:val="18"/>
                <w:b w:val="1"/>
                <w:bCs w:val="1"/>
                <w:color w:val="0000EE"/>
                <w:w w:val="93"/>
              </w:rPr>
            </w:pPr>
            <w:hyperlink w:anchor="page126">
              <w:r>
                <w:rPr>
                  <w:rFonts w:ascii="Arial" w:cs="Arial" w:eastAsia="Arial" w:hAnsi="Arial"/>
                  <w:sz w:val="18"/>
                  <w:szCs w:val="18"/>
                  <w:b w:val="1"/>
                  <w:bCs w:val="1"/>
                  <w:color w:val="0000EE"/>
                  <w:w w:val="93"/>
                </w:rPr>
                <w:t>ITEM 19.</w:t>
              </w:r>
            </w:hyperlink>
          </w:p>
        </w:tc>
        <w:tc>
          <w:tcPr>
            <w:tcW w:w="440" w:type="dxa"/>
            <w:vAlign w:val="bottom"/>
            <w:gridSpan w:val="4"/>
          </w:tcPr>
          <w:p>
            <w:pPr>
              <w:spacing w:after="0"/>
              <w:rPr>
                <w:sz w:val="19"/>
                <w:szCs w:val="19"/>
                <w:color w:val="auto"/>
              </w:rPr>
            </w:pPr>
          </w:p>
        </w:tc>
        <w:tc>
          <w:tcPr>
            <w:tcW w:w="2200" w:type="dxa"/>
            <w:vAlign w:val="bottom"/>
            <w:tcBorders>
              <w:top w:val="single" w:sz="8" w:color="0000EE"/>
            </w:tcBorders>
            <w:gridSpan w:val="4"/>
          </w:tcPr>
          <w:p>
            <w:pPr>
              <w:spacing w:after="0"/>
              <w:rPr>
                <w:rFonts w:ascii="Arial" w:cs="Arial" w:eastAsia="Arial" w:hAnsi="Arial"/>
                <w:sz w:val="18"/>
                <w:szCs w:val="18"/>
                <w:b w:val="1"/>
                <w:bCs w:val="1"/>
                <w:color w:val="0000EE"/>
              </w:rPr>
            </w:pPr>
            <w:hyperlink w:anchor="page126">
              <w:r>
                <w:rPr>
                  <w:rFonts w:ascii="Arial" w:cs="Arial" w:eastAsia="Arial" w:hAnsi="Arial"/>
                  <w:sz w:val="18"/>
                  <w:szCs w:val="18"/>
                  <w:b w:val="1"/>
                  <w:bCs w:val="1"/>
                  <w:color w:val="0000EE"/>
                </w:rPr>
                <w:t>EXHIBITS</w:t>
              </w:r>
            </w:hyperlink>
          </w:p>
        </w:tc>
        <w:tc>
          <w:tcPr>
            <w:tcW w:w="7700" w:type="dxa"/>
            <w:vAlign w:val="bottom"/>
            <w:gridSpan w:val="21"/>
          </w:tcPr>
          <w:p>
            <w:pPr>
              <w:spacing w:after="0"/>
              <w:rPr>
                <w:sz w:val="19"/>
                <w:szCs w:val="19"/>
                <w:color w:val="auto"/>
              </w:rPr>
            </w:pPr>
          </w:p>
        </w:tc>
        <w:tc>
          <w:tcPr>
            <w:tcW w:w="240" w:type="dxa"/>
            <w:vAlign w:val="bottom"/>
            <w:tcBorders>
              <w:top w:val="single" w:sz="8" w:color="0000EE"/>
            </w:tcBorders>
            <w:gridSpan w:val="3"/>
          </w:tcPr>
          <w:p>
            <w:pPr>
              <w:jc w:val="right"/>
              <w:spacing w:after="0"/>
              <w:rPr>
                <w:rFonts w:ascii="Arial" w:cs="Arial" w:eastAsia="Arial" w:hAnsi="Arial"/>
                <w:sz w:val="18"/>
                <w:szCs w:val="18"/>
                <w:b w:val="1"/>
                <w:bCs w:val="1"/>
                <w:color w:val="0000EE"/>
                <w:w w:val="73"/>
              </w:rPr>
            </w:pPr>
            <w:hyperlink w:anchor="page126">
              <w:r>
                <w:rPr>
                  <w:rFonts w:ascii="Arial" w:cs="Arial" w:eastAsia="Arial" w:hAnsi="Arial"/>
                  <w:sz w:val="18"/>
                  <w:szCs w:val="18"/>
                  <w:b w:val="1"/>
                  <w:bCs w:val="1"/>
                  <w:color w:val="0000EE"/>
                  <w:w w:val="73"/>
                </w:rPr>
                <w:t>123</w:t>
              </w:r>
            </w:hyperlink>
          </w:p>
        </w:tc>
      </w:tr>
      <w:tr>
        <w:trPr>
          <w:trHeight w:val="20"/>
        </w:trPr>
        <w:tc>
          <w:tcPr>
            <w:tcW w:w="72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277"/>
        </w:trPr>
        <w:tc>
          <w:tcPr>
            <w:tcW w:w="1160" w:type="dxa"/>
            <w:vAlign w:val="bottom"/>
            <w:gridSpan w:val="6"/>
          </w:tcPr>
          <w:p>
            <w:pPr>
              <w:spacing w:after="0"/>
              <w:rPr>
                <w:rFonts w:ascii="Arial" w:cs="Arial" w:eastAsia="Arial" w:hAnsi="Arial"/>
                <w:sz w:val="18"/>
                <w:szCs w:val="18"/>
                <w:b w:val="1"/>
                <w:bCs w:val="1"/>
                <w:color w:val="0000EE"/>
                <w:w w:val="96"/>
              </w:rPr>
            </w:pPr>
            <w:hyperlink w:anchor="page127">
              <w:r>
                <w:rPr>
                  <w:rFonts w:ascii="Arial" w:cs="Arial" w:eastAsia="Arial" w:hAnsi="Arial"/>
                  <w:sz w:val="18"/>
                  <w:szCs w:val="18"/>
                  <w:b w:val="1"/>
                  <w:bCs w:val="1"/>
                  <w:color w:val="0000EE"/>
                  <w:w w:val="96"/>
                </w:rPr>
                <w:t>SIGNATURES</w:t>
              </w:r>
            </w:hyperlink>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40" w:type="dxa"/>
            <w:vAlign w:val="bottom"/>
            <w:gridSpan w:val="3"/>
          </w:tcPr>
          <w:p>
            <w:pPr>
              <w:jc w:val="right"/>
              <w:spacing w:after="0"/>
              <w:rPr>
                <w:rFonts w:ascii="Arial" w:cs="Arial" w:eastAsia="Arial" w:hAnsi="Arial"/>
                <w:sz w:val="18"/>
                <w:szCs w:val="18"/>
                <w:b w:val="1"/>
                <w:bCs w:val="1"/>
                <w:color w:val="0000EE"/>
                <w:w w:val="73"/>
              </w:rPr>
            </w:pPr>
            <w:hyperlink w:anchor="page127">
              <w:r>
                <w:rPr>
                  <w:rFonts w:ascii="Arial" w:cs="Arial" w:eastAsia="Arial" w:hAnsi="Arial"/>
                  <w:sz w:val="18"/>
                  <w:szCs w:val="18"/>
                  <w:b w:val="1"/>
                  <w:bCs w:val="1"/>
                  <w:color w:val="0000EE"/>
                  <w:w w:val="73"/>
                </w:rPr>
                <w:t>124</w:t>
              </w:r>
            </w:hyperlink>
          </w:p>
        </w:tc>
      </w:tr>
      <w:tr>
        <w:trPr>
          <w:trHeight w:val="20"/>
        </w:trPr>
        <w:tc>
          <w:tcPr>
            <w:tcW w:w="1120" w:type="dxa"/>
            <w:vAlign w:val="bottom"/>
            <w:gridSpan w:val="5"/>
            <w:shd w:val="clear" w:color="auto" w:fill="0000EE"/>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1400" w:type="dxa"/>
            <w:vAlign w:val="bottom"/>
            <w:gridSpan w:val="7"/>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5120" w:type="dxa"/>
            <w:vAlign w:val="bottom"/>
            <w:tcBorders>
              <w:right w:val="single" w:sz="8" w:color="0000EE"/>
            </w:tcBorders>
            <w:gridSpan w:val="10"/>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223"/>
        </w:trPr>
        <w:tc>
          <w:tcPr>
            <w:tcW w:w="11060" w:type="dxa"/>
            <w:vAlign w:val="bottom"/>
            <w:gridSpan w:val="31"/>
          </w:tcPr>
          <w:p>
            <w:pPr>
              <w:spacing w:after="0"/>
              <w:rPr>
                <w:rFonts w:ascii="Arial" w:cs="Arial" w:eastAsia="Arial" w:hAnsi="Arial"/>
                <w:sz w:val="18"/>
                <w:szCs w:val="18"/>
                <w:b w:val="1"/>
                <w:bCs w:val="1"/>
                <w:color w:val="0000EE"/>
              </w:rPr>
            </w:pPr>
            <w:hyperlink w:anchor="page128">
              <w:r>
                <w:rPr>
                  <w:rFonts w:ascii="Arial" w:cs="Arial" w:eastAsia="Arial" w:hAnsi="Arial"/>
                  <w:sz w:val="18"/>
                  <w:szCs w:val="18"/>
                  <w:b w:val="1"/>
                  <w:bCs w:val="1"/>
                  <w:color w:val="0000EE"/>
                </w:rPr>
                <w:t>CREDICORP CONSOLIDATED FINANCIAL STATEMENTS</w:t>
              </w:r>
            </w:hyperlink>
          </w:p>
        </w:tc>
        <w:tc>
          <w:tcPr>
            <w:tcW w:w="240" w:type="dxa"/>
            <w:vAlign w:val="bottom"/>
            <w:gridSpan w:val="3"/>
          </w:tcPr>
          <w:p>
            <w:pPr>
              <w:jc w:val="right"/>
              <w:spacing w:after="0"/>
              <w:rPr>
                <w:rFonts w:ascii="Arial" w:cs="Arial" w:eastAsia="Arial" w:hAnsi="Arial"/>
                <w:sz w:val="18"/>
                <w:szCs w:val="18"/>
                <w:b w:val="1"/>
                <w:bCs w:val="1"/>
                <w:color w:val="0000EE"/>
                <w:w w:val="73"/>
              </w:rPr>
            </w:pPr>
            <w:hyperlink w:anchor="page128">
              <w:r>
                <w:rPr>
                  <w:rFonts w:ascii="Arial" w:cs="Arial" w:eastAsia="Arial" w:hAnsi="Arial"/>
                  <w:sz w:val="18"/>
                  <w:szCs w:val="18"/>
                  <w:b w:val="1"/>
                  <w:bCs w:val="1"/>
                  <w:color w:val="0000EE"/>
                  <w:w w:val="73"/>
                </w:rPr>
                <w:t>125</w:t>
              </w:r>
            </w:hyperlink>
          </w:p>
        </w:tc>
      </w:tr>
      <w:tr>
        <w:trPr>
          <w:trHeight w:val="223"/>
        </w:trPr>
        <w:tc>
          <w:tcPr>
            <w:tcW w:w="3360" w:type="dxa"/>
            <w:vAlign w:val="bottom"/>
            <w:tcBorders>
              <w:top w:val="single" w:sz="8" w:color="0000EE"/>
              <w:bottom w:val="single" w:sz="8" w:color="0000EE"/>
            </w:tcBorders>
            <w:gridSpan w:val="10"/>
          </w:tcPr>
          <w:p>
            <w:pPr>
              <w:spacing w:after="0"/>
              <w:rPr>
                <w:rFonts w:ascii="Arial" w:cs="Arial" w:eastAsia="Arial" w:hAnsi="Arial"/>
                <w:sz w:val="18"/>
                <w:szCs w:val="18"/>
                <w:b w:val="1"/>
                <w:bCs w:val="1"/>
                <w:color w:val="0000EE"/>
                <w:w w:val="98"/>
              </w:rPr>
            </w:pPr>
            <w:hyperlink w:anchor="page191">
              <w:r>
                <w:rPr>
                  <w:rFonts w:ascii="Arial" w:cs="Arial" w:eastAsia="Arial" w:hAnsi="Arial"/>
                  <w:sz w:val="18"/>
                  <w:szCs w:val="18"/>
                  <w:b w:val="1"/>
                  <w:bCs w:val="1"/>
                  <w:color w:val="0000EE"/>
                  <w:w w:val="98"/>
                </w:rPr>
                <w:t>REPORT OF INDEPENDENT AUDITORS</w:t>
              </w:r>
            </w:hyperlink>
          </w:p>
        </w:tc>
        <w:tc>
          <w:tcPr>
            <w:tcW w:w="1400" w:type="dxa"/>
            <w:vAlign w:val="bottom"/>
            <w:tcBorders>
              <w:top w:val="single" w:sz="8" w:color="0000EE"/>
            </w:tcBorders>
            <w:gridSpan w:val="7"/>
          </w:tcPr>
          <w:p>
            <w:pPr>
              <w:spacing w:after="0"/>
              <w:rPr>
                <w:sz w:val="19"/>
                <w:szCs w:val="19"/>
                <w:color w:val="auto"/>
              </w:rPr>
            </w:pPr>
          </w:p>
        </w:tc>
        <w:tc>
          <w:tcPr>
            <w:tcW w:w="6300" w:type="dxa"/>
            <w:vAlign w:val="bottom"/>
            <w:gridSpan w:val="14"/>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r>
      <w:tr>
        <w:trPr>
          <w:trHeight w:val="223"/>
        </w:trPr>
        <w:tc>
          <w:tcPr>
            <w:tcW w:w="11060" w:type="dxa"/>
            <w:vAlign w:val="bottom"/>
            <w:gridSpan w:val="31"/>
          </w:tcPr>
          <w:p>
            <w:pPr>
              <w:spacing w:after="0"/>
              <w:rPr>
                <w:rFonts w:ascii="Arial" w:cs="Arial" w:eastAsia="Arial" w:hAnsi="Arial"/>
                <w:sz w:val="18"/>
                <w:szCs w:val="18"/>
                <w:b w:val="1"/>
                <w:bCs w:val="1"/>
                <w:color w:val="0000EE"/>
              </w:rPr>
            </w:pPr>
            <w:hyperlink w:anchor="page193">
              <w:r>
                <w:rPr>
                  <w:rFonts w:ascii="Arial" w:cs="Arial" w:eastAsia="Arial" w:hAnsi="Arial"/>
                  <w:sz w:val="18"/>
                  <w:szCs w:val="18"/>
                  <w:b w:val="1"/>
                  <w:bCs w:val="1"/>
                  <w:color w:val="0000EE"/>
                </w:rPr>
                <w:t>CERTIFICATIONS PURSUANT TO U.S. SARBANES-OXLEY ACT OF 2002</w:t>
              </w:r>
            </w:hyperlink>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78"/>
        </w:trPr>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740" w:type="dxa"/>
            <w:vAlign w:val="bottom"/>
            <w:tcBorders>
              <w:top w:val="single" w:sz="8" w:color="0000EE"/>
            </w:tcBorders>
            <w:gridSpan w:val="14"/>
          </w:tcPr>
          <w:p>
            <w:pPr>
              <w:ind w:left="4480"/>
              <w:spacing w:after="0"/>
              <w:rPr>
                <w:sz w:val="20"/>
                <w:szCs w:val="20"/>
                <w:color w:val="auto"/>
              </w:rPr>
            </w:pPr>
            <w:r>
              <w:rPr>
                <w:rFonts w:ascii="Arial" w:cs="Arial" w:eastAsia="Arial" w:hAnsi="Arial"/>
                <w:sz w:val="18"/>
                <w:szCs w:val="18"/>
                <w:color w:val="auto"/>
              </w:rPr>
              <w:t>1</w:t>
            </w:r>
          </w:p>
        </w:tc>
        <w:tc>
          <w:tcPr>
            <w:tcW w:w="4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300"/>
          </w:cols>
          <w:pgMar w:left="280" w:top="368"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231" w:lineRule="exact"/>
        <w:rPr>
          <w:sz w:val="20"/>
          <w:szCs w:val="20"/>
          <w:color w:val="auto"/>
        </w:rPr>
      </w:pPr>
    </w:p>
    <w:p>
      <w:pPr>
        <w:jc w:val="both"/>
        <w:ind w:firstLine="239"/>
        <w:spacing w:after="0" w:line="259" w:lineRule="auto"/>
        <w:rPr>
          <w:sz w:val="20"/>
          <w:szCs w:val="20"/>
          <w:color w:val="auto"/>
        </w:rPr>
      </w:pPr>
      <w:r>
        <w:rPr>
          <w:rFonts w:ascii="Arial" w:cs="Arial" w:eastAsia="Arial" w:hAnsi="Arial"/>
          <w:sz w:val="18"/>
          <w:szCs w:val="18"/>
          <w:color w:val="auto"/>
        </w:rPr>
        <w:t>Unless otherwise specified or the context otherwise requires, references in this Form 20-F (the “Annual Report”) to “$,” “US$,” “Dollars” and “U.S. Dollars” are to United States dollars and references to “S/.,” “Nuevo Sol” or “Nuevos Soles” are to Peruvian Nuevos Soles. Each Nuevo Sol is divided into 100 céntimos (cents).</w:t>
      </w:r>
    </w:p>
    <w:p>
      <w:pPr>
        <w:spacing w:after="0" w:line="19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Credicorp Ltd., a Bermuda limited liability company (“Credicorp” as a separate entity or together with its consolidated subsidiaries, as the context may require), maintains its financial books and records in U.S. Dollars and presents its financial statements in accordance with International Financial Reporting Standards (“IFRS”). IFRS vary in certain respects from United States generally accepted accounting principles (“U.S. GAAP”). For a discussion of significant differences between IFRS and U.S. GAAP, together with a reconciliation of net income and shareholders’ equity to U.S. GAAP for Credicorp, see Note 24 to Credicorp’s consolidated financial statements for the years ended December 31, 2001, 2002 and 2003 (the “Credicorp Consolidated Financial Statements”) included elsewhere herein.</w:t>
      </w:r>
    </w:p>
    <w:p>
      <w:pPr>
        <w:spacing w:after="0" w:line="198" w:lineRule="exact"/>
        <w:rPr>
          <w:sz w:val="20"/>
          <w:szCs w:val="20"/>
          <w:color w:val="auto"/>
        </w:rPr>
      </w:pPr>
    </w:p>
    <w:p>
      <w:pPr>
        <w:jc w:val="both"/>
        <w:ind w:firstLine="265"/>
        <w:spacing w:after="0" w:line="290" w:lineRule="auto"/>
        <w:rPr>
          <w:sz w:val="20"/>
          <w:szCs w:val="20"/>
          <w:color w:val="auto"/>
        </w:rPr>
      </w:pPr>
      <w:r>
        <w:rPr>
          <w:rFonts w:ascii="Arial" w:cs="Arial" w:eastAsia="Arial" w:hAnsi="Arial"/>
          <w:sz w:val="16"/>
          <w:szCs w:val="16"/>
          <w:color w:val="auto"/>
        </w:rPr>
        <w:t>Credicorp operates primarily through its four principal subsidiaries, Banco de Crédito del Perú(together with its consolidated subsidiaries, “BCP”), Atlantic Security Holding Corporation (together with its consolidated subsidiaries, “ASHC”), El Pacífico-Peruano Suiza Compañía de Seguros y Reaseguros (together with its consolidated subsidiaries, “PPS”), and Banco Tequendama. BCP’s activities include commercial banking, investment banking activities, and retail banking. As of and for the year ended December 31, 2003, BCP accounted for 85.3% of Credicorp’s total revenues, 79.3% of total assets, 113.2% of net income and 67.9% of shareholders’ equity. Unless otherwise specified, the individual financial information for BCP, ASHC and PPS included herein has been derived from the audited consolidated financial statements of each such entity. See “Item 3. Key Information—(A) Selected Financial Data” and “Item 4. Information on the Company—(A) History and Development of the Company.”</w:t>
      </w:r>
    </w:p>
    <w:p>
      <w:pPr>
        <w:spacing w:after="0" w:line="172" w:lineRule="exact"/>
        <w:rPr>
          <w:sz w:val="20"/>
          <w:szCs w:val="20"/>
          <w:color w:val="auto"/>
        </w:rPr>
      </w:pPr>
    </w:p>
    <w:p>
      <w:pPr>
        <w:jc w:val="both"/>
        <w:ind w:firstLine="248"/>
        <w:spacing w:after="0" w:line="285" w:lineRule="auto"/>
        <w:rPr>
          <w:sz w:val="20"/>
          <w:szCs w:val="20"/>
          <w:color w:val="auto"/>
        </w:rPr>
      </w:pPr>
      <w:r>
        <w:rPr>
          <w:rFonts w:ascii="Arial" w:cs="Arial" w:eastAsia="Arial" w:hAnsi="Arial"/>
          <w:sz w:val="16"/>
          <w:szCs w:val="16"/>
          <w:color w:val="auto"/>
        </w:rPr>
        <w:t xml:space="preserve">In addition to the Nuevo Sol amounts translated into U.S. Dollars for the purpose of preparing the Credicorp Consolidated Financial Statements (see Note 22 to the Credicorp Consolidated Financial Statements and “Item 3. Key Information—(A) Selected Financial Data”), this Annual Report contains certain Nuevo Sol amounts translated into U.S. Dollars at specified rates solely for the convenience of the reader. None of these translations should be construed as representations that the Nuevo Sol amounts actually represent such equivalent U.S. Dollar amounts or could be converted into U.S. Dollars at the rate indicated as of the dates mentioned herein or at all. Unless otherwise indicated (see Note 22 to the Credicorp Consolidated Financial Statements and “Item 3. Key Information—(A) Selected Financial Data”), such U.S. Dollar amounts have been translated from Nuevos Soles at an exchange rate of S/.3.463 = US$1.00, the December 31, 2003 exchange rate set by the Peruvian </w:t>
      </w:r>
      <w:r>
        <w:rPr>
          <w:rFonts w:ascii="Arial" w:cs="Arial" w:eastAsia="Arial" w:hAnsi="Arial"/>
          <w:sz w:val="16"/>
          <w:szCs w:val="16"/>
          <w:i w:val="1"/>
          <w:iCs w:val="1"/>
          <w:color w:val="auto"/>
        </w:rPr>
        <w:t>Superintendencia de Banca y Seguros</w:t>
      </w:r>
      <w:r>
        <w:rPr>
          <w:rFonts w:ascii="Arial" w:cs="Arial" w:eastAsia="Arial" w:hAnsi="Arial"/>
          <w:sz w:val="16"/>
          <w:szCs w:val="16"/>
          <w:color w:val="auto"/>
        </w:rPr>
        <w:t xml:space="preserve"> (the Superintendency of Banks and Insurance, or “SBS”). The average of the bid and offered free market exchange rates published by SBS for June 10, 2004 was S/.3.479 per US$1.00. The translation of amounts expressed in nominal or constant Nuevos Soles with purchasing power as of a specified date by the then prevailing exchange rate may result in presentation of U.S. Dollar amounts that differ from the U.S. Dollar amounts that would have been obtained by translating nominal or constant Nuevos Soles with purchasing power as of another specified date by the prevailing exchange rate on that specified date. The translation procedure may also differ from the amounts included in the Credicorp Consolidated Financial Statements (see Note 3(c) to the Credicorp Consolidated Financial Statements). See “Item 3. Key Information—(A) Selected Financial Data—Exchange Rates” for information regarding the average rates of exchange between the Nuevo Sol and the U.S. Dollar for the periods specified therein. The Federal Reserve Bank of New York does not publish a noon buying rate for Nuevos Soles.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CAUTIONARY STATEMENT WITH RESPECT TO FORWARD-LOOKING STATEMENTS</w:t>
      </w:r>
    </w:p>
    <w:p>
      <w:pPr>
        <w:spacing w:after="0" w:line="231" w:lineRule="exact"/>
        <w:rPr>
          <w:sz w:val="20"/>
          <w:szCs w:val="20"/>
          <w:color w:val="auto"/>
        </w:rPr>
      </w:pPr>
    </w:p>
    <w:p>
      <w:pPr>
        <w:jc w:val="both"/>
        <w:ind w:firstLine="276"/>
        <w:spacing w:after="0" w:line="253" w:lineRule="auto"/>
        <w:rPr>
          <w:sz w:val="20"/>
          <w:szCs w:val="20"/>
          <w:color w:val="auto"/>
        </w:rPr>
      </w:pPr>
      <w:r>
        <w:rPr>
          <w:rFonts w:ascii="Arial" w:cs="Arial" w:eastAsia="Arial" w:hAnsi="Arial"/>
          <w:sz w:val="18"/>
          <w:szCs w:val="18"/>
          <w:color w:val="auto"/>
        </w:rPr>
        <w:t>Certain of the statements contained in this Annual Report that are not historical facts, including, without limitation, certain statements made in the sections hereof entitled “Item 3. Key Information,” “Item 4. Information on the Company,” “Item 5. Operating and Financial Review and Prospects”and “Item 11. Quantitative and Qualitative Disclosures about Market Risk” are forward-looking statements within the meaning of Section 27A of the U.S. Securities Act of 1933 and Section 21E of the U.S. Securities Exchange Act of 1934 (the “Exchange Act”). These forward-looking statements are based on management’s current views and assumptions and involve known and unknown risks and uncertainties that could cause actual results, performance or events to differ materially from those expressed or implied in such statements. Actual results, performance or events may differ materially from those in such statements due to, without limitation:</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general economic conditions, including in particular economic conditions in Perú;</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performance of financial markets, including emerging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frequency and severity of insured loss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interest rate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currency exchange rates, including the Nuevo Sol/U.S. Dollar exchange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increasing levels of competition in Perú and other emerging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changes in laws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changes in the policies of central banks and/or foreign governments;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general competitive factors, in each case on a global, regional and/or national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See “Item 3. Key Information—(D) Risk Factors,” and “Item 5. Operating and Financial Review and Prospects.”</w:t>
      </w:r>
    </w:p>
    <w:p>
      <w:pPr>
        <w:spacing w:after="0" w:line="225" w:lineRule="exact"/>
        <w:rPr>
          <w:sz w:val="20"/>
          <w:szCs w:val="20"/>
          <w:color w:val="auto"/>
        </w:rPr>
      </w:pPr>
    </w:p>
    <w:p>
      <w:pPr>
        <w:jc w:val="both"/>
        <w:ind w:firstLine="240"/>
        <w:spacing w:after="0" w:line="268" w:lineRule="auto"/>
        <w:rPr>
          <w:sz w:val="20"/>
          <w:szCs w:val="20"/>
          <w:color w:val="auto"/>
        </w:rPr>
      </w:pPr>
      <w:r>
        <w:rPr>
          <w:rFonts w:ascii="Arial" w:cs="Arial" w:eastAsia="Arial" w:hAnsi="Arial"/>
          <w:sz w:val="18"/>
          <w:szCs w:val="18"/>
          <w:color w:val="auto"/>
        </w:rPr>
        <w:t>Credicorp is not under any obligation to, and expressly disclaims any such obligation to, update or alter its forward-looking statements, whether as a result of new information, future events, or otherwise.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31" w:lineRule="exact"/>
        <w:rPr>
          <w:sz w:val="20"/>
          <w:szCs w:val="20"/>
          <w:color w:val="auto"/>
        </w:rPr>
      </w:pPr>
    </w:p>
    <w:p>
      <w:pPr>
        <w:jc w:val="right"/>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IDENTITY OF DIRECTORS, SENIOR MANAGEMENT AND ADVISERS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right"/>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OFFER STATISTICS AND EXPECTED TIMETABLE</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right"/>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KEY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Selected Financial Data</w:t>
      </w:r>
    </w:p>
    <w:p>
      <w:pPr>
        <w:spacing w:after="0" w:line="231" w:lineRule="exact"/>
        <w:rPr>
          <w:sz w:val="20"/>
          <w:szCs w:val="20"/>
          <w:color w:val="auto"/>
        </w:rPr>
      </w:pPr>
    </w:p>
    <w:p>
      <w:pPr>
        <w:jc w:val="both"/>
        <w:ind w:firstLine="241"/>
        <w:spacing w:after="0" w:line="259" w:lineRule="auto"/>
        <w:rPr>
          <w:sz w:val="20"/>
          <w:szCs w:val="20"/>
          <w:color w:val="auto"/>
        </w:rPr>
      </w:pPr>
      <w:r>
        <w:rPr>
          <w:rFonts w:ascii="Arial" w:cs="Arial" w:eastAsia="Arial" w:hAnsi="Arial"/>
          <w:sz w:val="18"/>
          <w:szCs w:val="18"/>
          <w:color w:val="auto"/>
        </w:rPr>
        <w:t>The following table presents summary consolidated financial information for Credicorp at the dates and for the periods indicated. This selected financial data is presented in U.S. Dollars. This information should be read in conjunction with, and is qualified in its entirety by reference to, the Credicorp Consolidated Financial Statements, also presented in U.S. Dollars.</w:t>
      </w:r>
    </w:p>
    <w:p>
      <w:pPr>
        <w:spacing w:after="0" w:line="194" w:lineRule="exact"/>
        <w:rPr>
          <w:sz w:val="20"/>
          <w:szCs w:val="20"/>
          <w:color w:val="auto"/>
        </w:rPr>
      </w:pPr>
    </w:p>
    <w:p>
      <w:pPr>
        <w:jc w:val="both"/>
        <w:ind w:firstLine="380"/>
        <w:spacing w:after="0" w:line="298" w:lineRule="auto"/>
        <w:rPr>
          <w:sz w:val="20"/>
          <w:szCs w:val="20"/>
          <w:color w:val="auto"/>
        </w:rPr>
      </w:pPr>
      <w:r>
        <w:rPr>
          <w:rFonts w:ascii="Arial" w:cs="Arial" w:eastAsia="Arial" w:hAnsi="Arial"/>
          <w:sz w:val="16"/>
          <w:szCs w:val="16"/>
          <w:color w:val="auto"/>
        </w:rPr>
        <w:t>The summary consolidated financial data as of, and for the years ended, December 31, 1999, 2000, 2001 and 2002 are derived from the Credicorp Consolidated Financial Statements audited by Dongo-Soria Gaveglio y Asociados, a member firm of PricewaterhouseCoopers, independent auditors. The summary consolidated financial data as of, and for the year ended, December 31, 2003 is derived from the Credicorp Consolidated Financial Statements audited by Medina, Zaldívar, Paredes &amp; Asociados, a member firm of Ernst &amp; Young, independent accountants.</w:t>
      </w:r>
    </w:p>
    <w:p>
      <w:pPr>
        <w:spacing w:after="0" w:line="167" w:lineRule="exact"/>
        <w:rPr>
          <w:sz w:val="20"/>
          <w:szCs w:val="20"/>
          <w:color w:val="auto"/>
        </w:rPr>
      </w:pPr>
    </w:p>
    <w:p>
      <w:pPr>
        <w:jc w:val="both"/>
        <w:ind w:firstLine="284"/>
        <w:spacing w:after="0" w:line="306" w:lineRule="auto"/>
        <w:rPr>
          <w:sz w:val="20"/>
          <w:szCs w:val="20"/>
          <w:color w:val="auto"/>
        </w:rPr>
      </w:pPr>
      <w:r>
        <w:rPr>
          <w:rFonts w:ascii="Arial" w:cs="Arial" w:eastAsia="Arial" w:hAnsi="Arial"/>
          <w:sz w:val="16"/>
          <w:szCs w:val="16"/>
          <w:color w:val="auto"/>
        </w:rPr>
        <w:t>The report of Dongo-Soria Gaveglio y Asociados, a member firm of PricewaterhouseCoopers, independent auditors, as of December 31, 2002 and for the years ended December 31, 2001 and 2002, appears elsewhere in this Annual Report. The report of Medina, Zaldívar, Paredes &amp; Asociados on the Credicorp Consolidated Financial Statements as of December 31, 2003 and for the year ended December 31, 2003, appears elsewhere in this Annual Report.</w:t>
      </w:r>
    </w:p>
    <w:p>
      <w:pPr>
        <w:spacing w:after="0" w:line="161" w:lineRule="exact"/>
        <w:rPr>
          <w:sz w:val="20"/>
          <w:szCs w:val="20"/>
          <w:color w:val="auto"/>
        </w:rPr>
      </w:pPr>
    </w:p>
    <w:p>
      <w:pPr>
        <w:jc w:val="both"/>
        <w:ind w:firstLine="371"/>
        <w:spacing w:after="0" w:line="256" w:lineRule="auto"/>
        <w:rPr>
          <w:sz w:val="20"/>
          <w:szCs w:val="20"/>
          <w:color w:val="auto"/>
        </w:rPr>
      </w:pPr>
      <w:r>
        <w:rPr>
          <w:rFonts w:ascii="Arial" w:cs="Arial" w:eastAsia="Arial" w:hAnsi="Arial"/>
          <w:sz w:val="18"/>
          <w:szCs w:val="18"/>
          <w:color w:val="auto"/>
        </w:rPr>
        <w:t>The summary consolidated financial information presented below and the Credicorp Consolidated Financial Statements are prepared and presented in accordance with IFRS, which differ in certain significant respects from U.S. GAAP. See Note 24 to the Credicorp Consolidated Financial Statements, which provides a description of the significant differences between IFRS and U.S. GAAP, as they relate to Credicorp, and a reconciliation to U.S. GAAP of Credicorp’s net income and shareholders’ equity.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5" w:name="page6"/>
    <w:bookmarkEnd w:id="5"/>
    <w:tbl>
      <w:tblPr>
        <w:tblLayout w:type="fixed"/>
        <w:tblInd w:w="40" w:type="dxa"/>
        <w:tblCellMar>
          <w:top w:w="0" w:type="dxa"/>
          <w:left w:w="0" w:type="dxa"/>
          <w:bottom w:w="0" w:type="dxa"/>
          <w:right w:w="0" w:type="dxa"/>
        </w:tblCellMar>
      </w:tblPr>
      <w:tr>
        <w:trPr>
          <w:trHeight w:val="228"/>
        </w:trPr>
        <w:tc>
          <w:tcPr>
            <w:tcW w:w="3960" w:type="dxa"/>
            <w:vAlign w:val="bottom"/>
          </w:tcPr>
          <w:p>
            <w:pPr>
              <w:spacing w:after="0"/>
              <w:rPr>
                <w:sz w:val="19"/>
                <w:szCs w:val="19"/>
                <w:color w:val="auto"/>
              </w:rPr>
            </w:pPr>
          </w:p>
        </w:tc>
        <w:tc>
          <w:tcPr>
            <w:tcW w:w="2960" w:type="dxa"/>
            <w:vAlign w:val="bottom"/>
            <w:gridSpan w:val="4"/>
          </w:tcPr>
          <w:p>
            <w:pPr>
              <w:ind w:left="460"/>
              <w:spacing w:after="0"/>
              <w:rPr>
                <w:sz w:val="20"/>
                <w:szCs w:val="20"/>
                <w:color w:val="auto"/>
              </w:rPr>
            </w:pPr>
            <w:r>
              <w:rPr>
                <w:rFonts w:ascii="Arial" w:cs="Arial" w:eastAsia="Arial" w:hAnsi="Arial"/>
                <w:sz w:val="18"/>
                <w:szCs w:val="18"/>
                <w:b w:val="1"/>
                <w:bCs w:val="1"/>
                <w:color w:val="auto"/>
                <w:w w:val="98"/>
              </w:rPr>
              <w:t>SELECTED FINANCIAL DATA</w:t>
            </w: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3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40" w:type="dxa"/>
            <w:vAlign w:val="bottom"/>
            <w:gridSpan w:val="5"/>
          </w:tcPr>
          <w:p>
            <w:pPr>
              <w:jc w:val="center"/>
              <w:ind w:left="992"/>
              <w:spacing w:after="0"/>
              <w:rPr>
                <w:sz w:val="20"/>
                <w:szCs w:val="20"/>
                <w:color w:val="auto"/>
              </w:rPr>
            </w:pPr>
            <w:r>
              <w:rPr>
                <w:rFonts w:ascii="Arial" w:cs="Arial" w:eastAsia="Arial" w:hAnsi="Arial"/>
                <w:sz w:val="18"/>
                <w:szCs w:val="18"/>
                <w:b w:val="1"/>
                <w:bCs w:val="1"/>
                <w:color w:val="auto"/>
                <w:w w:val="86"/>
              </w:rPr>
              <w:t>Year ended December 31,</w:t>
            </w: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3960" w:type="dxa"/>
            <w:vAlign w:val="bottom"/>
          </w:tcPr>
          <w:p>
            <w:pPr>
              <w:spacing w:after="0"/>
              <w:rPr>
                <w:sz w:val="11"/>
                <w:szCs w:val="11"/>
                <w:color w:val="auto"/>
              </w:rPr>
            </w:pPr>
          </w:p>
        </w:tc>
        <w:tc>
          <w:tcPr>
            <w:tcW w:w="146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46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46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4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3960" w:type="dxa"/>
            <w:vAlign w:val="bottom"/>
          </w:tcPr>
          <w:p>
            <w:pPr>
              <w:spacing w:after="0"/>
              <w:rPr>
                <w:sz w:val="24"/>
                <w:szCs w:val="24"/>
                <w:color w:val="auto"/>
              </w:rPr>
            </w:pPr>
          </w:p>
        </w:tc>
        <w:tc>
          <w:tcPr>
            <w:tcW w:w="1460" w:type="dxa"/>
            <w:vAlign w:val="bottom"/>
          </w:tcPr>
          <w:p>
            <w:pPr>
              <w:jc w:val="right"/>
              <w:ind w:right="492"/>
              <w:spacing w:after="0"/>
              <w:rPr>
                <w:sz w:val="20"/>
                <w:szCs w:val="20"/>
                <w:color w:val="auto"/>
              </w:rPr>
            </w:pPr>
            <w:r>
              <w:rPr>
                <w:rFonts w:ascii="Arial" w:cs="Arial" w:eastAsia="Arial" w:hAnsi="Arial"/>
                <w:sz w:val="18"/>
                <w:szCs w:val="18"/>
                <w:b w:val="1"/>
                <w:bCs w:val="1"/>
                <w:color w:val="auto"/>
              </w:rPr>
              <w:t>1999</w:t>
            </w:r>
          </w:p>
        </w:tc>
        <w:tc>
          <w:tcPr>
            <w:tcW w:w="20" w:type="dxa"/>
            <w:vAlign w:val="bottom"/>
          </w:tcPr>
          <w:p>
            <w:pPr>
              <w:spacing w:after="0"/>
              <w:rPr>
                <w:sz w:val="24"/>
                <w:szCs w:val="24"/>
                <w:color w:val="auto"/>
              </w:rPr>
            </w:pPr>
          </w:p>
        </w:tc>
        <w:tc>
          <w:tcPr>
            <w:tcW w:w="1460" w:type="dxa"/>
            <w:vAlign w:val="bottom"/>
          </w:tcPr>
          <w:p>
            <w:pPr>
              <w:jc w:val="right"/>
              <w:ind w:right="492"/>
              <w:spacing w:after="0"/>
              <w:rPr>
                <w:sz w:val="20"/>
                <w:szCs w:val="20"/>
                <w:color w:val="auto"/>
              </w:rPr>
            </w:pPr>
            <w:r>
              <w:rPr>
                <w:rFonts w:ascii="Arial" w:cs="Arial" w:eastAsia="Arial" w:hAnsi="Arial"/>
                <w:sz w:val="18"/>
                <w:szCs w:val="18"/>
                <w:b w:val="1"/>
                <w:bCs w:val="1"/>
                <w:color w:val="auto"/>
              </w:rPr>
              <w:t>2000</w:t>
            </w:r>
          </w:p>
        </w:tc>
        <w:tc>
          <w:tcPr>
            <w:tcW w:w="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4"/>
              </w:rPr>
              <w:t>2001</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jc w:val="right"/>
              <w:ind w:right="472"/>
              <w:spacing w:after="0"/>
              <w:rPr>
                <w:sz w:val="20"/>
                <w:szCs w:val="20"/>
                <w:color w:val="auto"/>
              </w:rPr>
            </w:pPr>
            <w:r>
              <w:rPr>
                <w:rFonts w:ascii="Arial" w:cs="Arial" w:eastAsia="Arial" w:hAnsi="Arial"/>
                <w:sz w:val="18"/>
                <w:szCs w:val="18"/>
                <w:b w:val="1"/>
                <w:bCs w:val="1"/>
                <w:color w:val="auto"/>
              </w:rPr>
              <w:t>2002</w:t>
            </w:r>
          </w:p>
        </w:tc>
        <w:tc>
          <w:tcPr>
            <w:tcW w:w="40" w:type="dxa"/>
            <w:vAlign w:val="bottom"/>
          </w:tcPr>
          <w:p>
            <w:pPr>
              <w:spacing w:after="0"/>
              <w:rPr>
                <w:sz w:val="24"/>
                <w:szCs w:val="24"/>
                <w:color w:val="auto"/>
              </w:rPr>
            </w:pPr>
          </w:p>
        </w:tc>
        <w:tc>
          <w:tcPr>
            <w:tcW w:w="1460" w:type="dxa"/>
            <w:vAlign w:val="bottom"/>
          </w:tcPr>
          <w:p>
            <w:pPr>
              <w:jc w:val="right"/>
              <w:ind w:right="492"/>
              <w:spacing w:after="0"/>
              <w:rPr>
                <w:sz w:val="20"/>
                <w:szCs w:val="20"/>
                <w:color w:val="auto"/>
              </w:rPr>
            </w:pPr>
            <w:r>
              <w:rPr>
                <w:rFonts w:ascii="Arial" w:cs="Arial" w:eastAsia="Arial" w:hAnsi="Arial"/>
                <w:sz w:val="18"/>
                <w:szCs w:val="18"/>
                <w:b w:val="1"/>
                <w:bCs w:val="1"/>
                <w:color w:val="auto"/>
              </w:rPr>
              <w:t>2003</w:t>
            </w:r>
          </w:p>
        </w:tc>
        <w:tc>
          <w:tcPr>
            <w:tcW w:w="0" w:type="dxa"/>
            <w:vAlign w:val="bottom"/>
          </w:tcPr>
          <w:p>
            <w:pPr>
              <w:spacing w:after="0"/>
              <w:rPr>
                <w:sz w:val="1"/>
                <w:szCs w:val="1"/>
                <w:color w:val="auto"/>
              </w:rPr>
            </w:pPr>
          </w:p>
        </w:tc>
      </w:tr>
      <w:tr>
        <w:trPr>
          <w:trHeight w:val="137"/>
        </w:trPr>
        <w:tc>
          <w:tcPr>
            <w:tcW w:w="3960" w:type="dxa"/>
            <w:vAlign w:val="bottom"/>
          </w:tcPr>
          <w:p>
            <w:pPr>
              <w:spacing w:after="0"/>
              <w:rPr>
                <w:sz w:val="11"/>
                <w:szCs w:val="11"/>
                <w:color w:val="auto"/>
              </w:rPr>
            </w:pPr>
          </w:p>
        </w:tc>
        <w:tc>
          <w:tcPr>
            <w:tcW w:w="14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4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4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460" w:type="dxa"/>
            <w:vAlign w:val="bottom"/>
            <w:tcBorders>
              <w:bottom w:val="single" w:sz="8" w:color="9A9A9A"/>
            </w:tcBorders>
            <w:gridSpan w:val="2"/>
          </w:tcPr>
          <w:p>
            <w:pPr>
              <w:spacing w:after="0"/>
              <w:rPr>
                <w:sz w:val="11"/>
                <w:szCs w:val="11"/>
                <w:color w:val="auto"/>
              </w:rPr>
            </w:pPr>
          </w:p>
        </w:tc>
        <w:tc>
          <w:tcPr>
            <w:tcW w:w="40" w:type="dxa"/>
            <w:vAlign w:val="bottom"/>
          </w:tcPr>
          <w:p>
            <w:pPr>
              <w:spacing w:after="0"/>
              <w:rPr>
                <w:sz w:val="11"/>
                <w:szCs w:val="11"/>
                <w:color w:val="auto"/>
              </w:rPr>
            </w:pPr>
          </w:p>
        </w:tc>
        <w:tc>
          <w:tcPr>
            <w:tcW w:w="14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3960" w:type="dxa"/>
            <w:vAlign w:val="bottom"/>
          </w:tcPr>
          <w:p>
            <w:pPr>
              <w:spacing w:after="0"/>
              <w:rPr>
                <w:sz w:val="24"/>
                <w:szCs w:val="24"/>
                <w:color w:val="auto"/>
              </w:rPr>
            </w:pPr>
          </w:p>
        </w:tc>
        <w:tc>
          <w:tcPr>
            <w:tcW w:w="7400" w:type="dxa"/>
            <w:vAlign w:val="bottom"/>
            <w:gridSpan w:val="10"/>
          </w:tcPr>
          <w:p>
            <w:pPr>
              <w:jc w:val="center"/>
              <w:spacing w:after="0"/>
              <w:rPr>
                <w:sz w:val="20"/>
                <w:szCs w:val="20"/>
                <w:color w:val="auto"/>
              </w:rPr>
            </w:pPr>
            <w:r>
              <w:rPr>
                <w:rFonts w:ascii="Arial" w:cs="Arial" w:eastAsia="Arial" w:hAnsi="Arial"/>
                <w:sz w:val="18"/>
                <w:szCs w:val="18"/>
                <w:i w:val="1"/>
                <w:iCs w:val="1"/>
                <w:color w:val="auto"/>
                <w:w w:val="87"/>
              </w:rPr>
              <w:t>(U.S. Dollars in thousands, except percentages, ratios, and per common share data)</w:t>
            </w: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0"/>
                <w:szCs w:val="20"/>
                <w:color w:val="auto"/>
              </w:rPr>
            </w:pPr>
            <w:r>
              <w:rPr>
                <w:rFonts w:ascii="Arial" w:cs="Arial" w:eastAsia="Arial" w:hAnsi="Arial"/>
                <w:sz w:val="18"/>
                <w:szCs w:val="18"/>
                <w:b w:val="1"/>
                <w:bCs w:val="1"/>
                <w:color w:val="auto"/>
              </w:rPr>
              <w:t>INCOME STATEMENT DATA:</w:t>
            </w: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0"/>
                <w:szCs w:val="20"/>
                <w:color w:val="auto"/>
              </w:rPr>
            </w:pPr>
            <w:r>
              <w:rPr>
                <w:rFonts w:ascii="Arial" w:cs="Arial" w:eastAsia="Arial" w:hAnsi="Arial"/>
                <w:sz w:val="18"/>
                <w:szCs w:val="18"/>
                <w:b w:val="1"/>
                <w:bCs w:val="1"/>
                <w:color w:val="auto"/>
              </w:rPr>
              <w:t>IFRS:</w:t>
            </w: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0"/>
                <w:szCs w:val="20"/>
                <w:color w:val="auto"/>
              </w:rPr>
            </w:pPr>
            <w:r>
              <w:rPr>
                <w:rFonts w:ascii="Arial" w:cs="Arial" w:eastAsia="Arial" w:hAnsi="Arial"/>
                <w:sz w:val="18"/>
                <w:szCs w:val="18"/>
                <w:color w:val="auto"/>
              </w:rPr>
              <w:t>Interest income</w:t>
            </w:r>
          </w:p>
        </w:tc>
        <w:tc>
          <w:tcPr>
            <w:tcW w:w="1480" w:type="dxa"/>
            <w:vAlign w:val="bottom"/>
            <w:gridSpan w:val="2"/>
          </w:tcPr>
          <w:p>
            <w:pPr>
              <w:ind w:left="580"/>
              <w:spacing w:after="0"/>
              <w:rPr>
                <w:sz w:val="20"/>
                <w:szCs w:val="20"/>
                <w:color w:val="auto"/>
              </w:rPr>
            </w:pPr>
            <w:r>
              <w:rPr>
                <w:rFonts w:ascii="Arial" w:cs="Arial" w:eastAsia="Arial" w:hAnsi="Arial"/>
                <w:sz w:val="18"/>
                <w:szCs w:val="18"/>
                <w:color w:val="auto"/>
                <w:w w:val="87"/>
              </w:rPr>
              <w:t>US$828,511</w:t>
            </w:r>
          </w:p>
        </w:tc>
        <w:tc>
          <w:tcPr>
            <w:tcW w:w="1480" w:type="dxa"/>
            <w:vAlign w:val="bottom"/>
            <w:gridSpan w:val="2"/>
          </w:tcPr>
          <w:p>
            <w:pPr>
              <w:ind w:left="580"/>
              <w:spacing w:after="0"/>
              <w:rPr>
                <w:sz w:val="20"/>
                <w:szCs w:val="20"/>
                <w:color w:val="auto"/>
              </w:rPr>
            </w:pPr>
            <w:r>
              <w:rPr>
                <w:rFonts w:ascii="Arial" w:cs="Arial" w:eastAsia="Arial" w:hAnsi="Arial"/>
                <w:sz w:val="18"/>
                <w:szCs w:val="18"/>
                <w:color w:val="auto"/>
                <w:w w:val="87"/>
              </w:rPr>
              <w:t>US$763,535</w:t>
            </w:r>
          </w:p>
        </w:tc>
        <w:tc>
          <w:tcPr>
            <w:tcW w:w="1860" w:type="dxa"/>
            <w:vAlign w:val="bottom"/>
            <w:gridSpan w:val="3"/>
          </w:tcPr>
          <w:p>
            <w:pPr>
              <w:ind w:left="580"/>
              <w:spacing w:after="0"/>
              <w:rPr>
                <w:sz w:val="20"/>
                <w:szCs w:val="20"/>
                <w:color w:val="auto"/>
              </w:rPr>
            </w:pPr>
            <w:r>
              <w:rPr>
                <w:rFonts w:ascii="Arial" w:cs="Arial" w:eastAsia="Arial" w:hAnsi="Arial"/>
                <w:sz w:val="18"/>
                <w:szCs w:val="18"/>
                <w:color w:val="auto"/>
              </w:rPr>
              <w:t>US$694,772</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US$531,874</w:t>
            </w:r>
          </w:p>
        </w:tc>
        <w:tc>
          <w:tcPr>
            <w:tcW w:w="1460" w:type="dxa"/>
            <w:vAlign w:val="bottom"/>
          </w:tcPr>
          <w:p>
            <w:pPr>
              <w:jc w:val="right"/>
              <w:spacing w:after="0"/>
              <w:rPr>
                <w:sz w:val="20"/>
                <w:szCs w:val="20"/>
                <w:color w:val="auto"/>
              </w:rPr>
            </w:pPr>
            <w:r>
              <w:rPr>
                <w:rFonts w:ascii="Arial" w:cs="Arial" w:eastAsia="Arial" w:hAnsi="Arial"/>
                <w:sz w:val="18"/>
                <w:szCs w:val="18"/>
                <w:color w:val="auto"/>
              </w:rPr>
              <w:t>US$548,285</w:t>
            </w: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0"/>
                <w:szCs w:val="20"/>
                <w:color w:val="auto"/>
              </w:rPr>
            </w:pPr>
            <w:r>
              <w:rPr>
                <w:rFonts w:ascii="Arial" w:cs="Arial" w:eastAsia="Arial" w:hAnsi="Arial"/>
                <w:sz w:val="18"/>
                <w:szCs w:val="18"/>
                <w:color w:val="auto"/>
              </w:rPr>
              <w:t>Interest expense</w:t>
            </w:r>
          </w:p>
        </w:tc>
        <w:tc>
          <w:tcPr>
            <w:tcW w:w="1460" w:type="dxa"/>
            <w:vAlign w:val="bottom"/>
          </w:tcPr>
          <w:p>
            <w:pPr>
              <w:jc w:val="right"/>
              <w:spacing w:after="0"/>
              <w:rPr>
                <w:sz w:val="20"/>
                <w:szCs w:val="20"/>
                <w:color w:val="auto"/>
              </w:rPr>
            </w:pPr>
            <w:r>
              <w:rPr>
                <w:rFonts w:ascii="Arial" w:cs="Arial" w:eastAsia="Arial" w:hAnsi="Arial"/>
                <w:sz w:val="18"/>
                <w:szCs w:val="18"/>
                <w:color w:val="auto"/>
              </w:rPr>
              <w:t>(462,739)</w:t>
            </w:r>
          </w:p>
        </w:tc>
        <w:tc>
          <w:tcPr>
            <w:tcW w:w="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(389,748)</w:t>
            </w:r>
          </w:p>
        </w:tc>
        <w:tc>
          <w:tcPr>
            <w:tcW w:w="20" w:type="dxa"/>
            <w:vAlign w:val="bottom"/>
          </w:tcPr>
          <w:p>
            <w:pPr>
              <w:spacing w:after="0"/>
              <w:rPr>
                <w:sz w:val="21"/>
                <w:szCs w:val="21"/>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(318,542)</w:t>
            </w:r>
          </w:p>
        </w:tc>
        <w:tc>
          <w:tcPr>
            <w:tcW w:w="38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(178,070)</w:t>
            </w:r>
          </w:p>
        </w:tc>
        <w:tc>
          <w:tcPr>
            <w:tcW w:w="1460" w:type="dxa"/>
            <w:vAlign w:val="bottom"/>
          </w:tcPr>
          <w:p>
            <w:pPr>
              <w:jc w:val="right"/>
              <w:spacing w:after="0"/>
              <w:rPr>
                <w:sz w:val="20"/>
                <w:szCs w:val="20"/>
                <w:color w:val="auto"/>
              </w:rPr>
            </w:pPr>
            <w:r>
              <w:rPr>
                <w:rFonts w:ascii="Arial" w:cs="Arial" w:eastAsia="Arial" w:hAnsi="Arial"/>
                <w:sz w:val="18"/>
                <w:szCs w:val="18"/>
                <w:color w:val="auto"/>
              </w:rPr>
              <w:t>(162,314)</w:t>
            </w:r>
          </w:p>
        </w:tc>
        <w:tc>
          <w:tcPr>
            <w:tcW w:w="0" w:type="dxa"/>
            <w:vAlign w:val="bottom"/>
          </w:tcPr>
          <w:p>
            <w:pPr>
              <w:spacing w:after="0"/>
              <w:rPr>
                <w:sz w:val="1"/>
                <w:szCs w:val="1"/>
                <w:color w:val="auto"/>
              </w:rPr>
            </w:pPr>
          </w:p>
        </w:tc>
      </w:tr>
      <w:tr>
        <w:trPr>
          <w:trHeight w:val="137"/>
        </w:trPr>
        <w:tc>
          <w:tcPr>
            <w:tcW w:w="3960" w:type="dxa"/>
            <w:vAlign w:val="bottom"/>
          </w:tcPr>
          <w:p>
            <w:pPr>
              <w:spacing w:after="0"/>
              <w:rPr>
                <w:sz w:val="11"/>
                <w:szCs w:val="11"/>
                <w:color w:val="auto"/>
              </w:rPr>
            </w:pPr>
          </w:p>
        </w:tc>
        <w:tc>
          <w:tcPr>
            <w:tcW w:w="14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4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4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4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3960" w:type="dxa"/>
            <w:vAlign w:val="bottom"/>
          </w:tcPr>
          <w:p>
            <w:pPr>
              <w:spacing w:after="0"/>
              <w:rPr>
                <w:sz w:val="20"/>
                <w:szCs w:val="20"/>
                <w:color w:val="auto"/>
              </w:rPr>
            </w:pPr>
            <w:r>
              <w:rPr>
                <w:rFonts w:ascii="Arial" w:cs="Arial" w:eastAsia="Arial" w:hAnsi="Arial"/>
                <w:sz w:val="18"/>
                <w:szCs w:val="18"/>
                <w:color w:val="auto"/>
              </w:rPr>
              <w:t>Net interest income</w:t>
            </w:r>
          </w:p>
        </w:tc>
        <w:tc>
          <w:tcPr>
            <w:tcW w:w="1460" w:type="dxa"/>
            <w:vAlign w:val="bottom"/>
          </w:tcPr>
          <w:p>
            <w:pPr>
              <w:jc w:val="right"/>
              <w:spacing w:after="0"/>
              <w:rPr>
                <w:sz w:val="20"/>
                <w:szCs w:val="20"/>
                <w:color w:val="auto"/>
              </w:rPr>
            </w:pPr>
            <w:r>
              <w:rPr>
                <w:rFonts w:ascii="Arial" w:cs="Arial" w:eastAsia="Arial" w:hAnsi="Arial"/>
                <w:sz w:val="18"/>
                <w:szCs w:val="18"/>
                <w:color w:val="auto"/>
              </w:rPr>
              <w:t>365,772</w:t>
            </w:r>
          </w:p>
        </w:tc>
        <w:tc>
          <w:tcPr>
            <w:tcW w:w="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373,787</w:t>
            </w:r>
          </w:p>
        </w:tc>
        <w:tc>
          <w:tcPr>
            <w:tcW w:w="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376,230</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353,804</w:t>
            </w:r>
          </w:p>
        </w:tc>
        <w:tc>
          <w:tcPr>
            <w:tcW w:w="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385,971</w:t>
            </w: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0"/>
                <w:szCs w:val="20"/>
                <w:color w:val="auto"/>
              </w:rPr>
            </w:pPr>
            <w:r>
              <w:rPr>
                <w:rFonts w:ascii="Arial" w:cs="Arial" w:eastAsia="Arial" w:hAnsi="Arial"/>
                <w:sz w:val="18"/>
                <w:szCs w:val="18"/>
                <w:color w:val="auto"/>
              </w:rPr>
              <w:t>Provision for loan losses (1)</w:t>
            </w:r>
          </w:p>
        </w:tc>
        <w:tc>
          <w:tcPr>
            <w:tcW w:w="1460" w:type="dxa"/>
            <w:vAlign w:val="bottom"/>
          </w:tcPr>
          <w:p>
            <w:pPr>
              <w:jc w:val="right"/>
              <w:spacing w:after="0"/>
              <w:rPr>
                <w:sz w:val="20"/>
                <w:szCs w:val="20"/>
                <w:color w:val="auto"/>
              </w:rPr>
            </w:pPr>
            <w:r>
              <w:rPr>
                <w:rFonts w:ascii="Arial" w:cs="Arial" w:eastAsia="Arial" w:hAnsi="Arial"/>
                <w:sz w:val="18"/>
                <w:szCs w:val="18"/>
                <w:color w:val="auto"/>
              </w:rPr>
              <w:t>(181,220)</w:t>
            </w:r>
          </w:p>
        </w:tc>
        <w:tc>
          <w:tcPr>
            <w:tcW w:w="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(170,102)</w:t>
            </w:r>
          </w:p>
        </w:tc>
        <w:tc>
          <w:tcPr>
            <w:tcW w:w="20" w:type="dxa"/>
            <w:vAlign w:val="bottom"/>
          </w:tcPr>
          <w:p>
            <w:pPr>
              <w:spacing w:after="0"/>
              <w:rPr>
                <w:sz w:val="21"/>
                <w:szCs w:val="21"/>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(119,422)</w:t>
            </w:r>
          </w:p>
        </w:tc>
        <w:tc>
          <w:tcPr>
            <w:tcW w:w="38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(99,596)</w:t>
            </w:r>
          </w:p>
        </w:tc>
        <w:tc>
          <w:tcPr>
            <w:tcW w:w="1460" w:type="dxa"/>
            <w:vAlign w:val="bottom"/>
          </w:tcPr>
          <w:p>
            <w:pPr>
              <w:jc w:val="right"/>
              <w:spacing w:after="0"/>
              <w:rPr>
                <w:sz w:val="20"/>
                <w:szCs w:val="20"/>
                <w:color w:val="auto"/>
              </w:rPr>
            </w:pPr>
            <w:r>
              <w:rPr>
                <w:rFonts w:ascii="Arial" w:cs="Arial" w:eastAsia="Arial" w:hAnsi="Arial"/>
                <w:sz w:val="18"/>
                <w:szCs w:val="18"/>
                <w:color w:val="auto"/>
              </w:rPr>
              <w:t>(66,421)</w:t>
            </w: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0"/>
                <w:szCs w:val="20"/>
                <w:color w:val="auto"/>
              </w:rPr>
            </w:pPr>
            <w:r>
              <w:rPr>
                <w:rFonts w:ascii="Arial" w:cs="Arial" w:eastAsia="Arial" w:hAnsi="Arial"/>
                <w:sz w:val="18"/>
                <w:szCs w:val="18"/>
                <w:color w:val="auto"/>
                <w:w w:val="99"/>
              </w:rPr>
              <w:t>Net interest income after provision for loan losses</w:t>
            </w:r>
          </w:p>
        </w:tc>
        <w:tc>
          <w:tcPr>
            <w:tcW w:w="1460" w:type="dxa"/>
            <w:vAlign w:val="bottom"/>
          </w:tcPr>
          <w:p>
            <w:pPr>
              <w:jc w:val="right"/>
              <w:spacing w:after="0"/>
              <w:rPr>
                <w:sz w:val="20"/>
                <w:szCs w:val="20"/>
                <w:color w:val="auto"/>
              </w:rPr>
            </w:pPr>
            <w:r>
              <w:rPr>
                <w:rFonts w:ascii="Arial" w:cs="Arial" w:eastAsia="Arial" w:hAnsi="Arial"/>
                <w:sz w:val="18"/>
                <w:szCs w:val="18"/>
                <w:color w:val="auto"/>
              </w:rPr>
              <w:t>184,552</w:t>
            </w:r>
          </w:p>
        </w:tc>
        <w:tc>
          <w:tcPr>
            <w:tcW w:w="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203,685</w:t>
            </w:r>
          </w:p>
        </w:tc>
        <w:tc>
          <w:tcPr>
            <w:tcW w:w="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256,808</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254,208</w:t>
            </w:r>
          </w:p>
        </w:tc>
        <w:tc>
          <w:tcPr>
            <w:tcW w:w="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319,550</w:t>
            </w: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0"/>
                <w:szCs w:val="20"/>
                <w:color w:val="auto"/>
              </w:rPr>
            </w:pPr>
            <w:r>
              <w:rPr>
                <w:rFonts w:ascii="Arial" w:cs="Arial" w:eastAsia="Arial" w:hAnsi="Arial"/>
                <w:sz w:val="18"/>
                <w:szCs w:val="18"/>
                <w:color w:val="auto"/>
              </w:rPr>
              <w:t>Fees and commissions from banking services</w:t>
            </w:r>
          </w:p>
        </w:tc>
        <w:tc>
          <w:tcPr>
            <w:tcW w:w="1460" w:type="dxa"/>
            <w:vAlign w:val="bottom"/>
          </w:tcPr>
          <w:p>
            <w:pPr>
              <w:jc w:val="right"/>
              <w:spacing w:after="0"/>
              <w:rPr>
                <w:sz w:val="20"/>
                <w:szCs w:val="20"/>
                <w:color w:val="auto"/>
              </w:rPr>
            </w:pPr>
            <w:r>
              <w:rPr>
                <w:rFonts w:ascii="Arial" w:cs="Arial" w:eastAsia="Arial" w:hAnsi="Arial"/>
                <w:sz w:val="18"/>
                <w:szCs w:val="18"/>
                <w:color w:val="auto"/>
              </w:rPr>
              <w:t>146,084</w:t>
            </w:r>
          </w:p>
        </w:tc>
        <w:tc>
          <w:tcPr>
            <w:tcW w:w="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144,001</w:t>
            </w:r>
          </w:p>
        </w:tc>
        <w:tc>
          <w:tcPr>
            <w:tcW w:w="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155,030</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177,305</w:t>
            </w:r>
          </w:p>
        </w:tc>
        <w:tc>
          <w:tcPr>
            <w:tcW w:w="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189,472</w:t>
            </w: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0"/>
                <w:szCs w:val="20"/>
                <w:color w:val="auto"/>
              </w:rPr>
            </w:pPr>
            <w:r>
              <w:rPr>
                <w:rFonts w:ascii="Arial" w:cs="Arial" w:eastAsia="Arial" w:hAnsi="Arial"/>
                <w:sz w:val="18"/>
                <w:szCs w:val="18"/>
                <w:color w:val="auto"/>
              </w:rPr>
              <w:t>Net gains (loss) from sales of securities</w:t>
            </w:r>
          </w:p>
        </w:tc>
        <w:tc>
          <w:tcPr>
            <w:tcW w:w="1460" w:type="dxa"/>
            <w:vAlign w:val="bottom"/>
          </w:tcPr>
          <w:p>
            <w:pPr>
              <w:jc w:val="right"/>
              <w:spacing w:after="0"/>
              <w:rPr>
                <w:sz w:val="20"/>
                <w:szCs w:val="20"/>
                <w:color w:val="auto"/>
              </w:rPr>
            </w:pPr>
            <w:r>
              <w:rPr>
                <w:rFonts w:ascii="Arial" w:cs="Arial" w:eastAsia="Arial" w:hAnsi="Arial"/>
                <w:sz w:val="18"/>
                <w:szCs w:val="18"/>
                <w:color w:val="auto"/>
              </w:rPr>
              <w:t>56,110</w:t>
            </w:r>
          </w:p>
        </w:tc>
        <w:tc>
          <w:tcPr>
            <w:tcW w:w="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8,954</w:t>
            </w:r>
          </w:p>
        </w:tc>
        <w:tc>
          <w:tcPr>
            <w:tcW w:w="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31,737</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(1,097)</w:t>
            </w:r>
          </w:p>
        </w:tc>
        <w:tc>
          <w:tcPr>
            <w:tcW w:w="1460" w:type="dxa"/>
            <w:vAlign w:val="bottom"/>
          </w:tcPr>
          <w:p>
            <w:pPr>
              <w:jc w:val="right"/>
              <w:spacing w:after="0"/>
              <w:rPr>
                <w:sz w:val="20"/>
                <w:szCs w:val="20"/>
                <w:color w:val="auto"/>
              </w:rPr>
            </w:pPr>
            <w:r>
              <w:rPr>
                <w:rFonts w:ascii="Arial" w:cs="Arial" w:eastAsia="Arial" w:hAnsi="Arial"/>
                <w:sz w:val="18"/>
                <w:szCs w:val="18"/>
                <w:color w:val="auto"/>
              </w:rPr>
              <w:t>1,969</w:t>
            </w: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0"/>
                <w:szCs w:val="20"/>
                <w:color w:val="auto"/>
              </w:rPr>
            </w:pPr>
            <w:r>
              <w:rPr>
                <w:rFonts w:ascii="Arial" w:cs="Arial" w:eastAsia="Arial" w:hAnsi="Arial"/>
                <w:sz w:val="18"/>
                <w:szCs w:val="18"/>
                <w:color w:val="auto"/>
              </w:rPr>
              <w:t>Net gains on foreign exchange transactions</w:t>
            </w:r>
          </w:p>
        </w:tc>
        <w:tc>
          <w:tcPr>
            <w:tcW w:w="1460" w:type="dxa"/>
            <w:vAlign w:val="bottom"/>
          </w:tcPr>
          <w:p>
            <w:pPr>
              <w:jc w:val="right"/>
              <w:spacing w:after="0"/>
              <w:rPr>
                <w:sz w:val="20"/>
                <w:szCs w:val="20"/>
                <w:color w:val="auto"/>
              </w:rPr>
            </w:pPr>
            <w:r>
              <w:rPr>
                <w:rFonts w:ascii="Arial" w:cs="Arial" w:eastAsia="Arial" w:hAnsi="Arial"/>
                <w:sz w:val="18"/>
                <w:szCs w:val="18"/>
                <w:color w:val="auto"/>
              </w:rPr>
              <w:t>27,956</w:t>
            </w:r>
          </w:p>
        </w:tc>
        <w:tc>
          <w:tcPr>
            <w:tcW w:w="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23,625</w:t>
            </w:r>
          </w:p>
        </w:tc>
        <w:tc>
          <w:tcPr>
            <w:tcW w:w="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17,549</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22,582</w:t>
            </w:r>
          </w:p>
        </w:tc>
        <w:tc>
          <w:tcPr>
            <w:tcW w:w="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23,681</w:t>
            </w: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0"/>
                <w:szCs w:val="20"/>
                <w:color w:val="auto"/>
              </w:rPr>
            </w:pPr>
            <w:r>
              <w:rPr>
                <w:rFonts w:ascii="Arial" w:cs="Arial" w:eastAsia="Arial" w:hAnsi="Arial"/>
                <w:sz w:val="18"/>
                <w:szCs w:val="18"/>
                <w:color w:val="auto"/>
              </w:rPr>
              <w:t>Net premiums earned</w:t>
            </w:r>
          </w:p>
        </w:tc>
        <w:tc>
          <w:tcPr>
            <w:tcW w:w="1460" w:type="dxa"/>
            <w:vAlign w:val="bottom"/>
          </w:tcPr>
          <w:p>
            <w:pPr>
              <w:jc w:val="right"/>
              <w:spacing w:after="0"/>
              <w:rPr>
                <w:sz w:val="20"/>
                <w:szCs w:val="20"/>
                <w:color w:val="auto"/>
              </w:rPr>
            </w:pPr>
            <w:r>
              <w:rPr>
                <w:rFonts w:ascii="Arial" w:cs="Arial" w:eastAsia="Arial" w:hAnsi="Arial"/>
                <w:sz w:val="18"/>
                <w:szCs w:val="18"/>
                <w:color w:val="auto"/>
              </w:rPr>
              <w:t>113,108</w:t>
            </w:r>
          </w:p>
        </w:tc>
        <w:tc>
          <w:tcPr>
            <w:tcW w:w="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113,395</w:t>
            </w:r>
          </w:p>
        </w:tc>
        <w:tc>
          <w:tcPr>
            <w:tcW w:w="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112,204</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125,218</w:t>
            </w:r>
          </w:p>
        </w:tc>
        <w:tc>
          <w:tcPr>
            <w:tcW w:w="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125,115</w:t>
            </w: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0"/>
                <w:szCs w:val="20"/>
                <w:color w:val="auto"/>
              </w:rPr>
            </w:pPr>
            <w:r>
              <w:rPr>
                <w:rFonts w:ascii="Arial" w:cs="Arial" w:eastAsia="Arial" w:hAnsi="Arial"/>
                <w:sz w:val="18"/>
                <w:szCs w:val="18"/>
                <w:color w:val="auto"/>
              </w:rPr>
              <w:t>Other income</w:t>
            </w:r>
          </w:p>
        </w:tc>
        <w:tc>
          <w:tcPr>
            <w:tcW w:w="1460" w:type="dxa"/>
            <w:vAlign w:val="bottom"/>
          </w:tcPr>
          <w:p>
            <w:pPr>
              <w:jc w:val="right"/>
              <w:spacing w:after="0"/>
              <w:rPr>
                <w:sz w:val="20"/>
                <w:szCs w:val="20"/>
                <w:color w:val="auto"/>
              </w:rPr>
            </w:pPr>
            <w:r>
              <w:rPr>
                <w:rFonts w:ascii="Arial" w:cs="Arial" w:eastAsia="Arial" w:hAnsi="Arial"/>
                <w:sz w:val="18"/>
                <w:szCs w:val="18"/>
                <w:color w:val="auto"/>
              </w:rPr>
              <w:t>18,585</w:t>
            </w:r>
          </w:p>
        </w:tc>
        <w:tc>
          <w:tcPr>
            <w:tcW w:w="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28,003</w:t>
            </w:r>
          </w:p>
        </w:tc>
        <w:tc>
          <w:tcPr>
            <w:tcW w:w="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12,530</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11,651</w:t>
            </w:r>
          </w:p>
        </w:tc>
        <w:tc>
          <w:tcPr>
            <w:tcW w:w="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23,227</w:t>
            </w: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0"/>
                <w:szCs w:val="20"/>
                <w:color w:val="auto"/>
              </w:rPr>
            </w:pPr>
            <w:r>
              <w:rPr>
                <w:rFonts w:ascii="Arial" w:cs="Arial" w:eastAsia="Arial" w:hAnsi="Arial"/>
                <w:sz w:val="18"/>
                <w:szCs w:val="18"/>
                <w:color w:val="auto"/>
              </w:rPr>
              <w:t>Claims on insurance activities</w:t>
            </w:r>
          </w:p>
        </w:tc>
        <w:tc>
          <w:tcPr>
            <w:tcW w:w="1460" w:type="dxa"/>
            <w:vAlign w:val="bottom"/>
          </w:tcPr>
          <w:p>
            <w:pPr>
              <w:jc w:val="right"/>
              <w:spacing w:after="0"/>
              <w:rPr>
                <w:sz w:val="20"/>
                <w:szCs w:val="20"/>
                <w:color w:val="auto"/>
              </w:rPr>
            </w:pPr>
            <w:r>
              <w:rPr>
                <w:rFonts w:ascii="Arial" w:cs="Arial" w:eastAsia="Arial" w:hAnsi="Arial"/>
                <w:sz w:val="18"/>
                <w:szCs w:val="18"/>
                <w:color w:val="auto"/>
              </w:rPr>
              <w:t>(89,366)</w:t>
            </w:r>
          </w:p>
        </w:tc>
        <w:tc>
          <w:tcPr>
            <w:tcW w:w="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(92,261)</w:t>
            </w:r>
          </w:p>
        </w:tc>
        <w:tc>
          <w:tcPr>
            <w:tcW w:w="20" w:type="dxa"/>
            <w:vAlign w:val="bottom"/>
          </w:tcPr>
          <w:p>
            <w:pPr>
              <w:spacing w:after="0"/>
              <w:rPr>
                <w:sz w:val="21"/>
                <w:szCs w:val="21"/>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(97,017)</w:t>
            </w:r>
          </w:p>
        </w:tc>
        <w:tc>
          <w:tcPr>
            <w:tcW w:w="38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(97,901)</w:t>
            </w:r>
          </w:p>
        </w:tc>
        <w:tc>
          <w:tcPr>
            <w:tcW w:w="1460" w:type="dxa"/>
            <w:vAlign w:val="bottom"/>
          </w:tcPr>
          <w:p>
            <w:pPr>
              <w:jc w:val="right"/>
              <w:spacing w:after="0"/>
              <w:rPr>
                <w:sz w:val="20"/>
                <w:szCs w:val="20"/>
                <w:color w:val="auto"/>
              </w:rPr>
            </w:pPr>
            <w:r>
              <w:rPr>
                <w:rFonts w:ascii="Arial" w:cs="Arial" w:eastAsia="Arial" w:hAnsi="Arial"/>
                <w:sz w:val="18"/>
                <w:szCs w:val="18"/>
                <w:color w:val="auto"/>
              </w:rPr>
              <w:t>(99,774)</w:t>
            </w: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0"/>
                <w:szCs w:val="20"/>
                <w:color w:val="auto"/>
              </w:rPr>
            </w:pPr>
            <w:r>
              <w:rPr>
                <w:rFonts w:ascii="Arial" w:cs="Arial" w:eastAsia="Arial" w:hAnsi="Arial"/>
                <w:sz w:val="18"/>
                <w:szCs w:val="18"/>
                <w:color w:val="auto"/>
              </w:rPr>
              <w:t>Operating expenses</w:t>
            </w:r>
          </w:p>
        </w:tc>
        <w:tc>
          <w:tcPr>
            <w:tcW w:w="1460" w:type="dxa"/>
            <w:vAlign w:val="bottom"/>
          </w:tcPr>
          <w:p>
            <w:pPr>
              <w:jc w:val="right"/>
              <w:spacing w:after="0"/>
              <w:rPr>
                <w:sz w:val="20"/>
                <w:szCs w:val="20"/>
                <w:color w:val="auto"/>
              </w:rPr>
            </w:pPr>
            <w:r>
              <w:rPr>
                <w:rFonts w:ascii="Arial" w:cs="Arial" w:eastAsia="Arial" w:hAnsi="Arial"/>
                <w:sz w:val="18"/>
                <w:szCs w:val="18"/>
                <w:color w:val="auto"/>
              </w:rPr>
              <w:t>(407,011)</w:t>
            </w:r>
          </w:p>
        </w:tc>
        <w:tc>
          <w:tcPr>
            <w:tcW w:w="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(391,529)</w:t>
            </w:r>
          </w:p>
        </w:tc>
        <w:tc>
          <w:tcPr>
            <w:tcW w:w="20" w:type="dxa"/>
            <w:vAlign w:val="bottom"/>
          </w:tcPr>
          <w:p>
            <w:pPr>
              <w:spacing w:after="0"/>
              <w:rPr>
                <w:sz w:val="21"/>
                <w:szCs w:val="21"/>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(390,779)</w:t>
            </w:r>
          </w:p>
        </w:tc>
        <w:tc>
          <w:tcPr>
            <w:tcW w:w="38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(404,186)</w:t>
            </w:r>
          </w:p>
        </w:tc>
        <w:tc>
          <w:tcPr>
            <w:tcW w:w="1460" w:type="dxa"/>
            <w:vAlign w:val="bottom"/>
          </w:tcPr>
          <w:p>
            <w:pPr>
              <w:jc w:val="right"/>
              <w:spacing w:after="0"/>
              <w:rPr>
                <w:sz w:val="20"/>
                <w:szCs w:val="20"/>
                <w:color w:val="auto"/>
              </w:rPr>
            </w:pPr>
            <w:r>
              <w:rPr>
                <w:rFonts w:ascii="Arial" w:cs="Arial" w:eastAsia="Arial" w:hAnsi="Arial"/>
                <w:sz w:val="18"/>
                <w:szCs w:val="18"/>
                <w:color w:val="auto"/>
              </w:rPr>
              <w:t>(430,373)</w:t>
            </w: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0"/>
                <w:szCs w:val="20"/>
                <w:color w:val="auto"/>
              </w:rPr>
            </w:pPr>
            <w:r>
              <w:rPr>
                <w:rFonts w:ascii="Arial" w:cs="Arial" w:eastAsia="Arial" w:hAnsi="Arial"/>
                <w:sz w:val="18"/>
                <w:szCs w:val="18"/>
                <w:color w:val="auto"/>
              </w:rPr>
              <w:t>Merger costs</w:t>
            </w:r>
          </w:p>
        </w:tc>
        <w:tc>
          <w:tcPr>
            <w:tcW w:w="146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(18,587)</w:t>
            </w:r>
          </w:p>
        </w:tc>
        <w:tc>
          <w:tcPr>
            <w:tcW w:w="0" w:type="dxa"/>
            <w:vAlign w:val="bottom"/>
          </w:tcPr>
          <w:p>
            <w:pPr>
              <w:spacing w:after="0"/>
              <w:rPr>
                <w:sz w:val="1"/>
                <w:szCs w:val="1"/>
                <w:color w:val="auto"/>
              </w:rPr>
            </w:pPr>
          </w:p>
        </w:tc>
      </w:tr>
      <w:tr>
        <w:trPr>
          <w:trHeight w:val="137"/>
        </w:trPr>
        <w:tc>
          <w:tcPr>
            <w:tcW w:w="3960" w:type="dxa"/>
            <w:vAlign w:val="bottom"/>
            <w:vMerge w:val="restart"/>
          </w:tcPr>
          <w:p>
            <w:pPr>
              <w:spacing w:after="0"/>
              <w:rPr>
                <w:sz w:val="20"/>
                <w:szCs w:val="20"/>
                <w:color w:val="auto"/>
              </w:rPr>
            </w:pPr>
            <w:r>
              <w:rPr>
                <w:rFonts w:ascii="Arial" w:cs="Arial" w:eastAsia="Arial" w:hAnsi="Arial"/>
                <w:sz w:val="18"/>
                <w:szCs w:val="18"/>
                <w:color w:val="auto"/>
              </w:rPr>
              <w:t>Income before translation result, income tax, and</w:t>
            </w:r>
          </w:p>
        </w:tc>
        <w:tc>
          <w:tcPr>
            <w:tcW w:w="14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4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4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4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50"/>
        </w:trPr>
        <w:tc>
          <w:tcPr>
            <w:tcW w:w="396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960" w:type="dxa"/>
            <w:vAlign w:val="bottom"/>
          </w:tcPr>
          <w:p>
            <w:pPr>
              <w:spacing w:after="0"/>
              <w:rPr>
                <w:sz w:val="20"/>
                <w:szCs w:val="20"/>
                <w:color w:val="auto"/>
              </w:rPr>
            </w:pPr>
            <w:r>
              <w:rPr>
                <w:rFonts w:ascii="Arial" w:cs="Arial" w:eastAsia="Arial" w:hAnsi="Arial"/>
                <w:sz w:val="18"/>
                <w:szCs w:val="18"/>
                <w:color w:val="auto"/>
              </w:rPr>
              <w:t>minority interest</w:t>
            </w:r>
          </w:p>
        </w:tc>
        <w:tc>
          <w:tcPr>
            <w:tcW w:w="1460" w:type="dxa"/>
            <w:vAlign w:val="bottom"/>
          </w:tcPr>
          <w:p>
            <w:pPr>
              <w:jc w:val="right"/>
              <w:spacing w:after="0"/>
              <w:rPr>
                <w:sz w:val="20"/>
                <w:szCs w:val="20"/>
                <w:color w:val="auto"/>
              </w:rPr>
            </w:pPr>
            <w:r>
              <w:rPr>
                <w:rFonts w:ascii="Arial" w:cs="Arial" w:eastAsia="Arial" w:hAnsi="Arial"/>
                <w:sz w:val="18"/>
                <w:szCs w:val="18"/>
                <w:color w:val="auto"/>
              </w:rPr>
              <w:t>50,018</w:t>
            </w:r>
          </w:p>
        </w:tc>
        <w:tc>
          <w:tcPr>
            <w:tcW w:w="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37,873</w:t>
            </w:r>
          </w:p>
        </w:tc>
        <w:tc>
          <w:tcPr>
            <w:tcW w:w="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98,062</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87,780</w:t>
            </w:r>
          </w:p>
        </w:tc>
        <w:tc>
          <w:tcPr>
            <w:tcW w:w="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134,280</w:t>
            </w: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0"/>
                <w:szCs w:val="20"/>
                <w:color w:val="auto"/>
              </w:rPr>
            </w:pPr>
            <w:r>
              <w:rPr>
                <w:rFonts w:ascii="Arial" w:cs="Arial" w:eastAsia="Arial" w:hAnsi="Arial"/>
                <w:sz w:val="18"/>
                <w:szCs w:val="18"/>
                <w:color w:val="auto"/>
              </w:rPr>
              <w:t>Translation result</w:t>
            </w:r>
          </w:p>
        </w:tc>
        <w:tc>
          <w:tcPr>
            <w:tcW w:w="1460" w:type="dxa"/>
            <w:vAlign w:val="bottom"/>
          </w:tcPr>
          <w:p>
            <w:pPr>
              <w:jc w:val="right"/>
              <w:spacing w:after="0"/>
              <w:rPr>
                <w:sz w:val="20"/>
                <w:szCs w:val="20"/>
                <w:color w:val="auto"/>
              </w:rPr>
            </w:pPr>
            <w:r>
              <w:rPr>
                <w:rFonts w:ascii="Arial" w:cs="Arial" w:eastAsia="Arial" w:hAnsi="Arial"/>
                <w:sz w:val="18"/>
                <w:szCs w:val="18"/>
                <w:color w:val="auto"/>
              </w:rPr>
              <w:t>7,129</w:t>
            </w:r>
          </w:p>
        </w:tc>
        <w:tc>
          <w:tcPr>
            <w:tcW w:w="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(8,500)</w:t>
            </w:r>
          </w:p>
        </w:tc>
        <w:tc>
          <w:tcPr>
            <w:tcW w:w="20" w:type="dxa"/>
            <w:vAlign w:val="bottom"/>
          </w:tcPr>
          <w:p>
            <w:pPr>
              <w:spacing w:after="0"/>
              <w:rPr>
                <w:sz w:val="21"/>
                <w:szCs w:val="21"/>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(2,575)</w:t>
            </w:r>
          </w:p>
        </w:tc>
        <w:tc>
          <w:tcPr>
            <w:tcW w:w="38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(2,482)</w:t>
            </w:r>
          </w:p>
        </w:tc>
        <w:tc>
          <w:tcPr>
            <w:tcW w:w="1460" w:type="dxa"/>
            <w:vAlign w:val="bottom"/>
          </w:tcPr>
          <w:p>
            <w:pPr>
              <w:jc w:val="right"/>
              <w:spacing w:after="0"/>
              <w:rPr>
                <w:sz w:val="20"/>
                <w:szCs w:val="20"/>
                <w:color w:val="auto"/>
              </w:rPr>
            </w:pPr>
            <w:r>
              <w:rPr>
                <w:rFonts w:ascii="Arial" w:cs="Arial" w:eastAsia="Arial" w:hAnsi="Arial"/>
                <w:sz w:val="18"/>
                <w:szCs w:val="18"/>
                <w:color w:val="auto"/>
              </w:rPr>
              <w:t>(3,675)</w:t>
            </w: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0"/>
                <w:szCs w:val="20"/>
                <w:color w:val="auto"/>
              </w:rPr>
            </w:pPr>
            <w:r>
              <w:rPr>
                <w:rFonts w:ascii="Arial" w:cs="Arial" w:eastAsia="Arial" w:hAnsi="Arial"/>
                <w:sz w:val="18"/>
                <w:szCs w:val="18"/>
                <w:color w:val="auto"/>
              </w:rPr>
              <w:t>Income tax</w:t>
            </w:r>
          </w:p>
        </w:tc>
        <w:tc>
          <w:tcPr>
            <w:tcW w:w="1460" w:type="dxa"/>
            <w:vAlign w:val="bottom"/>
          </w:tcPr>
          <w:p>
            <w:pPr>
              <w:jc w:val="right"/>
              <w:spacing w:after="0"/>
              <w:rPr>
                <w:sz w:val="20"/>
                <w:szCs w:val="20"/>
                <w:color w:val="auto"/>
              </w:rPr>
            </w:pPr>
            <w:r>
              <w:rPr>
                <w:rFonts w:ascii="Arial" w:cs="Arial" w:eastAsia="Arial" w:hAnsi="Arial"/>
                <w:sz w:val="18"/>
                <w:szCs w:val="18"/>
                <w:color w:val="auto"/>
              </w:rPr>
              <w:t>(8,751)</w:t>
            </w:r>
          </w:p>
        </w:tc>
        <w:tc>
          <w:tcPr>
            <w:tcW w:w="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(6,124)</w:t>
            </w:r>
          </w:p>
        </w:tc>
        <w:tc>
          <w:tcPr>
            <w:tcW w:w="20" w:type="dxa"/>
            <w:vAlign w:val="bottom"/>
          </w:tcPr>
          <w:p>
            <w:pPr>
              <w:spacing w:after="0"/>
              <w:rPr>
                <w:sz w:val="21"/>
                <w:szCs w:val="21"/>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(25,135)</w:t>
            </w:r>
          </w:p>
        </w:tc>
        <w:tc>
          <w:tcPr>
            <w:tcW w:w="38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(32,628)</w:t>
            </w:r>
          </w:p>
        </w:tc>
        <w:tc>
          <w:tcPr>
            <w:tcW w:w="1460" w:type="dxa"/>
            <w:vAlign w:val="bottom"/>
          </w:tcPr>
          <w:p>
            <w:pPr>
              <w:jc w:val="right"/>
              <w:spacing w:after="0"/>
              <w:rPr>
                <w:sz w:val="20"/>
                <w:szCs w:val="20"/>
                <w:color w:val="auto"/>
              </w:rPr>
            </w:pPr>
            <w:r>
              <w:rPr>
                <w:rFonts w:ascii="Arial" w:cs="Arial" w:eastAsia="Arial" w:hAnsi="Arial"/>
                <w:sz w:val="18"/>
                <w:szCs w:val="18"/>
                <w:color w:val="auto"/>
              </w:rPr>
              <w:t>(39,695)</w:t>
            </w: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0"/>
                <w:szCs w:val="20"/>
                <w:color w:val="auto"/>
              </w:rPr>
            </w:pPr>
            <w:r>
              <w:rPr>
                <w:rFonts w:ascii="Arial" w:cs="Arial" w:eastAsia="Arial" w:hAnsi="Arial"/>
                <w:sz w:val="18"/>
                <w:szCs w:val="18"/>
                <w:color w:val="auto"/>
              </w:rPr>
              <w:t>Minority interest</w:t>
            </w:r>
          </w:p>
        </w:tc>
        <w:tc>
          <w:tcPr>
            <w:tcW w:w="1460" w:type="dxa"/>
            <w:vAlign w:val="bottom"/>
          </w:tcPr>
          <w:p>
            <w:pPr>
              <w:jc w:val="right"/>
              <w:spacing w:after="0"/>
              <w:rPr>
                <w:sz w:val="20"/>
                <w:szCs w:val="20"/>
                <w:color w:val="auto"/>
              </w:rPr>
            </w:pPr>
            <w:r>
              <w:rPr>
                <w:rFonts w:ascii="Arial" w:cs="Arial" w:eastAsia="Arial" w:hAnsi="Arial"/>
                <w:sz w:val="18"/>
                <w:szCs w:val="18"/>
                <w:color w:val="auto"/>
              </w:rPr>
              <w:t>(4,894)</w:t>
            </w:r>
          </w:p>
        </w:tc>
        <w:tc>
          <w:tcPr>
            <w:tcW w:w="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(5,553)</w:t>
            </w:r>
          </w:p>
        </w:tc>
        <w:tc>
          <w:tcPr>
            <w:tcW w:w="20" w:type="dxa"/>
            <w:vAlign w:val="bottom"/>
          </w:tcPr>
          <w:p>
            <w:pPr>
              <w:spacing w:after="0"/>
              <w:rPr>
                <w:sz w:val="21"/>
                <w:szCs w:val="21"/>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(15,839)</w:t>
            </w:r>
          </w:p>
        </w:tc>
        <w:tc>
          <w:tcPr>
            <w:tcW w:w="38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(10,287)</w:t>
            </w:r>
          </w:p>
        </w:tc>
        <w:tc>
          <w:tcPr>
            <w:tcW w:w="1460" w:type="dxa"/>
            <w:vAlign w:val="bottom"/>
          </w:tcPr>
          <w:p>
            <w:pPr>
              <w:jc w:val="right"/>
              <w:spacing w:after="0"/>
              <w:rPr>
                <w:sz w:val="20"/>
                <w:szCs w:val="20"/>
                <w:color w:val="auto"/>
              </w:rPr>
            </w:pPr>
            <w:r>
              <w:rPr>
                <w:rFonts w:ascii="Arial" w:cs="Arial" w:eastAsia="Arial" w:hAnsi="Arial"/>
                <w:sz w:val="18"/>
                <w:szCs w:val="18"/>
                <w:color w:val="auto"/>
              </w:rPr>
              <w:t>(10,303)</w:t>
            </w:r>
          </w:p>
        </w:tc>
        <w:tc>
          <w:tcPr>
            <w:tcW w:w="0" w:type="dxa"/>
            <w:vAlign w:val="bottom"/>
          </w:tcPr>
          <w:p>
            <w:pPr>
              <w:spacing w:after="0"/>
              <w:rPr>
                <w:sz w:val="1"/>
                <w:szCs w:val="1"/>
                <w:color w:val="auto"/>
              </w:rPr>
            </w:pPr>
          </w:p>
        </w:tc>
      </w:tr>
      <w:tr>
        <w:trPr>
          <w:trHeight w:val="137"/>
        </w:trPr>
        <w:tc>
          <w:tcPr>
            <w:tcW w:w="3960" w:type="dxa"/>
            <w:vAlign w:val="bottom"/>
          </w:tcPr>
          <w:p>
            <w:pPr>
              <w:spacing w:after="0"/>
              <w:rPr>
                <w:sz w:val="11"/>
                <w:szCs w:val="11"/>
                <w:color w:val="auto"/>
              </w:rPr>
            </w:pPr>
          </w:p>
        </w:tc>
        <w:tc>
          <w:tcPr>
            <w:tcW w:w="14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4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4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4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3960" w:type="dxa"/>
            <w:vAlign w:val="bottom"/>
          </w:tcPr>
          <w:p>
            <w:pPr>
              <w:spacing w:after="0"/>
              <w:rPr>
                <w:sz w:val="20"/>
                <w:szCs w:val="20"/>
                <w:color w:val="auto"/>
              </w:rPr>
            </w:pPr>
            <w:r>
              <w:rPr>
                <w:rFonts w:ascii="Arial" w:cs="Arial" w:eastAsia="Arial" w:hAnsi="Arial"/>
                <w:sz w:val="18"/>
                <w:szCs w:val="18"/>
                <w:color w:val="auto"/>
              </w:rPr>
              <w:t>Net income</w:t>
            </w:r>
          </w:p>
        </w:tc>
        <w:tc>
          <w:tcPr>
            <w:tcW w:w="1460" w:type="dxa"/>
            <w:vAlign w:val="bottom"/>
          </w:tcPr>
          <w:p>
            <w:pPr>
              <w:jc w:val="right"/>
              <w:spacing w:after="0"/>
              <w:rPr>
                <w:sz w:val="20"/>
                <w:szCs w:val="20"/>
                <w:color w:val="auto"/>
              </w:rPr>
            </w:pPr>
            <w:r>
              <w:rPr>
                <w:rFonts w:ascii="Arial" w:cs="Arial" w:eastAsia="Arial" w:hAnsi="Arial"/>
                <w:sz w:val="18"/>
                <w:szCs w:val="18"/>
                <w:color w:val="auto"/>
              </w:rPr>
              <w:t>43,502</w:t>
            </w:r>
          </w:p>
        </w:tc>
        <w:tc>
          <w:tcPr>
            <w:tcW w:w="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17,696</w:t>
            </w:r>
          </w:p>
        </w:tc>
        <w:tc>
          <w:tcPr>
            <w:tcW w:w="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54,513</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42,383</w:t>
            </w:r>
          </w:p>
        </w:tc>
        <w:tc>
          <w:tcPr>
            <w:tcW w:w="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80,607</w:t>
            </w: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0"/>
                <w:szCs w:val="20"/>
                <w:color w:val="auto"/>
              </w:rPr>
            </w:pPr>
            <w:r>
              <w:rPr>
                <w:rFonts w:ascii="Arial" w:cs="Arial" w:eastAsia="Arial" w:hAnsi="Arial"/>
                <w:sz w:val="18"/>
                <w:szCs w:val="18"/>
                <w:color w:val="auto"/>
              </w:rPr>
              <w:t>Net income per Common Share (2)</w:t>
            </w:r>
          </w:p>
        </w:tc>
        <w:tc>
          <w:tcPr>
            <w:tcW w:w="1460" w:type="dxa"/>
            <w:vAlign w:val="bottom"/>
          </w:tcPr>
          <w:p>
            <w:pPr>
              <w:jc w:val="right"/>
              <w:spacing w:after="0"/>
              <w:rPr>
                <w:sz w:val="20"/>
                <w:szCs w:val="20"/>
                <w:color w:val="auto"/>
              </w:rPr>
            </w:pPr>
            <w:r>
              <w:rPr>
                <w:rFonts w:ascii="Arial" w:cs="Arial" w:eastAsia="Arial" w:hAnsi="Arial"/>
                <w:sz w:val="18"/>
                <w:szCs w:val="18"/>
                <w:color w:val="auto"/>
              </w:rPr>
              <w:t>0.54</w:t>
            </w:r>
          </w:p>
        </w:tc>
        <w:tc>
          <w:tcPr>
            <w:tcW w:w="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0.22</w:t>
            </w:r>
          </w:p>
        </w:tc>
        <w:tc>
          <w:tcPr>
            <w:tcW w:w="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0.69</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0.53</w:t>
            </w:r>
          </w:p>
        </w:tc>
        <w:tc>
          <w:tcPr>
            <w:tcW w:w="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0"/>
                <w:szCs w:val="20"/>
                <w:color w:val="auto"/>
              </w:rPr>
            </w:pPr>
            <w:r>
              <w:rPr>
                <w:rFonts w:ascii="Arial" w:cs="Arial" w:eastAsia="Arial" w:hAnsi="Arial"/>
                <w:sz w:val="18"/>
                <w:szCs w:val="18"/>
                <w:color w:val="auto"/>
                <w:w w:val="93"/>
              </w:rPr>
              <w:t>Pro-forma diluted net income per Common Share (3)</w:t>
            </w:r>
          </w:p>
        </w:tc>
        <w:tc>
          <w:tcPr>
            <w:tcW w:w="1460" w:type="dxa"/>
            <w:vAlign w:val="bottom"/>
          </w:tcPr>
          <w:p>
            <w:pPr>
              <w:jc w:val="right"/>
              <w:spacing w:after="0"/>
              <w:rPr>
                <w:sz w:val="20"/>
                <w:szCs w:val="20"/>
                <w:color w:val="auto"/>
              </w:rPr>
            </w:pPr>
            <w:r>
              <w:rPr>
                <w:rFonts w:ascii="Arial" w:cs="Arial" w:eastAsia="Arial" w:hAnsi="Arial"/>
                <w:sz w:val="18"/>
                <w:szCs w:val="18"/>
                <w:color w:val="auto"/>
              </w:rPr>
              <w:t>0.45</w:t>
            </w:r>
          </w:p>
        </w:tc>
        <w:tc>
          <w:tcPr>
            <w:tcW w:w="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0.18</w:t>
            </w:r>
          </w:p>
        </w:tc>
        <w:tc>
          <w:tcPr>
            <w:tcW w:w="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0.56</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0.44</w:t>
            </w:r>
          </w:p>
        </w:tc>
        <w:tc>
          <w:tcPr>
            <w:tcW w:w="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0"/>
                <w:szCs w:val="20"/>
                <w:color w:val="auto"/>
              </w:rPr>
            </w:pPr>
            <w:r>
              <w:rPr>
                <w:rFonts w:ascii="Arial" w:cs="Arial" w:eastAsia="Arial" w:hAnsi="Arial"/>
                <w:sz w:val="18"/>
                <w:szCs w:val="18"/>
                <w:color w:val="auto"/>
              </w:rPr>
              <w:t>Dividends paid per Common Share</w:t>
            </w:r>
          </w:p>
        </w:tc>
        <w:tc>
          <w:tcPr>
            <w:tcW w:w="1460" w:type="dxa"/>
            <w:vAlign w:val="bottom"/>
          </w:tcPr>
          <w:p>
            <w:pPr>
              <w:jc w:val="right"/>
              <w:spacing w:after="0"/>
              <w:rPr>
                <w:sz w:val="20"/>
                <w:szCs w:val="20"/>
                <w:color w:val="auto"/>
              </w:rPr>
            </w:pPr>
            <w:r>
              <w:rPr>
                <w:rFonts w:ascii="Arial" w:cs="Arial" w:eastAsia="Arial" w:hAnsi="Arial"/>
                <w:sz w:val="18"/>
                <w:szCs w:val="18"/>
                <w:color w:val="auto"/>
              </w:rPr>
              <w:t>0.20</w:t>
            </w:r>
          </w:p>
        </w:tc>
        <w:tc>
          <w:tcPr>
            <w:tcW w:w="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0.10</w:t>
            </w:r>
          </w:p>
        </w:tc>
        <w:tc>
          <w:tcPr>
            <w:tcW w:w="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0.10</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0.40</w:t>
            </w:r>
          </w:p>
        </w:tc>
        <w:tc>
          <w:tcPr>
            <w:tcW w:w="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0"/>
                <w:szCs w:val="20"/>
                <w:color w:val="auto"/>
              </w:rPr>
            </w:pPr>
            <w:r>
              <w:rPr>
                <w:rFonts w:ascii="Arial" w:cs="Arial" w:eastAsia="Arial" w:hAnsi="Arial"/>
                <w:sz w:val="18"/>
                <w:szCs w:val="18"/>
                <w:b w:val="1"/>
                <w:bCs w:val="1"/>
                <w:color w:val="auto"/>
              </w:rPr>
              <w:t>U.S. GAAP:</w:t>
            </w: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0"/>
                <w:szCs w:val="20"/>
                <w:color w:val="auto"/>
              </w:rPr>
            </w:pPr>
            <w:r>
              <w:rPr>
                <w:rFonts w:ascii="Arial" w:cs="Arial" w:eastAsia="Arial" w:hAnsi="Arial"/>
                <w:sz w:val="18"/>
                <w:szCs w:val="18"/>
                <w:color w:val="auto"/>
              </w:rPr>
              <w:t>Net income</w:t>
            </w:r>
          </w:p>
        </w:tc>
        <w:tc>
          <w:tcPr>
            <w:tcW w:w="1460" w:type="dxa"/>
            <w:vAlign w:val="bottom"/>
          </w:tcPr>
          <w:p>
            <w:pPr>
              <w:jc w:val="right"/>
              <w:spacing w:after="0"/>
              <w:rPr>
                <w:sz w:val="20"/>
                <w:szCs w:val="20"/>
                <w:color w:val="auto"/>
              </w:rPr>
            </w:pPr>
            <w:r>
              <w:rPr>
                <w:rFonts w:ascii="Arial" w:cs="Arial" w:eastAsia="Arial" w:hAnsi="Arial"/>
                <w:sz w:val="18"/>
                <w:szCs w:val="18"/>
                <w:color w:val="auto"/>
              </w:rPr>
              <w:t>45,943</w:t>
            </w:r>
          </w:p>
        </w:tc>
        <w:tc>
          <w:tcPr>
            <w:tcW w:w="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15,836</w:t>
            </w:r>
          </w:p>
        </w:tc>
        <w:tc>
          <w:tcPr>
            <w:tcW w:w="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55,851</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45,416</w:t>
            </w:r>
          </w:p>
        </w:tc>
        <w:tc>
          <w:tcPr>
            <w:tcW w:w="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84,830</w:t>
            </w: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0"/>
                <w:szCs w:val="20"/>
                <w:color w:val="auto"/>
              </w:rPr>
            </w:pPr>
            <w:r>
              <w:rPr>
                <w:rFonts w:ascii="Arial" w:cs="Arial" w:eastAsia="Arial" w:hAnsi="Arial"/>
                <w:sz w:val="18"/>
                <w:szCs w:val="18"/>
                <w:color w:val="auto"/>
              </w:rPr>
              <w:t>Net income per Common Share (2)</w:t>
            </w:r>
          </w:p>
        </w:tc>
        <w:tc>
          <w:tcPr>
            <w:tcW w:w="1460" w:type="dxa"/>
            <w:vAlign w:val="bottom"/>
          </w:tcPr>
          <w:p>
            <w:pPr>
              <w:jc w:val="right"/>
              <w:spacing w:after="0"/>
              <w:rPr>
                <w:sz w:val="20"/>
                <w:szCs w:val="20"/>
                <w:color w:val="auto"/>
              </w:rPr>
            </w:pPr>
            <w:r>
              <w:rPr>
                <w:rFonts w:ascii="Arial" w:cs="Arial" w:eastAsia="Arial" w:hAnsi="Arial"/>
                <w:sz w:val="18"/>
                <w:szCs w:val="18"/>
                <w:color w:val="auto"/>
              </w:rPr>
              <w:t>0.57</w:t>
            </w:r>
          </w:p>
        </w:tc>
        <w:tc>
          <w:tcPr>
            <w:tcW w:w="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0.20</w:t>
            </w:r>
          </w:p>
        </w:tc>
        <w:tc>
          <w:tcPr>
            <w:tcW w:w="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0.70</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0.57</w:t>
            </w:r>
          </w:p>
        </w:tc>
        <w:tc>
          <w:tcPr>
            <w:tcW w:w="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0"/>
                <w:szCs w:val="20"/>
                <w:color w:val="auto"/>
              </w:rPr>
            </w:pPr>
            <w:r>
              <w:rPr>
                <w:rFonts w:ascii="Arial" w:cs="Arial" w:eastAsia="Arial" w:hAnsi="Arial"/>
                <w:sz w:val="18"/>
                <w:szCs w:val="18"/>
                <w:b w:val="1"/>
                <w:bCs w:val="1"/>
                <w:color w:val="auto"/>
              </w:rPr>
              <w:t>BALANCE SHEET DATA:</w:t>
            </w: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0"/>
                <w:szCs w:val="20"/>
                <w:color w:val="auto"/>
              </w:rPr>
            </w:pPr>
            <w:r>
              <w:rPr>
                <w:rFonts w:ascii="Arial" w:cs="Arial" w:eastAsia="Arial" w:hAnsi="Arial"/>
                <w:sz w:val="18"/>
                <w:szCs w:val="18"/>
                <w:b w:val="1"/>
                <w:bCs w:val="1"/>
                <w:color w:val="auto"/>
              </w:rPr>
              <w:t>IFRS:</w:t>
            </w: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0"/>
                <w:szCs w:val="20"/>
                <w:color w:val="auto"/>
              </w:rPr>
            </w:pPr>
            <w:r>
              <w:rPr>
                <w:rFonts w:ascii="Arial" w:cs="Arial" w:eastAsia="Arial" w:hAnsi="Arial"/>
                <w:sz w:val="18"/>
                <w:szCs w:val="18"/>
                <w:color w:val="auto"/>
              </w:rPr>
              <w:t>Total assets</w:t>
            </w:r>
          </w:p>
        </w:tc>
        <w:tc>
          <w:tcPr>
            <w:tcW w:w="1460" w:type="dxa"/>
            <w:vAlign w:val="bottom"/>
          </w:tcPr>
          <w:p>
            <w:pPr>
              <w:jc w:val="right"/>
              <w:spacing w:after="0"/>
              <w:rPr>
                <w:sz w:val="20"/>
                <w:szCs w:val="20"/>
                <w:color w:val="auto"/>
              </w:rPr>
            </w:pPr>
            <w:r>
              <w:rPr>
                <w:rFonts w:ascii="Arial" w:cs="Arial" w:eastAsia="Arial" w:hAnsi="Arial"/>
                <w:sz w:val="18"/>
                <w:szCs w:val="18"/>
                <w:color w:val="auto"/>
              </w:rPr>
              <w:t>7,613,547</w:t>
            </w:r>
          </w:p>
        </w:tc>
        <w:tc>
          <w:tcPr>
            <w:tcW w:w="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7,623,470</w:t>
            </w:r>
          </w:p>
        </w:tc>
        <w:tc>
          <w:tcPr>
            <w:tcW w:w="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7,581,841</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8,629,631</w:t>
            </w:r>
          </w:p>
        </w:tc>
        <w:tc>
          <w:tcPr>
            <w:tcW w:w="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8,294,394</w:t>
            </w: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0"/>
                <w:szCs w:val="20"/>
                <w:color w:val="auto"/>
              </w:rPr>
            </w:pPr>
            <w:r>
              <w:rPr>
                <w:rFonts w:ascii="Arial" w:cs="Arial" w:eastAsia="Arial" w:hAnsi="Arial"/>
                <w:sz w:val="18"/>
                <w:szCs w:val="18"/>
                <w:color w:val="auto"/>
              </w:rPr>
              <w:t>Total loans (4) (11)</w:t>
            </w:r>
          </w:p>
        </w:tc>
        <w:tc>
          <w:tcPr>
            <w:tcW w:w="1460" w:type="dxa"/>
            <w:vAlign w:val="bottom"/>
          </w:tcPr>
          <w:p>
            <w:pPr>
              <w:jc w:val="right"/>
              <w:spacing w:after="0"/>
              <w:rPr>
                <w:sz w:val="20"/>
                <w:szCs w:val="20"/>
                <w:color w:val="auto"/>
              </w:rPr>
            </w:pPr>
            <w:r>
              <w:rPr>
                <w:rFonts w:ascii="Arial" w:cs="Arial" w:eastAsia="Arial" w:hAnsi="Arial"/>
                <w:sz w:val="18"/>
                <w:szCs w:val="18"/>
                <w:color w:val="auto"/>
              </w:rPr>
              <w:t>4,737,689</w:t>
            </w:r>
          </w:p>
        </w:tc>
        <w:tc>
          <w:tcPr>
            <w:tcW w:w="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4,454,085</w:t>
            </w:r>
          </w:p>
        </w:tc>
        <w:tc>
          <w:tcPr>
            <w:tcW w:w="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4,064,479</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4,817,663</w:t>
            </w:r>
          </w:p>
        </w:tc>
        <w:tc>
          <w:tcPr>
            <w:tcW w:w="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4,481,496</w:t>
            </w: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0"/>
                <w:szCs w:val="20"/>
                <w:color w:val="auto"/>
              </w:rPr>
            </w:pPr>
            <w:r>
              <w:rPr>
                <w:rFonts w:ascii="Arial" w:cs="Arial" w:eastAsia="Arial" w:hAnsi="Arial"/>
                <w:sz w:val="18"/>
                <w:szCs w:val="18"/>
                <w:color w:val="auto"/>
              </w:rPr>
              <w:t>Reserves for loan losses (1)</w:t>
            </w:r>
          </w:p>
        </w:tc>
        <w:tc>
          <w:tcPr>
            <w:tcW w:w="1460" w:type="dxa"/>
            <w:vAlign w:val="bottom"/>
          </w:tcPr>
          <w:p>
            <w:pPr>
              <w:jc w:val="right"/>
              <w:spacing w:after="0"/>
              <w:rPr>
                <w:sz w:val="20"/>
                <w:szCs w:val="20"/>
                <w:color w:val="auto"/>
              </w:rPr>
            </w:pPr>
            <w:r>
              <w:rPr>
                <w:rFonts w:ascii="Arial" w:cs="Arial" w:eastAsia="Arial" w:hAnsi="Arial"/>
                <w:sz w:val="18"/>
                <w:szCs w:val="18"/>
                <w:color w:val="auto"/>
              </w:rPr>
              <w:t>(307,343)</w:t>
            </w:r>
          </w:p>
        </w:tc>
        <w:tc>
          <w:tcPr>
            <w:tcW w:w="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(341,487)</w:t>
            </w:r>
          </w:p>
        </w:tc>
        <w:tc>
          <w:tcPr>
            <w:tcW w:w="20" w:type="dxa"/>
            <w:vAlign w:val="bottom"/>
          </w:tcPr>
          <w:p>
            <w:pPr>
              <w:spacing w:after="0"/>
              <w:rPr>
                <w:sz w:val="21"/>
                <w:szCs w:val="21"/>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(344,433)</w:t>
            </w:r>
          </w:p>
        </w:tc>
        <w:tc>
          <w:tcPr>
            <w:tcW w:w="38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(424,031)</w:t>
            </w:r>
          </w:p>
        </w:tc>
        <w:tc>
          <w:tcPr>
            <w:tcW w:w="1460" w:type="dxa"/>
            <w:vAlign w:val="bottom"/>
          </w:tcPr>
          <w:p>
            <w:pPr>
              <w:jc w:val="right"/>
              <w:spacing w:after="0"/>
              <w:rPr>
                <w:sz w:val="20"/>
                <w:szCs w:val="20"/>
                <w:color w:val="auto"/>
              </w:rPr>
            </w:pPr>
            <w:r>
              <w:rPr>
                <w:rFonts w:ascii="Arial" w:cs="Arial" w:eastAsia="Arial" w:hAnsi="Arial"/>
                <w:sz w:val="18"/>
                <w:szCs w:val="18"/>
                <w:color w:val="auto"/>
              </w:rPr>
              <w:t>(326,677)</w:t>
            </w: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0"/>
                <w:szCs w:val="20"/>
                <w:color w:val="auto"/>
              </w:rPr>
            </w:pPr>
            <w:r>
              <w:rPr>
                <w:rFonts w:ascii="Arial" w:cs="Arial" w:eastAsia="Arial" w:hAnsi="Arial"/>
                <w:sz w:val="18"/>
                <w:szCs w:val="18"/>
                <w:color w:val="auto"/>
              </w:rPr>
              <w:t>Total deposits</w:t>
            </w:r>
          </w:p>
        </w:tc>
        <w:tc>
          <w:tcPr>
            <w:tcW w:w="1460" w:type="dxa"/>
            <w:vAlign w:val="bottom"/>
          </w:tcPr>
          <w:p>
            <w:pPr>
              <w:jc w:val="right"/>
              <w:spacing w:after="0"/>
              <w:rPr>
                <w:sz w:val="20"/>
                <w:szCs w:val="20"/>
                <w:color w:val="auto"/>
              </w:rPr>
            </w:pPr>
            <w:r>
              <w:rPr>
                <w:rFonts w:ascii="Arial" w:cs="Arial" w:eastAsia="Arial" w:hAnsi="Arial"/>
                <w:sz w:val="18"/>
                <w:szCs w:val="18"/>
                <w:color w:val="auto"/>
              </w:rPr>
              <w:t>5,426,690</w:t>
            </w:r>
          </w:p>
        </w:tc>
        <w:tc>
          <w:tcPr>
            <w:tcW w:w="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5,506,439</w:t>
            </w:r>
          </w:p>
        </w:tc>
        <w:tc>
          <w:tcPr>
            <w:tcW w:w="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5,543,358</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6,381,200</w:t>
            </w:r>
          </w:p>
        </w:tc>
        <w:tc>
          <w:tcPr>
            <w:tcW w:w="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5,986,230</w:t>
            </w: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0"/>
                <w:szCs w:val="20"/>
                <w:color w:val="auto"/>
              </w:rPr>
            </w:pPr>
            <w:r>
              <w:rPr>
                <w:rFonts w:ascii="Arial" w:cs="Arial" w:eastAsia="Arial" w:hAnsi="Arial"/>
                <w:sz w:val="18"/>
                <w:szCs w:val="18"/>
                <w:color w:val="auto"/>
              </w:rPr>
              <w:t>Shareholders’ equity</w:t>
            </w:r>
          </w:p>
        </w:tc>
        <w:tc>
          <w:tcPr>
            <w:tcW w:w="1460" w:type="dxa"/>
            <w:vAlign w:val="bottom"/>
          </w:tcPr>
          <w:p>
            <w:pPr>
              <w:jc w:val="right"/>
              <w:spacing w:after="0"/>
              <w:rPr>
                <w:sz w:val="20"/>
                <w:szCs w:val="20"/>
                <w:color w:val="auto"/>
              </w:rPr>
            </w:pPr>
            <w:r>
              <w:rPr>
                <w:rFonts w:ascii="Arial" w:cs="Arial" w:eastAsia="Arial" w:hAnsi="Arial"/>
                <w:sz w:val="18"/>
                <w:szCs w:val="18"/>
                <w:color w:val="auto"/>
              </w:rPr>
              <w:t>779,701</w:t>
            </w:r>
          </w:p>
        </w:tc>
        <w:tc>
          <w:tcPr>
            <w:tcW w:w="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782,730</w:t>
            </w:r>
          </w:p>
        </w:tc>
        <w:tc>
          <w:tcPr>
            <w:tcW w:w="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796,773</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823,800</w:t>
            </w:r>
          </w:p>
        </w:tc>
        <w:tc>
          <w:tcPr>
            <w:tcW w:w="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910,730</w:t>
            </w: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0"/>
                <w:szCs w:val="20"/>
                <w:color w:val="auto"/>
              </w:rPr>
            </w:pPr>
            <w:r>
              <w:rPr>
                <w:rFonts w:ascii="Arial" w:cs="Arial" w:eastAsia="Arial" w:hAnsi="Arial"/>
                <w:sz w:val="18"/>
                <w:szCs w:val="18"/>
                <w:b w:val="1"/>
                <w:bCs w:val="1"/>
                <w:color w:val="auto"/>
              </w:rPr>
              <w:t>U.S. GAAP:</w:t>
            </w: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0"/>
                <w:szCs w:val="20"/>
                <w:color w:val="auto"/>
              </w:rPr>
            </w:pPr>
            <w:r>
              <w:rPr>
                <w:rFonts w:ascii="Arial" w:cs="Arial" w:eastAsia="Arial" w:hAnsi="Arial"/>
                <w:sz w:val="18"/>
                <w:szCs w:val="18"/>
                <w:color w:val="auto"/>
              </w:rPr>
              <w:t>Shareholders’ equity</w:t>
            </w:r>
          </w:p>
        </w:tc>
        <w:tc>
          <w:tcPr>
            <w:tcW w:w="1460" w:type="dxa"/>
            <w:vAlign w:val="bottom"/>
          </w:tcPr>
          <w:p>
            <w:pPr>
              <w:jc w:val="right"/>
              <w:spacing w:after="0"/>
              <w:rPr>
                <w:sz w:val="20"/>
                <w:szCs w:val="20"/>
                <w:color w:val="auto"/>
              </w:rPr>
            </w:pPr>
            <w:r>
              <w:rPr>
                <w:rFonts w:ascii="Arial" w:cs="Arial" w:eastAsia="Arial" w:hAnsi="Arial"/>
                <w:sz w:val="18"/>
                <w:szCs w:val="18"/>
                <w:color w:val="auto"/>
              </w:rPr>
              <w:t>777,414</w:t>
            </w:r>
          </w:p>
        </w:tc>
        <w:tc>
          <w:tcPr>
            <w:tcW w:w="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785,853</w:t>
            </w:r>
          </w:p>
        </w:tc>
        <w:tc>
          <w:tcPr>
            <w:tcW w:w="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796,773</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826,833</w:t>
            </w:r>
          </w:p>
        </w:tc>
        <w:tc>
          <w:tcPr>
            <w:tcW w:w="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917,986</w:t>
            </w: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0"/>
                <w:szCs w:val="20"/>
                <w:color w:val="auto"/>
              </w:rPr>
            </w:pPr>
            <w:r>
              <w:rPr>
                <w:rFonts w:ascii="Arial" w:cs="Arial" w:eastAsia="Arial" w:hAnsi="Arial"/>
                <w:sz w:val="18"/>
                <w:szCs w:val="18"/>
                <w:b w:val="1"/>
                <w:bCs w:val="1"/>
                <w:color w:val="auto"/>
              </w:rPr>
              <w:t>SELECTED RATIOS:</w:t>
            </w: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0"/>
                <w:szCs w:val="20"/>
                <w:color w:val="auto"/>
              </w:rPr>
            </w:pPr>
            <w:r>
              <w:rPr>
                <w:rFonts w:ascii="Arial" w:cs="Arial" w:eastAsia="Arial" w:hAnsi="Arial"/>
                <w:sz w:val="18"/>
                <w:szCs w:val="18"/>
                <w:b w:val="1"/>
                <w:bCs w:val="1"/>
                <w:color w:val="auto"/>
              </w:rPr>
              <w:t>IFRS:</w:t>
            </w: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0"/>
                <w:szCs w:val="20"/>
                <w:color w:val="auto"/>
              </w:rPr>
            </w:pPr>
            <w:r>
              <w:rPr>
                <w:rFonts w:ascii="Arial" w:cs="Arial" w:eastAsia="Arial" w:hAnsi="Arial"/>
                <w:sz w:val="18"/>
                <w:szCs w:val="18"/>
                <w:color w:val="auto"/>
              </w:rPr>
              <w:t>Net interest margin (5)</w:t>
            </w:r>
          </w:p>
        </w:tc>
        <w:tc>
          <w:tcPr>
            <w:tcW w:w="1460" w:type="dxa"/>
            <w:vAlign w:val="bottom"/>
          </w:tcPr>
          <w:p>
            <w:pPr>
              <w:jc w:val="right"/>
              <w:spacing w:after="0"/>
              <w:rPr>
                <w:sz w:val="20"/>
                <w:szCs w:val="20"/>
                <w:color w:val="auto"/>
              </w:rPr>
            </w:pPr>
            <w:r>
              <w:rPr>
                <w:rFonts w:ascii="Arial" w:cs="Arial" w:eastAsia="Arial" w:hAnsi="Arial"/>
                <w:sz w:val="18"/>
                <w:szCs w:val="18"/>
                <w:color w:val="auto"/>
              </w:rPr>
              <w:t>5.24%</w:t>
            </w:r>
          </w:p>
        </w:tc>
        <w:tc>
          <w:tcPr>
            <w:tcW w:w="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5.45%</w:t>
            </w:r>
          </w:p>
        </w:tc>
        <w:tc>
          <w:tcPr>
            <w:tcW w:w="20" w:type="dxa"/>
            <w:vAlign w:val="bottom"/>
          </w:tcPr>
          <w:p>
            <w:pPr>
              <w:spacing w:after="0"/>
              <w:rPr>
                <w:sz w:val="21"/>
                <w:szCs w:val="21"/>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5.28%</w:t>
            </w:r>
          </w:p>
        </w:tc>
        <w:tc>
          <w:tcPr>
            <w:tcW w:w="38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5.07%</w:t>
            </w:r>
          </w:p>
        </w:tc>
        <w:tc>
          <w:tcPr>
            <w:tcW w:w="1460" w:type="dxa"/>
            <w:vAlign w:val="bottom"/>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0"/>
                <w:szCs w:val="20"/>
                <w:color w:val="auto"/>
              </w:rPr>
            </w:pPr>
            <w:r>
              <w:rPr>
                <w:rFonts w:ascii="Arial" w:cs="Arial" w:eastAsia="Arial" w:hAnsi="Arial"/>
                <w:sz w:val="18"/>
                <w:szCs w:val="18"/>
                <w:color w:val="auto"/>
              </w:rPr>
              <w:t>Return on average total assets (6)</w:t>
            </w:r>
          </w:p>
        </w:tc>
        <w:tc>
          <w:tcPr>
            <w:tcW w:w="1460" w:type="dxa"/>
            <w:vAlign w:val="bottom"/>
          </w:tcPr>
          <w:p>
            <w:pPr>
              <w:jc w:val="right"/>
              <w:spacing w:after="0"/>
              <w:rPr>
                <w:sz w:val="20"/>
                <w:szCs w:val="20"/>
                <w:color w:val="auto"/>
              </w:rPr>
            </w:pPr>
            <w:r>
              <w:rPr>
                <w:rFonts w:ascii="Arial" w:cs="Arial" w:eastAsia="Arial" w:hAnsi="Arial"/>
                <w:sz w:val="18"/>
                <w:szCs w:val="18"/>
                <w:color w:val="auto"/>
              </w:rPr>
              <w:t>0.56</w:t>
            </w:r>
          </w:p>
        </w:tc>
        <w:tc>
          <w:tcPr>
            <w:tcW w:w="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0.23</w:t>
            </w:r>
          </w:p>
        </w:tc>
        <w:tc>
          <w:tcPr>
            <w:tcW w:w="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0.72</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0.52</w:t>
            </w:r>
          </w:p>
        </w:tc>
        <w:tc>
          <w:tcPr>
            <w:tcW w:w="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0"/>
                <w:szCs w:val="20"/>
                <w:color w:val="auto"/>
              </w:rPr>
            </w:pPr>
            <w:r>
              <w:rPr>
                <w:rFonts w:ascii="Arial" w:cs="Arial" w:eastAsia="Arial" w:hAnsi="Arial"/>
                <w:sz w:val="18"/>
                <w:szCs w:val="18"/>
                <w:color w:val="auto"/>
              </w:rPr>
              <w:t>Return on average shareholders’ equity (7)</w:t>
            </w:r>
          </w:p>
        </w:tc>
        <w:tc>
          <w:tcPr>
            <w:tcW w:w="1460" w:type="dxa"/>
            <w:vAlign w:val="bottom"/>
          </w:tcPr>
          <w:p>
            <w:pPr>
              <w:jc w:val="right"/>
              <w:spacing w:after="0"/>
              <w:rPr>
                <w:sz w:val="20"/>
                <w:szCs w:val="20"/>
                <w:color w:val="auto"/>
              </w:rPr>
            </w:pPr>
            <w:r>
              <w:rPr>
                <w:rFonts w:ascii="Arial" w:cs="Arial" w:eastAsia="Arial" w:hAnsi="Arial"/>
                <w:sz w:val="18"/>
                <w:szCs w:val="18"/>
                <w:color w:val="auto"/>
              </w:rPr>
              <w:t>5.68</w:t>
            </w:r>
          </w:p>
        </w:tc>
        <w:tc>
          <w:tcPr>
            <w:tcW w:w="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2.27</w:t>
            </w:r>
          </w:p>
        </w:tc>
        <w:tc>
          <w:tcPr>
            <w:tcW w:w="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6.90</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5.23</w:t>
            </w:r>
          </w:p>
        </w:tc>
        <w:tc>
          <w:tcPr>
            <w:tcW w:w="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37"/>
        </w:trPr>
        <w:tc>
          <w:tcPr>
            <w:tcW w:w="3960" w:type="dxa"/>
            <w:vAlign w:val="bottom"/>
          </w:tcPr>
          <w:p>
            <w:pPr>
              <w:spacing w:after="0"/>
              <w:rPr>
                <w:sz w:val="20"/>
                <w:szCs w:val="20"/>
                <w:color w:val="auto"/>
              </w:rPr>
            </w:pPr>
            <w:r>
              <w:rPr>
                <w:rFonts w:ascii="Arial" w:cs="Arial" w:eastAsia="Arial" w:hAnsi="Arial"/>
                <w:sz w:val="18"/>
                <w:szCs w:val="18"/>
                <w:color w:val="auto"/>
                <w:w w:val="88"/>
              </w:rPr>
              <w:t>Operating expenses as a percentage of net interest and</w:t>
            </w: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960" w:type="dxa"/>
            <w:vAlign w:val="bottom"/>
          </w:tcPr>
          <w:p>
            <w:pPr>
              <w:spacing w:after="0"/>
              <w:rPr>
                <w:sz w:val="20"/>
                <w:szCs w:val="20"/>
                <w:color w:val="auto"/>
              </w:rPr>
            </w:pPr>
            <w:r>
              <w:rPr>
                <w:rFonts w:ascii="Arial" w:cs="Arial" w:eastAsia="Arial" w:hAnsi="Arial"/>
                <w:sz w:val="18"/>
                <w:szCs w:val="18"/>
                <w:color w:val="auto"/>
              </w:rPr>
              <w:t>non-interest income (8)</w:t>
            </w:r>
          </w:p>
        </w:tc>
        <w:tc>
          <w:tcPr>
            <w:tcW w:w="1460" w:type="dxa"/>
            <w:vAlign w:val="bottom"/>
          </w:tcPr>
          <w:p>
            <w:pPr>
              <w:jc w:val="right"/>
              <w:spacing w:after="0"/>
              <w:rPr>
                <w:sz w:val="20"/>
                <w:szCs w:val="20"/>
                <w:color w:val="auto"/>
              </w:rPr>
            </w:pPr>
            <w:r>
              <w:rPr>
                <w:rFonts w:ascii="Arial" w:cs="Arial" w:eastAsia="Arial" w:hAnsi="Arial"/>
                <w:sz w:val="18"/>
                <w:szCs w:val="18"/>
                <w:color w:val="auto"/>
              </w:rPr>
              <w:t>56.19</w:t>
            </w:r>
          </w:p>
        </w:tc>
        <w:tc>
          <w:tcPr>
            <w:tcW w:w="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56.60</w:t>
            </w:r>
          </w:p>
        </w:tc>
        <w:tc>
          <w:tcPr>
            <w:tcW w:w="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55.41</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58.62</w:t>
            </w:r>
          </w:p>
        </w:tc>
        <w:tc>
          <w:tcPr>
            <w:tcW w:w="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57.43</w:t>
            </w: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0"/>
                <w:szCs w:val="20"/>
                <w:color w:val="auto"/>
              </w:rPr>
            </w:pPr>
            <w:r>
              <w:rPr>
                <w:rFonts w:ascii="Arial" w:cs="Arial" w:eastAsia="Arial" w:hAnsi="Arial"/>
                <w:sz w:val="18"/>
                <w:szCs w:val="18"/>
                <w:color w:val="auto"/>
                <w:w w:val="89"/>
              </w:rPr>
              <w:t>Operating expenses as a percentage of average assets</w:t>
            </w:r>
          </w:p>
        </w:tc>
        <w:tc>
          <w:tcPr>
            <w:tcW w:w="1460" w:type="dxa"/>
            <w:vAlign w:val="bottom"/>
          </w:tcPr>
          <w:p>
            <w:pPr>
              <w:jc w:val="right"/>
              <w:spacing w:after="0"/>
              <w:rPr>
                <w:sz w:val="20"/>
                <w:szCs w:val="20"/>
                <w:color w:val="auto"/>
              </w:rPr>
            </w:pPr>
            <w:r>
              <w:rPr>
                <w:rFonts w:ascii="Arial" w:cs="Arial" w:eastAsia="Arial" w:hAnsi="Arial"/>
                <w:sz w:val="18"/>
                <w:szCs w:val="18"/>
                <w:color w:val="auto"/>
              </w:rPr>
              <w:t>5.28</w:t>
            </w:r>
          </w:p>
        </w:tc>
        <w:tc>
          <w:tcPr>
            <w:tcW w:w="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5.14</w:t>
            </w:r>
          </w:p>
        </w:tc>
        <w:tc>
          <w:tcPr>
            <w:tcW w:w="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5.14</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4.99</w:t>
            </w:r>
          </w:p>
        </w:tc>
        <w:tc>
          <w:tcPr>
            <w:tcW w:w="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37"/>
        </w:trPr>
        <w:tc>
          <w:tcPr>
            <w:tcW w:w="3960" w:type="dxa"/>
            <w:vAlign w:val="bottom"/>
          </w:tcPr>
          <w:p>
            <w:pPr>
              <w:spacing w:after="0"/>
              <w:rPr>
                <w:sz w:val="20"/>
                <w:szCs w:val="20"/>
                <w:color w:val="auto"/>
              </w:rPr>
            </w:pPr>
            <w:r>
              <w:rPr>
                <w:rFonts w:ascii="Arial" w:cs="Arial" w:eastAsia="Arial" w:hAnsi="Arial"/>
                <w:sz w:val="18"/>
                <w:szCs w:val="18"/>
                <w:color w:val="auto"/>
                <w:w w:val="88"/>
              </w:rPr>
              <w:t>Shareholders’ equity as a percentage of period end total</w:t>
            </w: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960" w:type="dxa"/>
            <w:vAlign w:val="bottom"/>
          </w:tcPr>
          <w:p>
            <w:pPr>
              <w:spacing w:after="0"/>
              <w:rPr>
                <w:sz w:val="20"/>
                <w:szCs w:val="20"/>
                <w:color w:val="auto"/>
              </w:rPr>
            </w:pPr>
            <w:r>
              <w:rPr>
                <w:rFonts w:ascii="Arial" w:cs="Arial" w:eastAsia="Arial" w:hAnsi="Arial"/>
                <w:sz w:val="18"/>
                <w:szCs w:val="18"/>
                <w:color w:val="auto"/>
              </w:rPr>
              <w:t>assets</w:t>
            </w:r>
          </w:p>
        </w:tc>
        <w:tc>
          <w:tcPr>
            <w:tcW w:w="1460" w:type="dxa"/>
            <w:vAlign w:val="bottom"/>
          </w:tcPr>
          <w:p>
            <w:pPr>
              <w:jc w:val="right"/>
              <w:spacing w:after="0"/>
              <w:rPr>
                <w:sz w:val="20"/>
                <w:szCs w:val="20"/>
                <w:color w:val="auto"/>
              </w:rPr>
            </w:pPr>
            <w:r>
              <w:rPr>
                <w:rFonts w:ascii="Arial" w:cs="Arial" w:eastAsia="Arial" w:hAnsi="Arial"/>
                <w:sz w:val="18"/>
                <w:szCs w:val="18"/>
                <w:color w:val="auto"/>
              </w:rPr>
              <w:t>10.24</w:t>
            </w:r>
          </w:p>
        </w:tc>
        <w:tc>
          <w:tcPr>
            <w:tcW w:w="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10.27</w:t>
            </w:r>
          </w:p>
        </w:tc>
        <w:tc>
          <w:tcPr>
            <w:tcW w:w="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10.51</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9.56</w:t>
            </w:r>
          </w:p>
        </w:tc>
        <w:tc>
          <w:tcPr>
            <w:tcW w:w="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37"/>
        </w:trPr>
        <w:tc>
          <w:tcPr>
            <w:tcW w:w="3960" w:type="dxa"/>
            <w:vAlign w:val="bottom"/>
          </w:tcPr>
          <w:p>
            <w:pPr>
              <w:spacing w:after="0"/>
              <w:rPr>
                <w:sz w:val="20"/>
                <w:szCs w:val="20"/>
                <w:color w:val="auto"/>
              </w:rPr>
            </w:pPr>
            <w:r>
              <w:rPr>
                <w:rFonts w:ascii="Arial" w:cs="Arial" w:eastAsia="Arial" w:hAnsi="Arial"/>
                <w:sz w:val="18"/>
                <w:szCs w:val="18"/>
                <w:color w:val="auto"/>
                <w:w w:val="96"/>
              </w:rPr>
              <w:t>Regulatory capital as a percentage of risk-weighted</w:t>
            </w: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960" w:type="dxa"/>
            <w:vAlign w:val="bottom"/>
          </w:tcPr>
          <w:p>
            <w:pPr>
              <w:spacing w:after="0"/>
              <w:rPr>
                <w:sz w:val="20"/>
                <w:szCs w:val="20"/>
                <w:color w:val="auto"/>
              </w:rPr>
            </w:pPr>
            <w:r>
              <w:rPr>
                <w:rFonts w:ascii="Arial" w:cs="Arial" w:eastAsia="Arial" w:hAnsi="Arial"/>
                <w:sz w:val="18"/>
                <w:szCs w:val="18"/>
                <w:color w:val="auto"/>
              </w:rPr>
              <w:t>assets (9)</w:t>
            </w:r>
          </w:p>
        </w:tc>
        <w:tc>
          <w:tcPr>
            <w:tcW w:w="1460" w:type="dxa"/>
            <w:vAlign w:val="bottom"/>
          </w:tcPr>
          <w:p>
            <w:pPr>
              <w:jc w:val="right"/>
              <w:spacing w:after="0"/>
              <w:rPr>
                <w:sz w:val="20"/>
                <w:szCs w:val="20"/>
                <w:color w:val="auto"/>
              </w:rPr>
            </w:pPr>
            <w:r>
              <w:rPr>
                <w:rFonts w:ascii="Arial" w:cs="Arial" w:eastAsia="Arial" w:hAnsi="Arial"/>
                <w:sz w:val="18"/>
                <w:szCs w:val="18"/>
                <w:color w:val="auto"/>
              </w:rPr>
              <w:t>11.35</w:t>
            </w:r>
          </w:p>
        </w:tc>
        <w:tc>
          <w:tcPr>
            <w:tcW w:w="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11.84</w:t>
            </w:r>
          </w:p>
        </w:tc>
        <w:tc>
          <w:tcPr>
            <w:tcW w:w="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11.77</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11.52</w:t>
            </w:r>
          </w:p>
        </w:tc>
        <w:tc>
          <w:tcPr>
            <w:tcW w:w="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37"/>
        </w:trPr>
        <w:tc>
          <w:tcPr>
            <w:tcW w:w="3960" w:type="dxa"/>
            <w:vAlign w:val="bottom"/>
          </w:tcPr>
          <w:p>
            <w:pPr>
              <w:spacing w:after="0"/>
              <w:rPr>
                <w:sz w:val="20"/>
                <w:szCs w:val="20"/>
                <w:color w:val="auto"/>
              </w:rPr>
            </w:pPr>
            <w:r>
              <w:rPr>
                <w:rFonts w:ascii="Arial" w:cs="Arial" w:eastAsia="Arial" w:hAnsi="Arial"/>
                <w:sz w:val="18"/>
                <w:szCs w:val="18"/>
                <w:color w:val="auto"/>
                <w:w w:val="93"/>
              </w:rPr>
              <w:t>Total past due loan amounts as a percentage of total</w:t>
            </w: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960" w:type="dxa"/>
            <w:vAlign w:val="bottom"/>
          </w:tcPr>
          <w:p>
            <w:pPr>
              <w:spacing w:after="0"/>
              <w:rPr>
                <w:sz w:val="20"/>
                <w:szCs w:val="20"/>
                <w:color w:val="auto"/>
              </w:rPr>
            </w:pPr>
            <w:r>
              <w:rPr>
                <w:rFonts w:ascii="Arial" w:cs="Arial" w:eastAsia="Arial" w:hAnsi="Arial"/>
                <w:sz w:val="18"/>
                <w:szCs w:val="18"/>
                <w:color w:val="auto"/>
              </w:rPr>
              <w:t>loans (10)</w:t>
            </w:r>
          </w:p>
        </w:tc>
        <w:tc>
          <w:tcPr>
            <w:tcW w:w="1460" w:type="dxa"/>
            <w:vAlign w:val="bottom"/>
          </w:tcPr>
          <w:p>
            <w:pPr>
              <w:jc w:val="right"/>
              <w:spacing w:after="0"/>
              <w:rPr>
                <w:sz w:val="20"/>
                <w:szCs w:val="20"/>
                <w:color w:val="auto"/>
              </w:rPr>
            </w:pPr>
            <w:r>
              <w:rPr>
                <w:rFonts w:ascii="Arial" w:cs="Arial" w:eastAsia="Arial" w:hAnsi="Arial"/>
                <w:sz w:val="18"/>
                <w:szCs w:val="18"/>
                <w:color w:val="auto"/>
              </w:rPr>
              <w:t>7.59</w:t>
            </w:r>
          </w:p>
        </w:tc>
        <w:tc>
          <w:tcPr>
            <w:tcW w:w="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8.44</w:t>
            </w:r>
          </w:p>
        </w:tc>
        <w:tc>
          <w:tcPr>
            <w:tcW w:w="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8.63</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8.43</w:t>
            </w:r>
          </w:p>
        </w:tc>
        <w:tc>
          <w:tcPr>
            <w:tcW w:w="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0"/>
                <w:szCs w:val="20"/>
                <w:color w:val="auto"/>
              </w:rPr>
            </w:pPr>
            <w:r>
              <w:rPr>
                <w:rFonts w:ascii="Arial" w:cs="Arial" w:eastAsia="Arial" w:hAnsi="Arial"/>
                <w:sz w:val="18"/>
                <w:szCs w:val="18"/>
                <w:color w:val="auto"/>
                <w:w w:val="89"/>
              </w:rPr>
              <w:t>Reserves for loan losses as a percentage of total loans</w:t>
            </w:r>
          </w:p>
        </w:tc>
        <w:tc>
          <w:tcPr>
            <w:tcW w:w="1460" w:type="dxa"/>
            <w:vAlign w:val="bottom"/>
          </w:tcPr>
          <w:p>
            <w:pPr>
              <w:jc w:val="right"/>
              <w:spacing w:after="0"/>
              <w:rPr>
                <w:sz w:val="20"/>
                <w:szCs w:val="20"/>
                <w:color w:val="auto"/>
              </w:rPr>
            </w:pPr>
            <w:r>
              <w:rPr>
                <w:rFonts w:ascii="Arial" w:cs="Arial" w:eastAsia="Arial" w:hAnsi="Arial"/>
                <w:sz w:val="18"/>
                <w:szCs w:val="18"/>
                <w:color w:val="auto"/>
              </w:rPr>
              <w:t>6.49</w:t>
            </w:r>
          </w:p>
        </w:tc>
        <w:tc>
          <w:tcPr>
            <w:tcW w:w="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7.67</w:t>
            </w:r>
          </w:p>
        </w:tc>
        <w:tc>
          <w:tcPr>
            <w:tcW w:w="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8.47</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8.80</w:t>
            </w:r>
          </w:p>
        </w:tc>
        <w:tc>
          <w:tcPr>
            <w:tcW w:w="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37"/>
        </w:trPr>
        <w:tc>
          <w:tcPr>
            <w:tcW w:w="3960" w:type="dxa"/>
            <w:vAlign w:val="bottom"/>
          </w:tcPr>
          <w:p>
            <w:pPr>
              <w:spacing w:after="0"/>
              <w:rPr>
                <w:sz w:val="20"/>
                <w:szCs w:val="20"/>
                <w:color w:val="auto"/>
              </w:rPr>
            </w:pPr>
            <w:r>
              <w:rPr>
                <w:rFonts w:ascii="Arial" w:cs="Arial" w:eastAsia="Arial" w:hAnsi="Arial"/>
                <w:sz w:val="18"/>
                <w:szCs w:val="18"/>
                <w:color w:val="auto"/>
                <w:w w:val="89"/>
              </w:rPr>
              <w:t>Reserves for loan losses as a percentage of total loans</w:t>
            </w: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960" w:type="dxa"/>
            <w:vAlign w:val="bottom"/>
          </w:tcPr>
          <w:p>
            <w:pPr>
              <w:spacing w:after="0"/>
              <w:rPr>
                <w:sz w:val="20"/>
                <w:szCs w:val="20"/>
                <w:color w:val="auto"/>
              </w:rPr>
            </w:pPr>
            <w:r>
              <w:rPr>
                <w:rFonts w:ascii="Arial" w:cs="Arial" w:eastAsia="Arial" w:hAnsi="Arial"/>
                <w:sz w:val="18"/>
                <w:szCs w:val="18"/>
                <w:color w:val="auto"/>
              </w:rPr>
              <w:t>and other contingent credits (11)</w:t>
            </w:r>
          </w:p>
        </w:tc>
        <w:tc>
          <w:tcPr>
            <w:tcW w:w="1460" w:type="dxa"/>
            <w:vAlign w:val="bottom"/>
          </w:tcPr>
          <w:p>
            <w:pPr>
              <w:jc w:val="right"/>
              <w:spacing w:after="0"/>
              <w:rPr>
                <w:sz w:val="20"/>
                <w:szCs w:val="20"/>
                <w:color w:val="auto"/>
              </w:rPr>
            </w:pPr>
            <w:r>
              <w:rPr>
                <w:rFonts w:ascii="Arial" w:cs="Arial" w:eastAsia="Arial" w:hAnsi="Arial"/>
                <w:sz w:val="18"/>
                <w:szCs w:val="18"/>
                <w:color w:val="auto"/>
              </w:rPr>
              <w:t>5.48</w:t>
            </w:r>
          </w:p>
        </w:tc>
        <w:tc>
          <w:tcPr>
            <w:tcW w:w="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6.40</w:t>
            </w:r>
          </w:p>
        </w:tc>
        <w:tc>
          <w:tcPr>
            <w:tcW w:w="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6.62</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6.57</w:t>
            </w:r>
          </w:p>
        </w:tc>
        <w:tc>
          <w:tcPr>
            <w:tcW w:w="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37"/>
        </w:trPr>
        <w:tc>
          <w:tcPr>
            <w:tcW w:w="3960" w:type="dxa"/>
            <w:vAlign w:val="bottom"/>
          </w:tcPr>
          <w:p>
            <w:pPr>
              <w:spacing w:after="0"/>
              <w:rPr>
                <w:sz w:val="20"/>
                <w:szCs w:val="20"/>
                <w:color w:val="auto"/>
              </w:rPr>
            </w:pPr>
            <w:r>
              <w:rPr>
                <w:rFonts w:ascii="Arial" w:cs="Arial" w:eastAsia="Arial" w:hAnsi="Arial"/>
                <w:sz w:val="18"/>
                <w:szCs w:val="18"/>
                <w:color w:val="auto"/>
                <w:w w:val="91"/>
              </w:rPr>
              <w:t>Reserves for loan losses as a percentage of total past</w:t>
            </w: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960" w:type="dxa"/>
            <w:vAlign w:val="bottom"/>
          </w:tcPr>
          <w:p>
            <w:pPr>
              <w:spacing w:after="0"/>
              <w:rPr>
                <w:sz w:val="20"/>
                <w:szCs w:val="20"/>
                <w:color w:val="auto"/>
              </w:rPr>
            </w:pPr>
            <w:r>
              <w:rPr>
                <w:rFonts w:ascii="Arial" w:cs="Arial" w:eastAsia="Arial" w:hAnsi="Arial"/>
                <w:sz w:val="18"/>
                <w:szCs w:val="18"/>
                <w:color w:val="auto"/>
              </w:rPr>
              <w:t>due loans (12)</w:t>
            </w:r>
          </w:p>
        </w:tc>
        <w:tc>
          <w:tcPr>
            <w:tcW w:w="1460" w:type="dxa"/>
            <w:vAlign w:val="bottom"/>
          </w:tcPr>
          <w:p>
            <w:pPr>
              <w:jc w:val="right"/>
              <w:spacing w:after="0"/>
              <w:rPr>
                <w:sz w:val="20"/>
                <w:szCs w:val="20"/>
                <w:color w:val="auto"/>
              </w:rPr>
            </w:pPr>
            <w:r>
              <w:rPr>
                <w:rFonts w:ascii="Arial" w:cs="Arial" w:eastAsia="Arial" w:hAnsi="Arial"/>
                <w:sz w:val="18"/>
                <w:szCs w:val="18"/>
                <w:color w:val="auto"/>
              </w:rPr>
              <w:t>85.42</w:t>
            </w:r>
          </w:p>
        </w:tc>
        <w:tc>
          <w:tcPr>
            <w:tcW w:w="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90.80</w:t>
            </w:r>
          </w:p>
        </w:tc>
        <w:tc>
          <w:tcPr>
            <w:tcW w:w="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98.18</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104.41</w:t>
            </w:r>
          </w:p>
        </w:tc>
        <w:tc>
          <w:tcPr>
            <w:tcW w:w="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127.50</w:t>
            </w:r>
          </w:p>
        </w:tc>
        <w:tc>
          <w:tcPr>
            <w:tcW w:w="0" w:type="dxa"/>
            <w:vAlign w:val="bottom"/>
          </w:tcPr>
          <w:p>
            <w:pPr>
              <w:spacing w:after="0"/>
              <w:rPr>
                <w:sz w:val="1"/>
                <w:szCs w:val="1"/>
                <w:color w:val="auto"/>
              </w:rPr>
            </w:pPr>
          </w:p>
        </w:tc>
      </w:tr>
      <w:tr>
        <w:trPr>
          <w:trHeight w:val="237"/>
        </w:trPr>
        <w:tc>
          <w:tcPr>
            <w:tcW w:w="3960" w:type="dxa"/>
            <w:vAlign w:val="bottom"/>
          </w:tcPr>
          <w:p>
            <w:pPr>
              <w:spacing w:after="0"/>
              <w:rPr>
                <w:sz w:val="20"/>
                <w:szCs w:val="20"/>
                <w:color w:val="auto"/>
              </w:rPr>
            </w:pPr>
            <w:r>
              <w:rPr>
                <w:rFonts w:ascii="Arial" w:cs="Arial" w:eastAsia="Arial" w:hAnsi="Arial"/>
                <w:sz w:val="18"/>
                <w:szCs w:val="18"/>
                <w:color w:val="auto"/>
                <w:w w:val="86"/>
              </w:rPr>
              <w:t>Reserves for loan losses as a percentage of substandard</w:t>
            </w: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960" w:type="dxa"/>
            <w:vAlign w:val="bottom"/>
          </w:tcPr>
          <w:p>
            <w:pPr>
              <w:spacing w:after="0"/>
              <w:rPr>
                <w:sz w:val="20"/>
                <w:szCs w:val="20"/>
                <w:color w:val="auto"/>
              </w:rPr>
            </w:pPr>
            <w:r>
              <w:rPr>
                <w:rFonts w:ascii="Arial" w:cs="Arial" w:eastAsia="Arial" w:hAnsi="Arial"/>
                <w:sz w:val="18"/>
                <w:szCs w:val="18"/>
                <w:color w:val="auto"/>
              </w:rPr>
              <w:t>loans (13)</w:t>
            </w:r>
          </w:p>
        </w:tc>
        <w:tc>
          <w:tcPr>
            <w:tcW w:w="1460" w:type="dxa"/>
            <w:vAlign w:val="bottom"/>
          </w:tcPr>
          <w:p>
            <w:pPr>
              <w:jc w:val="right"/>
              <w:spacing w:after="0"/>
              <w:rPr>
                <w:sz w:val="20"/>
                <w:szCs w:val="20"/>
                <w:color w:val="auto"/>
              </w:rPr>
            </w:pPr>
            <w:r>
              <w:rPr>
                <w:rFonts w:ascii="Arial" w:cs="Arial" w:eastAsia="Arial" w:hAnsi="Arial"/>
                <w:sz w:val="18"/>
                <w:szCs w:val="18"/>
                <w:color w:val="auto"/>
              </w:rPr>
              <w:t>38.84</w:t>
            </w:r>
          </w:p>
        </w:tc>
        <w:tc>
          <w:tcPr>
            <w:tcW w:w="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39.25</w:t>
            </w:r>
          </w:p>
        </w:tc>
        <w:tc>
          <w:tcPr>
            <w:tcW w:w="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45.38</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51.81</w:t>
            </w:r>
          </w:p>
        </w:tc>
        <w:tc>
          <w:tcPr>
            <w:tcW w:w="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-9752965</wp:posOffset>
            </wp:positionV>
            <wp:extent cx="3429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3439795</wp:posOffset>
            </wp:positionH>
            <wp:positionV relativeFrom="paragraph">
              <wp:posOffset>-9427210</wp:posOffset>
            </wp:positionV>
            <wp:extent cx="3429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-9427210</wp:posOffset>
            </wp:positionV>
            <wp:extent cx="3429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5326380</wp:posOffset>
            </wp:positionH>
            <wp:positionV relativeFrom="paragraph">
              <wp:posOffset>-9427210</wp:posOffset>
            </wp:positionV>
            <wp:extent cx="3429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6269990</wp:posOffset>
            </wp:positionH>
            <wp:positionV relativeFrom="paragraph">
              <wp:posOffset>-9427210</wp:posOffset>
            </wp:positionV>
            <wp:extent cx="3429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-9427210</wp:posOffset>
            </wp:positionV>
            <wp:extent cx="3429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3439795</wp:posOffset>
            </wp:positionH>
            <wp:positionV relativeFrom="paragraph">
              <wp:posOffset>-8483600</wp:posOffset>
            </wp:positionV>
            <wp:extent cx="3429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-8483600</wp:posOffset>
            </wp:positionV>
            <wp:extent cx="3429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5326380</wp:posOffset>
            </wp:positionH>
            <wp:positionV relativeFrom="paragraph">
              <wp:posOffset>-8483600</wp:posOffset>
            </wp:positionV>
            <wp:extent cx="3429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6269990</wp:posOffset>
            </wp:positionH>
            <wp:positionV relativeFrom="paragraph">
              <wp:posOffset>-8483600</wp:posOffset>
            </wp:positionV>
            <wp:extent cx="3429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-8483600</wp:posOffset>
            </wp:positionV>
            <wp:extent cx="3429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3439795</wp:posOffset>
            </wp:positionH>
            <wp:positionV relativeFrom="paragraph">
              <wp:posOffset>-6614160</wp:posOffset>
            </wp:positionV>
            <wp:extent cx="3429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-6614160</wp:posOffset>
            </wp:positionV>
            <wp:extent cx="3429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5326380</wp:posOffset>
            </wp:positionH>
            <wp:positionV relativeFrom="paragraph">
              <wp:posOffset>-6614160</wp:posOffset>
            </wp:positionV>
            <wp:extent cx="3429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6269990</wp:posOffset>
            </wp:positionH>
            <wp:positionV relativeFrom="paragraph">
              <wp:posOffset>-6614160</wp:posOffset>
            </wp:positionV>
            <wp:extent cx="3429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-6614160</wp:posOffset>
            </wp:positionV>
            <wp:extent cx="3429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3439795</wp:posOffset>
            </wp:positionH>
            <wp:positionV relativeFrom="paragraph">
              <wp:posOffset>-5687695</wp:posOffset>
            </wp:positionV>
            <wp:extent cx="3429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-5687695</wp:posOffset>
            </wp:positionV>
            <wp:extent cx="3429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5326380</wp:posOffset>
            </wp:positionH>
            <wp:positionV relativeFrom="paragraph">
              <wp:posOffset>-5687695</wp:posOffset>
            </wp:positionV>
            <wp:extent cx="3429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6269990</wp:posOffset>
            </wp:positionH>
            <wp:positionV relativeFrom="paragraph">
              <wp:posOffset>-5687695</wp:posOffset>
            </wp:positionV>
            <wp:extent cx="3429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-5687695</wp:posOffset>
            </wp:positionV>
            <wp:extent cx="3429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w:t>
      </w:r>
    </w:p>
    <w:p>
      <w:pPr>
        <w:sectPr>
          <w:pgSz w:w="11900" w:h="16838" w:orient="portrait"/>
          <w:cols w:equalWidth="0" w:num="1">
            <w:col w:w="11400"/>
          </w:cols>
          <w:pgMar w:left="240" w:top="125" w:right="259" w:bottom="0" w:gutter="0" w:footer="0" w:header="0"/>
          <w:type w:val="continuous"/>
        </w:sectPr>
      </w:pPr>
    </w:p>
    <w:bookmarkStart w:id="6" w:name="page7"/>
    <w:bookmarkEnd w:id="6"/>
    <w:p>
      <w:pPr>
        <w:ind w:left="580" w:hanging="572"/>
        <w:spacing w:after="0"/>
        <w:tabs>
          <w:tab w:leader="none" w:pos="580" w:val="left"/>
        </w:tabs>
        <w:numPr>
          <w:ilvl w:val="0"/>
          <w:numId w:val="1"/>
        </w:numPr>
        <w:rPr>
          <w:rFonts w:ascii="Arial" w:cs="Arial" w:eastAsia="Arial" w:hAnsi="Arial"/>
          <w:sz w:val="14"/>
          <w:szCs w:val="14"/>
          <w:color w:val="auto"/>
        </w:rPr>
      </w:pPr>
      <w:r>
        <w:rPr>
          <w:rFonts w:ascii="Arial" w:cs="Arial" w:eastAsia="Arial" w:hAnsi="Arial"/>
          <w:sz w:val="14"/>
          <w:szCs w:val="14"/>
          <w:color w:val="auto"/>
        </w:rPr>
        <w:t>Provision for loan losses and reserve for loan losses include provisions and reserves with respect to total loans and other credits.</w:t>
      </w:r>
    </w:p>
    <w:p>
      <w:pPr>
        <w:ind w:left="580" w:hanging="572"/>
        <w:spacing w:after="0" w:line="230" w:lineRule="auto"/>
        <w:tabs>
          <w:tab w:leader="none" w:pos="580" w:val="left"/>
        </w:tabs>
        <w:numPr>
          <w:ilvl w:val="0"/>
          <w:numId w:val="1"/>
        </w:numPr>
        <w:rPr>
          <w:rFonts w:ascii="Arial" w:cs="Arial" w:eastAsia="Arial" w:hAnsi="Arial"/>
          <w:sz w:val="14"/>
          <w:szCs w:val="14"/>
          <w:color w:val="auto"/>
        </w:rPr>
      </w:pPr>
      <w:r>
        <w:rPr>
          <w:rFonts w:ascii="Arial" w:cs="Arial" w:eastAsia="Arial" w:hAnsi="Arial"/>
          <w:sz w:val="14"/>
          <w:szCs w:val="14"/>
          <w:color w:val="auto"/>
        </w:rPr>
        <w:t>Credicorp has 100 million authorized common shares (“Common Shares”). As of December 31, 2003, Credicorp had issued 94.4 million Common Shares, of which 14.6 million are held by BCP, ASHC and PPS. Per Common Share data presented assumes net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8" w:right="239" w:bottom="1440" w:gutter="0" w:footer="0" w:header="0"/>
        </w:sectPr>
      </w:pPr>
    </w:p>
    <w:bookmarkStart w:id="7" w:name="page8"/>
    <w:bookmarkEnd w:id="7"/>
    <w:p>
      <w:pPr>
        <w:ind w:left="580"/>
        <w:spacing w:after="0" w:line="230" w:lineRule="auto"/>
        <w:rPr>
          <w:sz w:val="20"/>
          <w:szCs w:val="20"/>
          <w:color w:val="auto"/>
        </w:rPr>
      </w:pPr>
      <w:r>
        <w:rPr>
          <w:rFonts w:ascii="Arial" w:cs="Arial" w:eastAsia="Arial" w:hAnsi="Arial"/>
          <w:sz w:val="14"/>
          <w:szCs w:val="14"/>
          <w:color w:val="auto"/>
        </w:rPr>
        <w:t>outstanding shares (Common Shares net of shares held by BCP, ASHC and PPS) of 81.0 million in 1999, 80.1 million in 2000, 79.5 million in 2001, and 79.7 million in 2002 and 2003. See Note 20 to the Credicorp Consolidated Financial Statements.</w:t>
      </w:r>
    </w:p>
    <w:p>
      <w:pPr>
        <w:spacing w:after="0" w:line="1" w:lineRule="exact"/>
        <w:rPr>
          <w:sz w:val="20"/>
          <w:szCs w:val="20"/>
          <w:color w:val="auto"/>
        </w:rPr>
      </w:pPr>
    </w:p>
    <w:p>
      <w:pPr>
        <w:ind w:left="580" w:right="20" w:hanging="572"/>
        <w:spacing w:after="0" w:line="221" w:lineRule="auto"/>
        <w:tabs>
          <w:tab w:leader="none" w:pos="580" w:val="left"/>
        </w:tabs>
        <w:numPr>
          <w:ilvl w:val="0"/>
          <w:numId w:val="2"/>
        </w:numPr>
        <w:rPr>
          <w:rFonts w:ascii="Arial" w:cs="Arial" w:eastAsia="Arial" w:hAnsi="Arial"/>
          <w:sz w:val="14"/>
          <w:szCs w:val="14"/>
          <w:color w:val="auto"/>
        </w:rPr>
      </w:pPr>
      <w:r>
        <w:rPr>
          <w:rFonts w:ascii="Arial" w:cs="Arial" w:eastAsia="Arial" w:hAnsi="Arial"/>
          <w:sz w:val="14"/>
          <w:szCs w:val="14"/>
          <w:color w:val="auto"/>
        </w:rPr>
        <w:t>Pro forma diluted per Common Share data presented assumes 96.7 million Common Shares outstanding on all periods (see the preceding footnote (2)), which includes 2.4 million Common Shares corresponding to the stock option plan. See Note 16 to the Credicorp Consolidated Financial Statements.</w:t>
      </w:r>
    </w:p>
    <w:p>
      <w:pPr>
        <w:ind w:left="580" w:hanging="572"/>
        <w:spacing w:after="0" w:line="258" w:lineRule="auto"/>
        <w:tabs>
          <w:tab w:leader="none" w:pos="580" w:val="left"/>
        </w:tabs>
        <w:numPr>
          <w:ilvl w:val="0"/>
          <w:numId w:val="2"/>
        </w:numPr>
        <w:rPr>
          <w:rFonts w:ascii="Arial" w:cs="Arial" w:eastAsia="Arial" w:hAnsi="Arial"/>
          <w:sz w:val="12"/>
          <w:szCs w:val="12"/>
          <w:color w:val="auto"/>
        </w:rPr>
      </w:pPr>
      <w:r>
        <w:rPr>
          <w:rFonts w:ascii="Arial" w:cs="Arial" w:eastAsia="Arial" w:hAnsi="Arial"/>
          <w:sz w:val="12"/>
          <w:szCs w:val="12"/>
          <w:color w:val="auto"/>
        </w:rPr>
        <w:t>Net of unearned interest, but prior to reserve for loan losses. In addition to loans outstanding, Credicorp had contingent loans of US$873.7 million, US$761.6 million, US$940.9 million, US$1,425.6 million and US$1,586.9 million, as of December 31, 1999, 2000, 2001, 2002 and 2003, respectively. See Note 17 to the Credicorp Consolidated Financial Statements.</w:t>
      </w:r>
    </w:p>
    <w:p>
      <w:pPr>
        <w:ind w:left="580" w:hanging="572"/>
        <w:spacing w:after="0" w:line="221" w:lineRule="auto"/>
        <w:tabs>
          <w:tab w:leader="none" w:pos="580" w:val="left"/>
        </w:tabs>
        <w:numPr>
          <w:ilvl w:val="0"/>
          <w:numId w:val="2"/>
        </w:numPr>
        <w:rPr>
          <w:rFonts w:ascii="Arial" w:cs="Arial" w:eastAsia="Arial" w:hAnsi="Arial"/>
          <w:sz w:val="14"/>
          <w:szCs w:val="14"/>
          <w:color w:val="auto"/>
        </w:rPr>
      </w:pPr>
      <w:r>
        <w:rPr>
          <w:rFonts w:ascii="Arial" w:cs="Arial" w:eastAsia="Arial" w:hAnsi="Arial"/>
          <w:sz w:val="14"/>
          <w:szCs w:val="14"/>
          <w:color w:val="auto"/>
        </w:rPr>
        <w:t>Net interest income as a percentage of average interest-earning assets, computed as the average of period-beginning and period-ending balances on a quarterly basis.</w:t>
      </w:r>
    </w:p>
    <w:p>
      <w:pPr>
        <w:ind w:left="580" w:hanging="572"/>
        <w:spacing w:after="0" w:line="221" w:lineRule="auto"/>
        <w:tabs>
          <w:tab w:leader="none" w:pos="580" w:val="left"/>
        </w:tabs>
        <w:numPr>
          <w:ilvl w:val="0"/>
          <w:numId w:val="2"/>
        </w:numPr>
        <w:rPr>
          <w:rFonts w:ascii="Arial" w:cs="Arial" w:eastAsia="Arial" w:hAnsi="Arial"/>
          <w:sz w:val="14"/>
          <w:szCs w:val="14"/>
          <w:color w:val="auto"/>
        </w:rPr>
      </w:pPr>
      <w:r>
        <w:rPr>
          <w:rFonts w:ascii="Arial" w:cs="Arial" w:eastAsia="Arial" w:hAnsi="Arial"/>
          <w:sz w:val="14"/>
          <w:szCs w:val="14"/>
          <w:color w:val="auto"/>
        </w:rPr>
        <w:t>Net income as a percentage of average total assets, computed as the average of period-beginning and period-ending balances.</w:t>
      </w:r>
    </w:p>
    <w:p>
      <w:pPr>
        <w:ind w:left="580" w:hanging="572"/>
        <w:spacing w:after="0" w:line="221" w:lineRule="auto"/>
        <w:tabs>
          <w:tab w:leader="none" w:pos="580" w:val="left"/>
        </w:tabs>
        <w:numPr>
          <w:ilvl w:val="0"/>
          <w:numId w:val="2"/>
        </w:numPr>
        <w:rPr>
          <w:rFonts w:ascii="Arial" w:cs="Arial" w:eastAsia="Arial" w:hAnsi="Arial"/>
          <w:sz w:val="14"/>
          <w:szCs w:val="14"/>
          <w:color w:val="auto"/>
        </w:rPr>
      </w:pPr>
      <w:r>
        <w:rPr>
          <w:rFonts w:ascii="Arial" w:cs="Arial" w:eastAsia="Arial" w:hAnsi="Arial"/>
          <w:sz w:val="14"/>
          <w:szCs w:val="14"/>
          <w:color w:val="auto"/>
        </w:rPr>
        <w:t>Net income as a percentage of average shareholders’ equity, computed as the average of period-beginning and period-ending balances.</w:t>
      </w:r>
    </w:p>
    <w:p>
      <w:pPr>
        <w:ind w:left="580" w:hanging="572"/>
        <w:spacing w:after="0" w:line="221" w:lineRule="auto"/>
        <w:tabs>
          <w:tab w:leader="none" w:pos="580" w:val="left"/>
        </w:tabs>
        <w:numPr>
          <w:ilvl w:val="0"/>
          <w:numId w:val="2"/>
        </w:numPr>
        <w:rPr>
          <w:rFonts w:ascii="Arial" w:cs="Arial" w:eastAsia="Arial" w:hAnsi="Arial"/>
          <w:sz w:val="14"/>
          <w:szCs w:val="14"/>
          <w:color w:val="auto"/>
        </w:rPr>
      </w:pPr>
      <w:r>
        <w:rPr>
          <w:rFonts w:ascii="Arial" w:cs="Arial" w:eastAsia="Arial" w:hAnsi="Arial"/>
          <w:sz w:val="14"/>
          <w:szCs w:val="14"/>
          <w:color w:val="auto"/>
        </w:rPr>
        <w:t>Operating expenses as a percentage of the sum of net interest income and noninterest income.</w:t>
      </w:r>
    </w:p>
    <w:p>
      <w:pPr>
        <w:jc w:val="both"/>
        <w:ind w:left="580" w:hanging="572"/>
        <w:spacing w:after="0" w:line="221" w:lineRule="auto"/>
        <w:tabs>
          <w:tab w:leader="none" w:pos="580" w:val="left"/>
        </w:tabs>
        <w:numPr>
          <w:ilvl w:val="0"/>
          <w:numId w:val="2"/>
        </w:numPr>
        <w:rPr>
          <w:rFonts w:ascii="Arial" w:cs="Arial" w:eastAsia="Arial" w:hAnsi="Arial"/>
          <w:sz w:val="14"/>
          <w:szCs w:val="14"/>
          <w:color w:val="auto"/>
        </w:rPr>
      </w:pPr>
      <w:r>
        <w:rPr>
          <w:rFonts w:ascii="Arial" w:cs="Arial" w:eastAsia="Arial" w:hAnsi="Arial"/>
          <w:sz w:val="14"/>
          <w:szCs w:val="14"/>
          <w:color w:val="auto"/>
        </w:rPr>
        <w:t>Regulatory capital calculated in accordance with SBS requirements. Atlantic Security Bank, a subsidiary of ASHC, determines risk-weighted assets in accordance with risk-based guidelines adopted by the Basel Committee on Banking Regulations and Supervisory Practices of International Settlements (the “Basel Accord”) as adopted in the Cayman Islands. See “Item 5. Operating and Financial Review and Prospects—(B) Liquidity and Capital Resources—Regulatory Capital and Capital Adequacy Ratios.”</w:t>
      </w:r>
    </w:p>
    <w:p>
      <w:pPr>
        <w:jc w:val="both"/>
        <w:ind w:left="580" w:hanging="572"/>
        <w:spacing w:after="0" w:line="258" w:lineRule="auto"/>
        <w:tabs>
          <w:tab w:leader="none" w:pos="580" w:val="left"/>
        </w:tabs>
        <w:numPr>
          <w:ilvl w:val="0"/>
          <w:numId w:val="2"/>
        </w:numPr>
        <w:rPr>
          <w:rFonts w:ascii="Arial" w:cs="Arial" w:eastAsia="Arial" w:hAnsi="Arial"/>
          <w:sz w:val="12"/>
          <w:szCs w:val="12"/>
          <w:color w:val="auto"/>
        </w:rPr>
      </w:pPr>
      <w:r>
        <w:rPr>
          <w:rFonts w:ascii="Arial" w:cs="Arial" w:eastAsia="Arial" w:hAnsi="Arial"/>
          <w:sz w:val="12"/>
          <w:szCs w:val="12"/>
          <w:color w:val="auto"/>
        </w:rPr>
        <w:t>BCP considers loans past due after 15 days, except for installment loans, which include mortgage loans but excludes consumer loans, which are considered past due after 90 days. ASHC considers past due all overdue loans except for consumer loans, which are considered past due when the scheduled principal and/or interest payments are overdue for more than 90 days. See “Item 4. Information on the Company—(B) Business Overview—(12) Selected Statistical Information—(iii) Loan Portfolio—Classification of the Loan Portfolio Based on the Borrower’s Payment Performance.”</w:t>
      </w:r>
    </w:p>
    <w:p>
      <w:pPr>
        <w:ind w:left="580" w:hanging="572"/>
        <w:spacing w:after="0"/>
        <w:tabs>
          <w:tab w:leader="none" w:pos="580" w:val="left"/>
        </w:tabs>
        <w:numPr>
          <w:ilvl w:val="0"/>
          <w:numId w:val="2"/>
        </w:numPr>
        <w:rPr>
          <w:rFonts w:ascii="Arial" w:cs="Arial" w:eastAsia="Arial" w:hAnsi="Arial"/>
          <w:sz w:val="12"/>
          <w:szCs w:val="12"/>
          <w:color w:val="auto"/>
        </w:rPr>
      </w:pPr>
      <w:r>
        <w:rPr>
          <w:rFonts w:ascii="Arial" w:cs="Arial" w:eastAsia="Arial" w:hAnsi="Arial"/>
          <w:sz w:val="12"/>
          <w:szCs w:val="12"/>
          <w:color w:val="auto"/>
        </w:rPr>
        <w:t>Other contingent credits primarily consist of guarantees, letters of credit and responsibilities under credit line agreements. See Note 17 to the Credicorp Consolidated Financial Statements.</w:t>
      </w:r>
    </w:p>
    <w:p>
      <w:pPr>
        <w:spacing w:after="0" w:line="10" w:lineRule="exact"/>
        <w:rPr>
          <w:rFonts w:ascii="Arial" w:cs="Arial" w:eastAsia="Arial" w:hAnsi="Arial"/>
          <w:sz w:val="12"/>
          <w:szCs w:val="12"/>
          <w:color w:val="auto"/>
        </w:rPr>
      </w:pPr>
    </w:p>
    <w:p>
      <w:pPr>
        <w:ind w:left="580" w:hanging="572"/>
        <w:spacing w:after="0" w:line="221" w:lineRule="auto"/>
        <w:tabs>
          <w:tab w:leader="none" w:pos="580" w:val="left"/>
        </w:tabs>
        <w:numPr>
          <w:ilvl w:val="0"/>
          <w:numId w:val="2"/>
        </w:numPr>
        <w:rPr>
          <w:rFonts w:ascii="Arial" w:cs="Arial" w:eastAsia="Arial" w:hAnsi="Arial"/>
          <w:sz w:val="14"/>
          <w:szCs w:val="14"/>
          <w:color w:val="auto"/>
        </w:rPr>
      </w:pPr>
      <w:r>
        <w:rPr>
          <w:rFonts w:ascii="Arial" w:cs="Arial" w:eastAsia="Arial" w:hAnsi="Arial"/>
          <w:sz w:val="14"/>
          <w:szCs w:val="14"/>
          <w:color w:val="auto"/>
        </w:rPr>
        <w:t>Reserves for loan losses as a percentage of all past due loans, with no reduction for collateral securing such loans. Reserves for loan losses includes reserves with respect to total loans and other credits, and do not include reserves for not specifically identified loans which are part of the reserve equity account.</w:t>
      </w:r>
    </w:p>
    <w:p>
      <w:pPr>
        <w:ind w:left="580" w:hanging="572"/>
        <w:spacing w:after="0" w:line="230" w:lineRule="auto"/>
        <w:tabs>
          <w:tab w:leader="none" w:pos="580" w:val="left"/>
        </w:tabs>
        <w:numPr>
          <w:ilvl w:val="0"/>
          <w:numId w:val="2"/>
        </w:numPr>
        <w:rPr>
          <w:rFonts w:ascii="Arial" w:cs="Arial" w:eastAsia="Arial" w:hAnsi="Arial"/>
          <w:sz w:val="14"/>
          <w:szCs w:val="14"/>
          <w:color w:val="auto"/>
        </w:rPr>
      </w:pPr>
      <w:r>
        <w:rPr>
          <w:rFonts w:ascii="Arial" w:cs="Arial" w:eastAsia="Arial" w:hAnsi="Arial"/>
          <w:sz w:val="14"/>
          <w:szCs w:val="14"/>
          <w:color w:val="auto"/>
        </w:rPr>
        <w:t>Reserves for loan losses as a percentage of loans classified in categories C, D or E. See “Item 4. Information on the Company—(B) Business Overview—(12) Selected Statistical Information—(iii) Loan Portfolio—Classification of Loan Portfolio.”</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Exchange Rates</w:t>
      </w:r>
    </w:p>
    <w:p>
      <w:pPr>
        <w:spacing w:after="0" w:line="231" w:lineRule="exact"/>
        <w:rPr>
          <w:sz w:val="20"/>
          <w:szCs w:val="20"/>
          <w:color w:val="auto"/>
        </w:rPr>
      </w:pPr>
    </w:p>
    <w:p>
      <w:pPr>
        <w:ind w:firstLine="261"/>
        <w:spacing w:after="0" w:line="268" w:lineRule="auto"/>
        <w:rPr>
          <w:sz w:val="20"/>
          <w:szCs w:val="20"/>
          <w:color w:val="auto"/>
        </w:rPr>
      </w:pPr>
      <w:r>
        <w:rPr>
          <w:rFonts w:ascii="Arial" w:cs="Arial" w:eastAsia="Arial" w:hAnsi="Arial"/>
          <w:sz w:val="18"/>
          <w:szCs w:val="18"/>
          <w:color w:val="auto"/>
        </w:rPr>
        <w:t>The following table sets forth the high and low month-end rates and the average and the end-of-period rates for the sale of Nuevos Soles for Dollars for the periods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940" w:type="dxa"/>
            <w:vAlign w:val="bottom"/>
          </w:tcPr>
          <w:p>
            <w:pPr>
              <w:spacing w:after="0"/>
              <w:rPr>
                <w:sz w:val="20"/>
                <w:szCs w:val="20"/>
                <w:color w:val="auto"/>
              </w:rPr>
            </w:pPr>
            <w:r>
              <w:rPr>
                <w:rFonts w:ascii="Arial" w:cs="Arial" w:eastAsia="Arial" w:hAnsi="Arial"/>
                <w:sz w:val="18"/>
                <w:szCs w:val="18"/>
                <w:b w:val="1"/>
                <w:bCs w:val="1"/>
                <w:color w:val="auto"/>
              </w:rPr>
              <w:t>Year ended December 31,</w:t>
            </w:r>
          </w:p>
        </w:tc>
        <w:tc>
          <w:tcPr>
            <w:tcW w:w="2500" w:type="dxa"/>
            <w:vAlign w:val="bottom"/>
          </w:tcPr>
          <w:p>
            <w:pPr>
              <w:jc w:val="right"/>
              <w:ind w:right="52"/>
              <w:spacing w:after="0"/>
              <w:rPr>
                <w:sz w:val="20"/>
                <w:szCs w:val="20"/>
                <w:color w:val="auto"/>
              </w:rPr>
            </w:pPr>
            <w:r>
              <w:rPr>
                <w:rFonts w:ascii="Arial" w:cs="Arial" w:eastAsia="Arial" w:hAnsi="Arial"/>
                <w:sz w:val="18"/>
                <w:szCs w:val="18"/>
                <w:b w:val="1"/>
                <w:bCs w:val="1"/>
                <w:color w:val="auto"/>
              </w:rPr>
              <w:t>High(1)</w:t>
            </w:r>
          </w:p>
        </w:tc>
        <w:tc>
          <w:tcPr>
            <w:tcW w:w="2020" w:type="dxa"/>
            <w:vAlign w:val="bottom"/>
          </w:tcPr>
          <w:p>
            <w:pPr>
              <w:jc w:val="right"/>
              <w:ind w:right="352"/>
              <w:spacing w:after="0"/>
              <w:rPr>
                <w:sz w:val="20"/>
                <w:szCs w:val="20"/>
                <w:color w:val="auto"/>
              </w:rPr>
            </w:pPr>
            <w:r>
              <w:rPr>
                <w:rFonts w:ascii="Arial" w:cs="Arial" w:eastAsia="Arial" w:hAnsi="Arial"/>
                <w:sz w:val="18"/>
                <w:szCs w:val="18"/>
                <w:b w:val="1"/>
                <w:bCs w:val="1"/>
                <w:color w:val="auto"/>
              </w:rPr>
              <w:t>Low(1)</w:t>
            </w:r>
          </w:p>
        </w:tc>
        <w:tc>
          <w:tcPr>
            <w:tcW w:w="1600" w:type="dxa"/>
            <w:vAlign w:val="bottom"/>
          </w:tcPr>
          <w:p>
            <w:pPr>
              <w:jc w:val="right"/>
              <w:ind w:right="252"/>
              <w:spacing w:after="0"/>
              <w:rPr>
                <w:sz w:val="20"/>
                <w:szCs w:val="20"/>
                <w:color w:val="auto"/>
              </w:rPr>
            </w:pPr>
            <w:r>
              <w:rPr>
                <w:rFonts w:ascii="Arial" w:cs="Arial" w:eastAsia="Arial" w:hAnsi="Arial"/>
                <w:sz w:val="18"/>
                <w:szCs w:val="18"/>
                <w:b w:val="1"/>
                <w:bCs w:val="1"/>
                <w:color w:val="auto"/>
              </w:rPr>
              <w:t>Average(2)</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Period-end(3)</w:t>
            </w:r>
          </w:p>
        </w:tc>
      </w:tr>
      <w:tr>
        <w:trPr>
          <w:trHeight w:val="110"/>
        </w:trPr>
        <w:tc>
          <w:tcPr>
            <w:tcW w:w="3940" w:type="dxa"/>
            <w:vAlign w:val="bottom"/>
            <w:tcBorders>
              <w:bottom w:val="single" w:sz="8" w:color="9A9A9A"/>
            </w:tcBorders>
          </w:tcPr>
          <w:p>
            <w:pPr>
              <w:spacing w:after="0"/>
              <w:rPr>
                <w:sz w:val="9"/>
                <w:szCs w:val="9"/>
                <w:color w:val="auto"/>
              </w:rPr>
            </w:pPr>
          </w:p>
        </w:tc>
        <w:tc>
          <w:tcPr>
            <w:tcW w:w="2500" w:type="dxa"/>
            <w:vAlign w:val="bottom"/>
            <w:tcBorders>
              <w:bottom w:val="single" w:sz="8" w:color="9A9A9A"/>
            </w:tcBorders>
          </w:tcPr>
          <w:p>
            <w:pPr>
              <w:spacing w:after="0"/>
              <w:rPr>
                <w:sz w:val="9"/>
                <w:szCs w:val="9"/>
                <w:color w:val="auto"/>
              </w:rPr>
            </w:pPr>
          </w:p>
        </w:tc>
        <w:tc>
          <w:tcPr>
            <w:tcW w:w="3620" w:type="dxa"/>
            <w:vAlign w:val="bottom"/>
            <w:tcBorders>
              <w:bottom w:val="single" w:sz="8" w:color="9A9A9A"/>
            </w:tcBorders>
            <w:gridSpan w:val="2"/>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r>
      <w:tr>
        <w:trPr>
          <w:trHeight w:val="309"/>
        </w:trPr>
        <w:tc>
          <w:tcPr>
            <w:tcW w:w="39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620" w:type="dxa"/>
            <w:vAlign w:val="bottom"/>
            <w:gridSpan w:val="2"/>
          </w:tcPr>
          <w:p>
            <w:pPr>
              <w:jc w:val="right"/>
              <w:ind w:right="552"/>
              <w:spacing w:after="0"/>
              <w:rPr>
                <w:sz w:val="20"/>
                <w:szCs w:val="20"/>
                <w:color w:val="auto"/>
              </w:rPr>
            </w:pPr>
            <w:r>
              <w:rPr>
                <w:rFonts w:ascii="Arial" w:cs="Arial" w:eastAsia="Arial" w:hAnsi="Arial"/>
                <w:sz w:val="18"/>
                <w:szCs w:val="18"/>
                <w:i w:val="1"/>
                <w:iCs w:val="1"/>
                <w:color w:val="auto"/>
                <w:w w:val="93"/>
              </w:rPr>
              <w:t>(Nominal Nuevos Soles per U.S. Dollar)</w:t>
            </w:r>
          </w:p>
        </w:tc>
        <w:tc>
          <w:tcPr>
            <w:tcW w:w="1360" w:type="dxa"/>
            <w:vAlign w:val="bottom"/>
          </w:tcPr>
          <w:p>
            <w:pPr>
              <w:spacing w:after="0"/>
              <w:rPr>
                <w:sz w:val="24"/>
                <w:szCs w:val="24"/>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1999</w:t>
            </w:r>
          </w:p>
        </w:tc>
        <w:tc>
          <w:tcPr>
            <w:tcW w:w="2500" w:type="dxa"/>
            <w:vAlign w:val="bottom"/>
          </w:tcPr>
          <w:p>
            <w:pPr>
              <w:jc w:val="right"/>
              <w:ind w:right="52"/>
              <w:spacing w:after="0"/>
              <w:rPr>
                <w:sz w:val="20"/>
                <w:szCs w:val="20"/>
                <w:color w:val="auto"/>
              </w:rPr>
            </w:pPr>
            <w:r>
              <w:rPr>
                <w:rFonts w:ascii="Arial" w:cs="Arial" w:eastAsia="Arial" w:hAnsi="Arial"/>
                <w:sz w:val="18"/>
                <w:szCs w:val="18"/>
                <w:color w:val="auto"/>
              </w:rPr>
              <w:t>3.510</w:t>
            </w:r>
          </w:p>
        </w:tc>
        <w:tc>
          <w:tcPr>
            <w:tcW w:w="2020" w:type="dxa"/>
            <w:vAlign w:val="bottom"/>
          </w:tcPr>
          <w:p>
            <w:pPr>
              <w:jc w:val="right"/>
              <w:ind w:right="352"/>
              <w:spacing w:after="0"/>
              <w:rPr>
                <w:sz w:val="20"/>
                <w:szCs w:val="20"/>
                <w:color w:val="auto"/>
              </w:rPr>
            </w:pPr>
            <w:r>
              <w:rPr>
                <w:rFonts w:ascii="Arial" w:cs="Arial" w:eastAsia="Arial" w:hAnsi="Arial"/>
                <w:sz w:val="18"/>
                <w:szCs w:val="18"/>
                <w:color w:val="auto"/>
              </w:rPr>
              <w:t>3.330</w:t>
            </w:r>
          </w:p>
        </w:tc>
        <w:tc>
          <w:tcPr>
            <w:tcW w:w="1600" w:type="dxa"/>
            <w:vAlign w:val="bottom"/>
          </w:tcPr>
          <w:p>
            <w:pPr>
              <w:jc w:val="right"/>
              <w:ind w:right="252"/>
              <w:spacing w:after="0"/>
              <w:rPr>
                <w:sz w:val="20"/>
                <w:szCs w:val="20"/>
                <w:color w:val="auto"/>
              </w:rPr>
            </w:pPr>
            <w:r>
              <w:rPr>
                <w:rFonts w:ascii="Arial" w:cs="Arial" w:eastAsia="Arial" w:hAnsi="Arial"/>
                <w:sz w:val="18"/>
                <w:szCs w:val="18"/>
                <w:color w:val="auto"/>
              </w:rPr>
              <w:t>3.403</w:t>
            </w:r>
          </w:p>
        </w:tc>
        <w:tc>
          <w:tcPr>
            <w:tcW w:w="1360" w:type="dxa"/>
            <w:vAlign w:val="bottom"/>
          </w:tcPr>
          <w:p>
            <w:pPr>
              <w:jc w:val="right"/>
              <w:spacing w:after="0"/>
              <w:rPr>
                <w:sz w:val="20"/>
                <w:szCs w:val="20"/>
                <w:color w:val="auto"/>
              </w:rPr>
            </w:pPr>
            <w:r>
              <w:rPr>
                <w:rFonts w:ascii="Arial" w:cs="Arial" w:eastAsia="Arial" w:hAnsi="Arial"/>
                <w:sz w:val="18"/>
                <w:szCs w:val="18"/>
                <w:color w:val="auto"/>
              </w:rPr>
              <w:t>3.510</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2000</w:t>
            </w:r>
          </w:p>
        </w:tc>
        <w:tc>
          <w:tcPr>
            <w:tcW w:w="2500" w:type="dxa"/>
            <w:vAlign w:val="bottom"/>
          </w:tcPr>
          <w:p>
            <w:pPr>
              <w:jc w:val="right"/>
              <w:ind w:right="52"/>
              <w:spacing w:after="0"/>
              <w:rPr>
                <w:sz w:val="20"/>
                <w:szCs w:val="20"/>
                <w:color w:val="auto"/>
              </w:rPr>
            </w:pPr>
            <w:r>
              <w:rPr>
                <w:rFonts w:ascii="Arial" w:cs="Arial" w:eastAsia="Arial" w:hAnsi="Arial"/>
                <w:sz w:val="18"/>
                <w:szCs w:val="18"/>
                <w:color w:val="auto"/>
              </w:rPr>
              <w:t>3.531</w:t>
            </w:r>
          </w:p>
        </w:tc>
        <w:tc>
          <w:tcPr>
            <w:tcW w:w="2020" w:type="dxa"/>
            <w:vAlign w:val="bottom"/>
          </w:tcPr>
          <w:p>
            <w:pPr>
              <w:jc w:val="right"/>
              <w:ind w:right="352"/>
              <w:spacing w:after="0"/>
              <w:rPr>
                <w:sz w:val="20"/>
                <w:szCs w:val="20"/>
                <w:color w:val="auto"/>
              </w:rPr>
            </w:pPr>
            <w:r>
              <w:rPr>
                <w:rFonts w:ascii="Arial" w:cs="Arial" w:eastAsia="Arial" w:hAnsi="Arial"/>
                <w:sz w:val="18"/>
                <w:szCs w:val="18"/>
                <w:color w:val="auto"/>
              </w:rPr>
              <w:t>3.453</w:t>
            </w:r>
          </w:p>
        </w:tc>
        <w:tc>
          <w:tcPr>
            <w:tcW w:w="1600" w:type="dxa"/>
            <w:vAlign w:val="bottom"/>
          </w:tcPr>
          <w:p>
            <w:pPr>
              <w:jc w:val="right"/>
              <w:ind w:right="252"/>
              <w:spacing w:after="0"/>
              <w:rPr>
                <w:sz w:val="20"/>
                <w:szCs w:val="20"/>
                <w:color w:val="auto"/>
              </w:rPr>
            </w:pPr>
            <w:r>
              <w:rPr>
                <w:rFonts w:ascii="Arial" w:cs="Arial" w:eastAsia="Arial" w:hAnsi="Arial"/>
                <w:sz w:val="18"/>
                <w:szCs w:val="18"/>
                <w:color w:val="auto"/>
              </w:rPr>
              <w:t>3.495</w:t>
            </w:r>
          </w:p>
        </w:tc>
        <w:tc>
          <w:tcPr>
            <w:tcW w:w="1360" w:type="dxa"/>
            <w:vAlign w:val="bottom"/>
          </w:tcPr>
          <w:p>
            <w:pPr>
              <w:jc w:val="right"/>
              <w:spacing w:after="0"/>
              <w:rPr>
                <w:sz w:val="20"/>
                <w:szCs w:val="20"/>
                <w:color w:val="auto"/>
              </w:rPr>
            </w:pPr>
            <w:r>
              <w:rPr>
                <w:rFonts w:ascii="Arial" w:cs="Arial" w:eastAsia="Arial" w:hAnsi="Arial"/>
                <w:sz w:val="18"/>
                <w:szCs w:val="18"/>
                <w:color w:val="auto"/>
              </w:rPr>
              <w:t>3.527</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2001</w:t>
            </w:r>
          </w:p>
        </w:tc>
        <w:tc>
          <w:tcPr>
            <w:tcW w:w="2500" w:type="dxa"/>
            <w:vAlign w:val="bottom"/>
          </w:tcPr>
          <w:p>
            <w:pPr>
              <w:jc w:val="right"/>
              <w:ind w:right="52"/>
              <w:spacing w:after="0"/>
              <w:rPr>
                <w:sz w:val="20"/>
                <w:szCs w:val="20"/>
                <w:color w:val="auto"/>
              </w:rPr>
            </w:pPr>
            <w:r>
              <w:rPr>
                <w:rFonts w:ascii="Arial" w:cs="Arial" w:eastAsia="Arial" w:hAnsi="Arial"/>
                <w:sz w:val="18"/>
                <w:szCs w:val="18"/>
                <w:color w:val="auto"/>
              </w:rPr>
              <w:t>3.623</w:t>
            </w:r>
          </w:p>
        </w:tc>
        <w:tc>
          <w:tcPr>
            <w:tcW w:w="2020" w:type="dxa"/>
            <w:vAlign w:val="bottom"/>
          </w:tcPr>
          <w:p>
            <w:pPr>
              <w:jc w:val="right"/>
              <w:ind w:right="352"/>
              <w:spacing w:after="0"/>
              <w:rPr>
                <w:sz w:val="20"/>
                <w:szCs w:val="20"/>
                <w:color w:val="auto"/>
              </w:rPr>
            </w:pPr>
            <w:r>
              <w:rPr>
                <w:rFonts w:ascii="Arial" w:cs="Arial" w:eastAsia="Arial" w:hAnsi="Arial"/>
                <w:sz w:val="18"/>
                <w:szCs w:val="18"/>
                <w:color w:val="auto"/>
              </w:rPr>
              <w:t>3.435</w:t>
            </w:r>
          </w:p>
        </w:tc>
        <w:tc>
          <w:tcPr>
            <w:tcW w:w="1600" w:type="dxa"/>
            <w:vAlign w:val="bottom"/>
          </w:tcPr>
          <w:p>
            <w:pPr>
              <w:jc w:val="right"/>
              <w:ind w:right="252"/>
              <w:spacing w:after="0"/>
              <w:rPr>
                <w:sz w:val="20"/>
                <w:szCs w:val="20"/>
                <w:color w:val="auto"/>
              </w:rPr>
            </w:pPr>
            <w:r>
              <w:rPr>
                <w:rFonts w:ascii="Arial" w:cs="Arial" w:eastAsia="Arial" w:hAnsi="Arial"/>
                <w:sz w:val="18"/>
                <w:szCs w:val="18"/>
                <w:color w:val="auto"/>
              </w:rPr>
              <w:t>3.508</w:t>
            </w:r>
          </w:p>
        </w:tc>
        <w:tc>
          <w:tcPr>
            <w:tcW w:w="1360" w:type="dxa"/>
            <w:vAlign w:val="bottom"/>
          </w:tcPr>
          <w:p>
            <w:pPr>
              <w:jc w:val="right"/>
              <w:spacing w:after="0"/>
              <w:rPr>
                <w:sz w:val="20"/>
                <w:szCs w:val="20"/>
                <w:color w:val="auto"/>
              </w:rPr>
            </w:pPr>
            <w:r>
              <w:rPr>
                <w:rFonts w:ascii="Arial" w:cs="Arial" w:eastAsia="Arial" w:hAnsi="Arial"/>
                <w:sz w:val="18"/>
                <w:szCs w:val="18"/>
                <w:color w:val="auto"/>
              </w:rPr>
              <w:t>3.446</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2002</w:t>
            </w:r>
          </w:p>
        </w:tc>
        <w:tc>
          <w:tcPr>
            <w:tcW w:w="2500" w:type="dxa"/>
            <w:vAlign w:val="bottom"/>
          </w:tcPr>
          <w:p>
            <w:pPr>
              <w:jc w:val="right"/>
              <w:ind w:right="52"/>
              <w:spacing w:after="0"/>
              <w:rPr>
                <w:sz w:val="20"/>
                <w:szCs w:val="20"/>
                <w:color w:val="auto"/>
              </w:rPr>
            </w:pPr>
            <w:r>
              <w:rPr>
                <w:rFonts w:ascii="Arial" w:cs="Arial" w:eastAsia="Arial" w:hAnsi="Arial"/>
                <w:sz w:val="18"/>
                <w:szCs w:val="18"/>
                <w:color w:val="auto"/>
              </w:rPr>
              <w:t>3.644</w:t>
            </w:r>
          </w:p>
        </w:tc>
        <w:tc>
          <w:tcPr>
            <w:tcW w:w="2020" w:type="dxa"/>
            <w:vAlign w:val="bottom"/>
          </w:tcPr>
          <w:p>
            <w:pPr>
              <w:jc w:val="right"/>
              <w:ind w:right="352"/>
              <w:spacing w:after="0"/>
              <w:rPr>
                <w:sz w:val="20"/>
                <w:szCs w:val="20"/>
                <w:color w:val="auto"/>
              </w:rPr>
            </w:pPr>
            <w:r>
              <w:rPr>
                <w:rFonts w:ascii="Arial" w:cs="Arial" w:eastAsia="Arial" w:hAnsi="Arial"/>
                <w:sz w:val="18"/>
                <w:szCs w:val="18"/>
                <w:color w:val="auto"/>
              </w:rPr>
              <w:t>3.435</w:t>
            </w:r>
          </w:p>
        </w:tc>
        <w:tc>
          <w:tcPr>
            <w:tcW w:w="1600" w:type="dxa"/>
            <w:vAlign w:val="bottom"/>
          </w:tcPr>
          <w:p>
            <w:pPr>
              <w:jc w:val="right"/>
              <w:ind w:right="252"/>
              <w:spacing w:after="0"/>
              <w:rPr>
                <w:sz w:val="20"/>
                <w:szCs w:val="20"/>
                <w:color w:val="auto"/>
              </w:rPr>
            </w:pPr>
            <w:r>
              <w:rPr>
                <w:rFonts w:ascii="Arial" w:cs="Arial" w:eastAsia="Arial" w:hAnsi="Arial"/>
                <w:sz w:val="18"/>
                <w:szCs w:val="18"/>
                <w:color w:val="auto"/>
              </w:rPr>
              <w:t>3.460</w:t>
            </w:r>
          </w:p>
        </w:tc>
        <w:tc>
          <w:tcPr>
            <w:tcW w:w="1360" w:type="dxa"/>
            <w:vAlign w:val="bottom"/>
          </w:tcPr>
          <w:p>
            <w:pPr>
              <w:jc w:val="right"/>
              <w:spacing w:after="0"/>
              <w:rPr>
                <w:sz w:val="20"/>
                <w:szCs w:val="20"/>
                <w:color w:val="auto"/>
              </w:rPr>
            </w:pPr>
            <w:r>
              <w:rPr>
                <w:rFonts w:ascii="Arial" w:cs="Arial" w:eastAsia="Arial" w:hAnsi="Arial"/>
                <w:sz w:val="18"/>
                <w:szCs w:val="18"/>
                <w:color w:val="auto"/>
              </w:rPr>
              <w:t>3.520</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2003</w:t>
            </w:r>
          </w:p>
        </w:tc>
        <w:tc>
          <w:tcPr>
            <w:tcW w:w="2500" w:type="dxa"/>
            <w:vAlign w:val="bottom"/>
          </w:tcPr>
          <w:p>
            <w:pPr>
              <w:jc w:val="right"/>
              <w:ind w:right="52"/>
              <w:spacing w:after="0"/>
              <w:rPr>
                <w:sz w:val="20"/>
                <w:szCs w:val="20"/>
                <w:color w:val="auto"/>
              </w:rPr>
            </w:pPr>
            <w:r>
              <w:rPr>
                <w:rFonts w:ascii="Arial" w:cs="Arial" w:eastAsia="Arial" w:hAnsi="Arial"/>
                <w:sz w:val="18"/>
                <w:szCs w:val="18"/>
                <w:color w:val="auto"/>
              </w:rPr>
              <w:t>3.496</w:t>
            </w:r>
          </w:p>
        </w:tc>
        <w:tc>
          <w:tcPr>
            <w:tcW w:w="2020" w:type="dxa"/>
            <w:vAlign w:val="bottom"/>
          </w:tcPr>
          <w:p>
            <w:pPr>
              <w:jc w:val="right"/>
              <w:ind w:right="352"/>
              <w:spacing w:after="0"/>
              <w:rPr>
                <w:sz w:val="20"/>
                <w:szCs w:val="20"/>
                <w:color w:val="auto"/>
              </w:rPr>
            </w:pPr>
            <w:r>
              <w:rPr>
                <w:rFonts w:ascii="Arial" w:cs="Arial" w:eastAsia="Arial" w:hAnsi="Arial"/>
                <w:sz w:val="18"/>
                <w:szCs w:val="18"/>
                <w:color w:val="auto"/>
              </w:rPr>
              <w:t>3.463</w:t>
            </w:r>
          </w:p>
        </w:tc>
        <w:tc>
          <w:tcPr>
            <w:tcW w:w="1600" w:type="dxa"/>
            <w:vAlign w:val="bottom"/>
          </w:tcPr>
          <w:p>
            <w:pPr>
              <w:jc w:val="right"/>
              <w:ind w:right="252"/>
              <w:spacing w:after="0"/>
              <w:rPr>
                <w:sz w:val="20"/>
                <w:szCs w:val="20"/>
                <w:color w:val="auto"/>
              </w:rPr>
            </w:pPr>
            <w:r>
              <w:rPr>
                <w:rFonts w:ascii="Arial" w:cs="Arial" w:eastAsia="Arial" w:hAnsi="Arial"/>
                <w:sz w:val="18"/>
                <w:szCs w:val="18"/>
                <w:color w:val="auto"/>
              </w:rPr>
              <w:t>3.477</w:t>
            </w:r>
          </w:p>
        </w:tc>
        <w:tc>
          <w:tcPr>
            <w:tcW w:w="1360" w:type="dxa"/>
            <w:vAlign w:val="bottom"/>
          </w:tcPr>
          <w:p>
            <w:pPr>
              <w:jc w:val="right"/>
              <w:spacing w:after="0"/>
              <w:rPr>
                <w:sz w:val="20"/>
                <w:szCs w:val="20"/>
                <w:color w:val="auto"/>
              </w:rPr>
            </w:pPr>
            <w:r>
              <w:rPr>
                <w:rFonts w:ascii="Arial" w:cs="Arial" w:eastAsia="Arial" w:hAnsi="Arial"/>
                <w:sz w:val="18"/>
                <w:szCs w:val="18"/>
                <w:color w:val="auto"/>
              </w:rPr>
              <w:t>3.464</w:t>
            </w:r>
          </w:p>
        </w:tc>
      </w:tr>
      <w:tr>
        <w:trPr>
          <w:trHeight w:val="203"/>
        </w:trPr>
        <w:tc>
          <w:tcPr>
            <w:tcW w:w="3940" w:type="dxa"/>
            <w:vAlign w:val="bottom"/>
          </w:tcPr>
          <w:p>
            <w:pPr>
              <w:spacing w:after="0" w:line="203" w:lineRule="exact"/>
              <w:rPr>
                <w:sz w:val="20"/>
                <w:szCs w:val="20"/>
                <w:color w:val="auto"/>
              </w:rPr>
            </w:pPr>
            <w:r>
              <w:rPr>
                <w:rFonts w:ascii="Arial" w:cs="Arial" w:eastAsia="Arial" w:hAnsi="Arial"/>
                <w:sz w:val="18"/>
                <w:szCs w:val="18"/>
                <w:color w:val="auto"/>
              </w:rPr>
              <w:t>2004 (through June 10)</w:t>
            </w:r>
          </w:p>
        </w:tc>
        <w:tc>
          <w:tcPr>
            <w:tcW w:w="2500" w:type="dxa"/>
            <w:vAlign w:val="bottom"/>
          </w:tcPr>
          <w:p>
            <w:pPr>
              <w:jc w:val="right"/>
              <w:ind w:right="52"/>
              <w:spacing w:after="0" w:line="203" w:lineRule="exact"/>
              <w:rPr>
                <w:sz w:val="20"/>
                <w:szCs w:val="20"/>
                <w:color w:val="auto"/>
              </w:rPr>
            </w:pPr>
            <w:r>
              <w:rPr>
                <w:rFonts w:ascii="Arial" w:cs="Arial" w:eastAsia="Arial" w:hAnsi="Arial"/>
                <w:sz w:val="18"/>
                <w:szCs w:val="18"/>
                <w:color w:val="auto"/>
              </w:rPr>
              <w:t>3.500</w:t>
            </w:r>
          </w:p>
        </w:tc>
        <w:tc>
          <w:tcPr>
            <w:tcW w:w="2020" w:type="dxa"/>
            <w:vAlign w:val="bottom"/>
          </w:tcPr>
          <w:p>
            <w:pPr>
              <w:jc w:val="right"/>
              <w:ind w:right="352"/>
              <w:spacing w:after="0" w:line="203" w:lineRule="exact"/>
              <w:rPr>
                <w:sz w:val="20"/>
                <w:szCs w:val="20"/>
                <w:color w:val="auto"/>
              </w:rPr>
            </w:pPr>
            <w:r>
              <w:rPr>
                <w:rFonts w:ascii="Arial" w:cs="Arial" w:eastAsia="Arial" w:hAnsi="Arial"/>
                <w:sz w:val="18"/>
                <w:szCs w:val="18"/>
                <w:color w:val="auto"/>
              </w:rPr>
              <w:t>3.461</w:t>
            </w:r>
          </w:p>
        </w:tc>
        <w:tc>
          <w:tcPr>
            <w:tcW w:w="1600" w:type="dxa"/>
            <w:vAlign w:val="bottom"/>
          </w:tcPr>
          <w:p>
            <w:pPr>
              <w:jc w:val="right"/>
              <w:ind w:right="252"/>
              <w:spacing w:after="0" w:line="203" w:lineRule="exact"/>
              <w:rPr>
                <w:sz w:val="20"/>
                <w:szCs w:val="20"/>
                <w:color w:val="auto"/>
              </w:rPr>
            </w:pPr>
            <w:r>
              <w:rPr>
                <w:rFonts w:ascii="Arial" w:cs="Arial" w:eastAsia="Arial" w:hAnsi="Arial"/>
                <w:sz w:val="18"/>
                <w:szCs w:val="18"/>
                <w:color w:val="auto"/>
              </w:rPr>
              <w:t>3.481</w:t>
            </w: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3.479</w:t>
            </w:r>
          </w:p>
        </w:tc>
      </w:tr>
      <w:tr>
        <w:trPr>
          <w:trHeight w:val="266"/>
        </w:trPr>
        <w:tc>
          <w:tcPr>
            <w:tcW w:w="3940" w:type="dxa"/>
            <w:vAlign w:val="bottom"/>
          </w:tcPr>
          <w:p>
            <w:pPr>
              <w:spacing w:after="0"/>
              <w:rPr>
                <w:sz w:val="20"/>
                <w:szCs w:val="20"/>
                <w:color w:val="auto"/>
              </w:rPr>
            </w:pPr>
            <w:r>
              <w:rPr>
                <w:rFonts w:ascii="Arial" w:cs="Arial" w:eastAsia="Arial" w:hAnsi="Arial"/>
                <w:sz w:val="22"/>
                <w:szCs w:val="22"/>
                <w:color w:val="auto"/>
              </w:rPr>
              <w:t>____________________</w:t>
            </w:r>
          </w:p>
        </w:tc>
        <w:tc>
          <w:tcPr>
            <w:tcW w:w="250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3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2891155</wp:posOffset>
            </wp:positionH>
            <wp:positionV relativeFrom="paragraph">
              <wp:posOffset>-1204595</wp:posOffset>
            </wp:positionV>
            <wp:extent cx="3429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3980180</wp:posOffset>
            </wp:positionH>
            <wp:positionV relativeFrom="paragraph">
              <wp:posOffset>-1204595</wp:posOffset>
            </wp:positionV>
            <wp:extent cx="3429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5069205</wp:posOffset>
            </wp:positionH>
            <wp:positionV relativeFrom="paragraph">
              <wp:posOffset>-1204595</wp:posOffset>
            </wp:positionV>
            <wp:extent cx="3429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6149975</wp:posOffset>
            </wp:positionH>
            <wp:positionV relativeFrom="paragraph">
              <wp:posOffset>-1204595</wp:posOffset>
            </wp:positionV>
            <wp:extent cx="3429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-1204595</wp:posOffset>
            </wp:positionV>
            <wp:extent cx="3429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21" w:lineRule="auto"/>
        <w:rPr>
          <w:sz w:val="20"/>
          <w:szCs w:val="20"/>
          <w:color w:val="auto"/>
        </w:rPr>
      </w:pPr>
      <w:r>
        <w:rPr>
          <w:rFonts w:ascii="Arial" w:cs="Arial" w:eastAsia="Arial" w:hAnsi="Arial"/>
          <w:sz w:val="14"/>
          <w:szCs w:val="14"/>
          <w:color w:val="auto"/>
        </w:rPr>
        <w:t>Source: SBS</w:t>
      </w:r>
    </w:p>
    <w:p>
      <w:pPr>
        <w:ind w:left="580" w:hanging="572"/>
        <w:spacing w:after="0" w:line="221" w:lineRule="auto"/>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Highest and lowest of the 12 month-end exchange rates for each year based on the offered rate.</w:t>
      </w:r>
    </w:p>
    <w:p>
      <w:pPr>
        <w:ind w:left="580" w:hanging="572"/>
        <w:spacing w:after="0" w:line="221" w:lineRule="auto"/>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Average of month-end exchange rates based on the offered rate.</w:t>
      </w:r>
    </w:p>
    <w:p>
      <w:pPr>
        <w:ind w:left="580" w:hanging="572"/>
        <w:spacing w:after="0"/>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End of period exchange rates based on the offered rate.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45" w:right="239" w:bottom="1440" w:gutter="0" w:footer="0" w:header="0"/>
        </w:sectPr>
      </w:pPr>
    </w:p>
    <w:bookmarkStart w:id="8" w:name="page9"/>
    <w:bookmarkEnd w:id="8"/>
    <w:p>
      <w:pPr>
        <w:ind w:left="220"/>
        <w:spacing w:after="0"/>
        <w:rPr>
          <w:sz w:val="20"/>
          <w:szCs w:val="20"/>
          <w:color w:val="auto"/>
        </w:rPr>
      </w:pPr>
      <w:r>
        <w:rPr>
          <w:rFonts w:ascii="Arial" w:cs="Arial" w:eastAsia="Arial" w:hAnsi="Arial"/>
          <w:sz w:val="18"/>
          <w:szCs w:val="18"/>
          <w:color w:val="auto"/>
        </w:rPr>
        <w:t>The following table sets forth the high and low rates for the sale of Nuevos Soles for Dollars for the indicated months.</w:t>
      </w:r>
    </w:p>
    <w:p>
      <w:pPr>
        <w:spacing w:after="0" w:line="246" w:lineRule="exact"/>
        <w:rPr>
          <w:sz w:val="20"/>
          <w:szCs w:val="20"/>
          <w:color w:val="auto"/>
        </w:rPr>
      </w:pPr>
    </w:p>
    <w:p>
      <w:pPr>
        <w:ind w:left="8540"/>
        <w:spacing w:after="0"/>
        <w:tabs>
          <w:tab w:leader="none" w:pos="10840" w:val="left"/>
        </w:tabs>
        <w:rPr>
          <w:sz w:val="20"/>
          <w:szCs w:val="20"/>
          <w:color w:val="auto"/>
        </w:rPr>
      </w:pPr>
      <w:r>
        <w:rPr>
          <w:rFonts w:ascii="Arial" w:cs="Arial" w:eastAsia="Arial" w:hAnsi="Arial"/>
          <w:sz w:val="16"/>
          <w:szCs w:val="16"/>
          <w:b w:val="1"/>
          <w:bCs w:val="1"/>
          <w:color w:val="auto"/>
        </w:rPr>
        <w:t>High(1)</w:t>
      </w:r>
      <w:r>
        <w:rPr>
          <w:sz w:val="20"/>
          <w:szCs w:val="20"/>
          <w:color w:val="auto"/>
        </w:rPr>
        <w:tab/>
      </w:r>
      <w:r>
        <w:rPr>
          <w:rFonts w:ascii="Arial" w:cs="Arial" w:eastAsia="Arial" w:hAnsi="Arial"/>
          <w:sz w:val="16"/>
          <w:szCs w:val="16"/>
          <w:b w:val="1"/>
          <w:bCs w:val="1"/>
          <w:color w:val="auto"/>
        </w:rPr>
        <w:t>Low(1)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102870</wp:posOffset>
            </wp:positionV>
            <wp:extent cx="289433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94330" cy="34290"/>
                    </a:xfrm>
                    <a:prstGeom prst="rect">
                      <a:avLst/>
                    </a:prstGeom>
                    <a:noFill/>
                  </pic:spPr>
                </pic:pic>
              </a:graphicData>
            </a:graphic>
          </wp:anchor>
        </w:drawing>
      </w:r>
    </w:p>
    <w:p>
      <w:pPr>
        <w:spacing w:after="0" w:line="315" w:lineRule="exact"/>
        <w:rPr>
          <w:sz w:val="20"/>
          <w:szCs w:val="20"/>
          <w:color w:val="auto"/>
        </w:rPr>
      </w:pPr>
    </w:p>
    <w:p>
      <w:pPr>
        <w:ind w:left="8540"/>
        <w:spacing w:after="0"/>
        <w:rPr>
          <w:sz w:val="20"/>
          <w:szCs w:val="20"/>
          <w:color w:val="auto"/>
        </w:rPr>
      </w:pPr>
      <w:r>
        <w:rPr>
          <w:rFonts w:ascii="Arial" w:cs="Arial" w:eastAsia="Arial" w:hAnsi="Arial"/>
          <w:sz w:val="16"/>
          <w:szCs w:val="16"/>
          <w:color w:val="auto"/>
        </w:rPr>
        <w:t>(Nominal Nuevos Soles per U.S. Dollar)</w:t>
      </w:r>
    </w:p>
    <w:p>
      <w:pPr>
        <w:spacing w:after="0" w:line="53" w:lineRule="exact"/>
        <w:rPr>
          <w:sz w:val="20"/>
          <w:szCs w:val="20"/>
          <w:color w:val="auto"/>
        </w:rPr>
      </w:pPr>
    </w:p>
    <w:tbl>
      <w:tblPr>
        <w:tblLayout w:type="fixed"/>
        <w:tblInd w:w="2880" w:type="dxa"/>
        <w:tblCellMar>
          <w:top w:w="0" w:type="dxa"/>
          <w:left w:w="0" w:type="dxa"/>
          <w:bottom w:w="0" w:type="dxa"/>
          <w:right w:w="0" w:type="dxa"/>
        </w:tblCellMar>
      </w:tblPr>
      <w:tr>
        <w:trPr>
          <w:trHeight w:val="228"/>
        </w:trPr>
        <w:tc>
          <w:tcPr>
            <w:tcW w:w="3820" w:type="dxa"/>
            <w:vAlign w:val="bottom"/>
          </w:tcPr>
          <w:p>
            <w:pPr>
              <w:spacing w:after="0"/>
              <w:rPr>
                <w:sz w:val="20"/>
                <w:szCs w:val="20"/>
                <w:color w:val="auto"/>
              </w:rPr>
            </w:pPr>
            <w:r>
              <w:rPr>
                <w:rFonts w:ascii="Arial" w:cs="Arial" w:eastAsia="Arial" w:hAnsi="Arial"/>
                <w:sz w:val="18"/>
                <w:szCs w:val="18"/>
                <w:b w:val="1"/>
                <w:bCs w:val="1"/>
                <w:color w:val="auto"/>
              </w:rPr>
              <w:t>2003</w:t>
            </w:r>
          </w:p>
        </w:tc>
        <w:tc>
          <w:tcPr>
            <w:tcW w:w="33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43"/>
        </w:trPr>
        <w:tc>
          <w:tcPr>
            <w:tcW w:w="3820" w:type="dxa"/>
            <w:vAlign w:val="bottom"/>
          </w:tcPr>
          <w:p>
            <w:pPr>
              <w:ind w:left="180"/>
              <w:spacing w:after="0"/>
              <w:rPr>
                <w:sz w:val="20"/>
                <w:szCs w:val="20"/>
                <w:color w:val="auto"/>
              </w:rPr>
            </w:pPr>
            <w:r>
              <w:rPr>
                <w:rFonts w:ascii="Arial" w:cs="Arial" w:eastAsia="Arial" w:hAnsi="Arial"/>
                <w:sz w:val="18"/>
                <w:szCs w:val="18"/>
                <w:color w:val="auto"/>
              </w:rPr>
              <w:t>December</w:t>
            </w:r>
          </w:p>
        </w:tc>
        <w:tc>
          <w:tcPr>
            <w:tcW w:w="3360" w:type="dxa"/>
            <w:vAlign w:val="bottom"/>
          </w:tcPr>
          <w:p>
            <w:pPr>
              <w:jc w:val="right"/>
              <w:ind w:right="852"/>
              <w:spacing w:after="0"/>
              <w:rPr>
                <w:sz w:val="20"/>
                <w:szCs w:val="20"/>
                <w:color w:val="auto"/>
              </w:rPr>
            </w:pPr>
            <w:r>
              <w:rPr>
                <w:rFonts w:ascii="Arial" w:cs="Arial" w:eastAsia="Arial" w:hAnsi="Arial"/>
                <w:sz w:val="18"/>
                <w:szCs w:val="18"/>
                <w:color w:val="auto"/>
              </w:rPr>
              <w:t>3.480</w:t>
            </w:r>
          </w:p>
        </w:tc>
        <w:tc>
          <w:tcPr>
            <w:tcW w:w="1340" w:type="dxa"/>
            <w:vAlign w:val="bottom"/>
          </w:tcPr>
          <w:p>
            <w:pPr>
              <w:jc w:val="right"/>
              <w:spacing w:after="0"/>
              <w:rPr>
                <w:sz w:val="20"/>
                <w:szCs w:val="20"/>
                <w:color w:val="auto"/>
              </w:rPr>
            </w:pPr>
            <w:r>
              <w:rPr>
                <w:rFonts w:ascii="Arial" w:cs="Arial" w:eastAsia="Arial" w:hAnsi="Arial"/>
                <w:sz w:val="18"/>
                <w:szCs w:val="18"/>
                <w:color w:val="auto"/>
              </w:rPr>
              <w:t>3.468</w:t>
            </w:r>
          </w:p>
        </w:tc>
      </w:tr>
      <w:tr>
        <w:trPr>
          <w:trHeight w:val="243"/>
        </w:trPr>
        <w:tc>
          <w:tcPr>
            <w:tcW w:w="3820" w:type="dxa"/>
            <w:vAlign w:val="bottom"/>
          </w:tcPr>
          <w:p>
            <w:pPr>
              <w:spacing w:after="0"/>
              <w:rPr>
                <w:sz w:val="20"/>
                <w:szCs w:val="20"/>
                <w:color w:val="auto"/>
              </w:rPr>
            </w:pPr>
            <w:r>
              <w:rPr>
                <w:rFonts w:ascii="Arial" w:cs="Arial" w:eastAsia="Arial" w:hAnsi="Arial"/>
                <w:sz w:val="18"/>
                <w:szCs w:val="18"/>
                <w:b w:val="1"/>
                <w:bCs w:val="1"/>
                <w:color w:val="auto"/>
              </w:rPr>
              <w:t>2004</w:t>
            </w:r>
          </w:p>
        </w:tc>
        <w:tc>
          <w:tcPr>
            <w:tcW w:w="33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43"/>
        </w:trPr>
        <w:tc>
          <w:tcPr>
            <w:tcW w:w="3820" w:type="dxa"/>
            <w:vAlign w:val="bottom"/>
          </w:tcPr>
          <w:p>
            <w:pPr>
              <w:ind w:left="180"/>
              <w:spacing w:after="0"/>
              <w:rPr>
                <w:sz w:val="20"/>
                <w:szCs w:val="20"/>
                <w:color w:val="auto"/>
              </w:rPr>
            </w:pPr>
            <w:r>
              <w:rPr>
                <w:rFonts w:ascii="Arial" w:cs="Arial" w:eastAsia="Arial" w:hAnsi="Arial"/>
                <w:sz w:val="18"/>
                <w:szCs w:val="18"/>
                <w:color w:val="auto"/>
              </w:rPr>
              <w:t>January</w:t>
            </w:r>
          </w:p>
        </w:tc>
        <w:tc>
          <w:tcPr>
            <w:tcW w:w="3360" w:type="dxa"/>
            <w:vAlign w:val="bottom"/>
          </w:tcPr>
          <w:p>
            <w:pPr>
              <w:jc w:val="right"/>
              <w:ind w:right="852"/>
              <w:spacing w:after="0"/>
              <w:rPr>
                <w:sz w:val="20"/>
                <w:szCs w:val="20"/>
                <w:color w:val="auto"/>
              </w:rPr>
            </w:pPr>
            <w:r>
              <w:rPr>
                <w:rFonts w:ascii="Arial" w:cs="Arial" w:eastAsia="Arial" w:hAnsi="Arial"/>
                <w:sz w:val="18"/>
                <w:szCs w:val="18"/>
                <w:color w:val="auto"/>
              </w:rPr>
              <w:t>3.500</w:t>
            </w:r>
          </w:p>
        </w:tc>
        <w:tc>
          <w:tcPr>
            <w:tcW w:w="1340" w:type="dxa"/>
            <w:vAlign w:val="bottom"/>
          </w:tcPr>
          <w:p>
            <w:pPr>
              <w:jc w:val="right"/>
              <w:spacing w:after="0"/>
              <w:rPr>
                <w:sz w:val="20"/>
                <w:szCs w:val="20"/>
                <w:color w:val="auto"/>
              </w:rPr>
            </w:pPr>
            <w:r>
              <w:rPr>
                <w:rFonts w:ascii="Arial" w:cs="Arial" w:eastAsia="Arial" w:hAnsi="Arial"/>
                <w:sz w:val="18"/>
                <w:szCs w:val="18"/>
                <w:color w:val="auto"/>
              </w:rPr>
              <w:t>3.452</w:t>
            </w:r>
          </w:p>
        </w:tc>
      </w:tr>
      <w:tr>
        <w:trPr>
          <w:trHeight w:val="243"/>
        </w:trPr>
        <w:tc>
          <w:tcPr>
            <w:tcW w:w="3820" w:type="dxa"/>
            <w:vAlign w:val="bottom"/>
          </w:tcPr>
          <w:p>
            <w:pPr>
              <w:ind w:left="180"/>
              <w:spacing w:after="0"/>
              <w:rPr>
                <w:sz w:val="20"/>
                <w:szCs w:val="20"/>
                <w:color w:val="auto"/>
              </w:rPr>
            </w:pPr>
            <w:r>
              <w:rPr>
                <w:rFonts w:ascii="Arial" w:cs="Arial" w:eastAsia="Arial" w:hAnsi="Arial"/>
                <w:sz w:val="18"/>
                <w:szCs w:val="18"/>
                <w:color w:val="auto"/>
              </w:rPr>
              <w:t>February</w:t>
            </w:r>
          </w:p>
        </w:tc>
        <w:tc>
          <w:tcPr>
            <w:tcW w:w="3360" w:type="dxa"/>
            <w:vAlign w:val="bottom"/>
          </w:tcPr>
          <w:p>
            <w:pPr>
              <w:jc w:val="right"/>
              <w:ind w:right="852"/>
              <w:spacing w:after="0"/>
              <w:rPr>
                <w:sz w:val="20"/>
                <w:szCs w:val="20"/>
                <w:color w:val="auto"/>
              </w:rPr>
            </w:pPr>
            <w:r>
              <w:rPr>
                <w:rFonts w:ascii="Arial" w:cs="Arial" w:eastAsia="Arial" w:hAnsi="Arial"/>
                <w:sz w:val="18"/>
                <w:szCs w:val="18"/>
                <w:color w:val="auto"/>
              </w:rPr>
              <w:t>3.500</w:t>
            </w:r>
          </w:p>
        </w:tc>
        <w:tc>
          <w:tcPr>
            <w:tcW w:w="1340" w:type="dxa"/>
            <w:vAlign w:val="bottom"/>
          </w:tcPr>
          <w:p>
            <w:pPr>
              <w:jc w:val="right"/>
              <w:spacing w:after="0"/>
              <w:rPr>
                <w:sz w:val="20"/>
                <w:szCs w:val="20"/>
                <w:color w:val="auto"/>
              </w:rPr>
            </w:pPr>
            <w:r>
              <w:rPr>
                <w:rFonts w:ascii="Arial" w:cs="Arial" w:eastAsia="Arial" w:hAnsi="Arial"/>
                <w:sz w:val="18"/>
                <w:szCs w:val="18"/>
                <w:color w:val="auto"/>
              </w:rPr>
              <w:t>3.465</w:t>
            </w:r>
          </w:p>
        </w:tc>
      </w:tr>
      <w:tr>
        <w:trPr>
          <w:trHeight w:val="243"/>
        </w:trPr>
        <w:tc>
          <w:tcPr>
            <w:tcW w:w="3820" w:type="dxa"/>
            <w:vAlign w:val="bottom"/>
          </w:tcPr>
          <w:p>
            <w:pPr>
              <w:ind w:left="180"/>
              <w:spacing w:after="0"/>
              <w:rPr>
                <w:sz w:val="20"/>
                <w:szCs w:val="20"/>
                <w:color w:val="auto"/>
              </w:rPr>
            </w:pPr>
            <w:r>
              <w:rPr>
                <w:rFonts w:ascii="Arial" w:cs="Arial" w:eastAsia="Arial" w:hAnsi="Arial"/>
                <w:sz w:val="18"/>
                <w:szCs w:val="18"/>
                <w:color w:val="auto"/>
              </w:rPr>
              <w:t>March</w:t>
            </w:r>
          </w:p>
        </w:tc>
        <w:tc>
          <w:tcPr>
            <w:tcW w:w="3360" w:type="dxa"/>
            <w:vAlign w:val="bottom"/>
          </w:tcPr>
          <w:p>
            <w:pPr>
              <w:jc w:val="right"/>
              <w:ind w:right="852"/>
              <w:spacing w:after="0"/>
              <w:rPr>
                <w:sz w:val="20"/>
                <w:szCs w:val="20"/>
                <w:color w:val="auto"/>
              </w:rPr>
            </w:pPr>
            <w:r>
              <w:rPr>
                <w:rFonts w:ascii="Arial" w:cs="Arial" w:eastAsia="Arial" w:hAnsi="Arial"/>
                <w:sz w:val="18"/>
                <w:szCs w:val="18"/>
                <w:color w:val="auto"/>
              </w:rPr>
              <w:t>3.480</w:t>
            </w:r>
          </w:p>
        </w:tc>
        <w:tc>
          <w:tcPr>
            <w:tcW w:w="1340" w:type="dxa"/>
            <w:vAlign w:val="bottom"/>
          </w:tcPr>
          <w:p>
            <w:pPr>
              <w:jc w:val="right"/>
              <w:spacing w:after="0"/>
              <w:rPr>
                <w:sz w:val="20"/>
                <w:szCs w:val="20"/>
                <w:color w:val="auto"/>
              </w:rPr>
            </w:pPr>
            <w:r>
              <w:rPr>
                <w:rFonts w:ascii="Arial" w:cs="Arial" w:eastAsia="Arial" w:hAnsi="Arial"/>
                <w:sz w:val="18"/>
                <w:szCs w:val="18"/>
                <w:color w:val="auto"/>
              </w:rPr>
              <w:t>3.450</w:t>
            </w:r>
          </w:p>
        </w:tc>
      </w:tr>
      <w:tr>
        <w:trPr>
          <w:trHeight w:val="243"/>
        </w:trPr>
        <w:tc>
          <w:tcPr>
            <w:tcW w:w="3820" w:type="dxa"/>
            <w:vAlign w:val="bottom"/>
          </w:tcPr>
          <w:p>
            <w:pPr>
              <w:ind w:left="180"/>
              <w:spacing w:after="0"/>
              <w:rPr>
                <w:sz w:val="20"/>
                <w:szCs w:val="20"/>
                <w:color w:val="auto"/>
              </w:rPr>
            </w:pPr>
            <w:r>
              <w:rPr>
                <w:rFonts w:ascii="Arial" w:cs="Arial" w:eastAsia="Arial" w:hAnsi="Arial"/>
                <w:sz w:val="18"/>
                <w:szCs w:val="18"/>
                <w:color w:val="auto"/>
              </w:rPr>
              <w:t>April</w:t>
            </w:r>
          </w:p>
        </w:tc>
        <w:tc>
          <w:tcPr>
            <w:tcW w:w="3360" w:type="dxa"/>
            <w:vAlign w:val="bottom"/>
          </w:tcPr>
          <w:p>
            <w:pPr>
              <w:jc w:val="right"/>
              <w:ind w:right="852"/>
              <w:spacing w:after="0"/>
              <w:rPr>
                <w:sz w:val="20"/>
                <w:szCs w:val="20"/>
                <w:color w:val="auto"/>
              </w:rPr>
            </w:pPr>
            <w:r>
              <w:rPr>
                <w:rFonts w:ascii="Arial" w:cs="Arial" w:eastAsia="Arial" w:hAnsi="Arial"/>
                <w:sz w:val="18"/>
                <w:szCs w:val="18"/>
                <w:color w:val="auto"/>
              </w:rPr>
              <w:t>3.490</w:t>
            </w:r>
          </w:p>
        </w:tc>
        <w:tc>
          <w:tcPr>
            <w:tcW w:w="1340" w:type="dxa"/>
            <w:vAlign w:val="bottom"/>
          </w:tcPr>
          <w:p>
            <w:pPr>
              <w:jc w:val="right"/>
              <w:spacing w:after="0"/>
              <w:rPr>
                <w:sz w:val="20"/>
                <w:szCs w:val="20"/>
                <w:color w:val="auto"/>
              </w:rPr>
            </w:pPr>
            <w:r>
              <w:rPr>
                <w:rFonts w:ascii="Arial" w:cs="Arial" w:eastAsia="Arial" w:hAnsi="Arial"/>
                <w:sz w:val="18"/>
                <w:szCs w:val="18"/>
                <w:color w:val="auto"/>
              </w:rPr>
              <w:t>3.455</w:t>
            </w:r>
          </w:p>
        </w:tc>
      </w:tr>
      <w:tr>
        <w:trPr>
          <w:trHeight w:val="243"/>
        </w:trPr>
        <w:tc>
          <w:tcPr>
            <w:tcW w:w="3820" w:type="dxa"/>
            <w:vAlign w:val="bottom"/>
          </w:tcPr>
          <w:p>
            <w:pPr>
              <w:ind w:left="180"/>
              <w:spacing w:after="0"/>
              <w:rPr>
                <w:sz w:val="20"/>
                <w:szCs w:val="20"/>
                <w:color w:val="auto"/>
              </w:rPr>
            </w:pPr>
            <w:r>
              <w:rPr>
                <w:rFonts w:ascii="Arial" w:cs="Arial" w:eastAsia="Arial" w:hAnsi="Arial"/>
                <w:sz w:val="18"/>
                <w:szCs w:val="18"/>
                <w:color w:val="auto"/>
              </w:rPr>
              <w:t>May</w:t>
            </w:r>
          </w:p>
        </w:tc>
        <w:tc>
          <w:tcPr>
            <w:tcW w:w="3360" w:type="dxa"/>
            <w:vAlign w:val="bottom"/>
          </w:tcPr>
          <w:p>
            <w:pPr>
              <w:jc w:val="right"/>
              <w:ind w:right="852"/>
              <w:spacing w:after="0"/>
              <w:rPr>
                <w:sz w:val="20"/>
                <w:szCs w:val="20"/>
                <w:color w:val="auto"/>
              </w:rPr>
            </w:pPr>
            <w:r>
              <w:rPr>
                <w:rFonts w:ascii="Arial" w:cs="Arial" w:eastAsia="Arial" w:hAnsi="Arial"/>
                <w:sz w:val="18"/>
                <w:szCs w:val="18"/>
                <w:color w:val="auto"/>
              </w:rPr>
              <w:t>3.500</w:t>
            </w:r>
          </w:p>
        </w:tc>
        <w:tc>
          <w:tcPr>
            <w:tcW w:w="1340" w:type="dxa"/>
            <w:vAlign w:val="bottom"/>
          </w:tcPr>
          <w:p>
            <w:pPr>
              <w:jc w:val="right"/>
              <w:spacing w:after="0"/>
              <w:rPr>
                <w:sz w:val="20"/>
                <w:szCs w:val="20"/>
                <w:color w:val="auto"/>
              </w:rPr>
            </w:pPr>
            <w:r>
              <w:rPr>
                <w:rFonts w:ascii="Arial" w:cs="Arial" w:eastAsia="Arial" w:hAnsi="Arial"/>
                <w:sz w:val="18"/>
                <w:szCs w:val="18"/>
                <w:color w:val="auto"/>
              </w:rPr>
              <w:t>3.480</w:t>
            </w:r>
          </w:p>
        </w:tc>
      </w:tr>
      <w:tr>
        <w:trPr>
          <w:trHeight w:val="243"/>
        </w:trPr>
        <w:tc>
          <w:tcPr>
            <w:tcW w:w="3820" w:type="dxa"/>
            <w:vAlign w:val="bottom"/>
          </w:tcPr>
          <w:p>
            <w:pPr>
              <w:ind w:left="180"/>
              <w:spacing w:after="0"/>
              <w:rPr>
                <w:sz w:val="20"/>
                <w:szCs w:val="20"/>
                <w:color w:val="auto"/>
              </w:rPr>
            </w:pPr>
            <w:r>
              <w:rPr>
                <w:rFonts w:ascii="Arial" w:cs="Arial" w:eastAsia="Arial" w:hAnsi="Arial"/>
                <w:sz w:val="18"/>
                <w:szCs w:val="18"/>
                <w:color w:val="auto"/>
              </w:rPr>
              <w:t>June (through June 10)</w:t>
            </w:r>
          </w:p>
        </w:tc>
        <w:tc>
          <w:tcPr>
            <w:tcW w:w="3360" w:type="dxa"/>
            <w:vAlign w:val="bottom"/>
          </w:tcPr>
          <w:p>
            <w:pPr>
              <w:jc w:val="right"/>
              <w:ind w:right="852"/>
              <w:spacing w:after="0"/>
              <w:rPr>
                <w:sz w:val="20"/>
                <w:szCs w:val="20"/>
                <w:color w:val="auto"/>
              </w:rPr>
            </w:pPr>
            <w:r>
              <w:rPr>
                <w:rFonts w:ascii="Arial" w:cs="Arial" w:eastAsia="Arial" w:hAnsi="Arial"/>
                <w:sz w:val="18"/>
                <w:szCs w:val="18"/>
                <w:color w:val="auto"/>
              </w:rPr>
              <w:t>3.490</w:t>
            </w:r>
          </w:p>
        </w:tc>
        <w:tc>
          <w:tcPr>
            <w:tcW w:w="1340" w:type="dxa"/>
            <w:vAlign w:val="bottom"/>
          </w:tcPr>
          <w:p>
            <w:pPr>
              <w:jc w:val="right"/>
              <w:spacing w:after="0"/>
              <w:rPr>
                <w:sz w:val="20"/>
                <w:szCs w:val="20"/>
                <w:color w:val="auto"/>
              </w:rPr>
            </w:pPr>
            <w:r>
              <w:rPr>
                <w:rFonts w:ascii="Arial" w:cs="Arial" w:eastAsia="Arial" w:hAnsi="Arial"/>
                <w:sz w:val="18"/>
                <w:szCs w:val="18"/>
                <w:color w:val="auto"/>
              </w:rPr>
              <w:t>3.482</w:t>
            </w:r>
          </w:p>
        </w:tc>
      </w:tr>
    </w:tbl>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w:t>
      </w:r>
    </w:p>
    <w:p>
      <w:pPr>
        <w:spacing w:after="0"/>
        <w:rPr>
          <w:sz w:val="20"/>
          <w:szCs w:val="20"/>
          <w:color w:val="auto"/>
        </w:rPr>
      </w:pPr>
      <w:r>
        <w:rPr>
          <w:rFonts w:ascii="Arial" w:cs="Arial" w:eastAsia="Arial" w:hAnsi="Arial"/>
          <w:sz w:val="14"/>
          <w:szCs w:val="14"/>
          <w:color w:val="auto"/>
        </w:rPr>
        <w:t>Source: Economatica</w:t>
      </w:r>
    </w:p>
    <w:p>
      <w:pPr>
        <w:ind w:left="580" w:hanging="572"/>
        <w:spacing w:after="0"/>
        <w:tabs>
          <w:tab w:leader="none" w:pos="580" w:val="left"/>
        </w:tabs>
        <w:numPr>
          <w:ilvl w:val="0"/>
          <w:numId w:val="4"/>
        </w:numPr>
        <w:rPr>
          <w:rFonts w:ascii="Arial" w:cs="Arial" w:eastAsia="Arial" w:hAnsi="Arial"/>
          <w:sz w:val="14"/>
          <w:szCs w:val="14"/>
          <w:color w:val="auto"/>
        </w:rPr>
      </w:pPr>
      <w:r>
        <w:rPr>
          <w:rFonts w:ascii="Arial" w:cs="Arial" w:eastAsia="Arial" w:hAnsi="Arial"/>
          <w:sz w:val="14"/>
          <w:szCs w:val="14"/>
          <w:color w:val="auto"/>
        </w:rPr>
        <w:t>Highest and lowest of the daily closing exchange rates for each month based on the offered rate.</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average of the bid and offered free market exchange rates published by the SBS for June 10, 2004 was S/.3.479 per US$1.00.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Capitalization and Indebtedness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Reasons for the Offer and Use of Proceeds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Risk Factors</w:t>
      </w:r>
    </w:p>
    <w:p>
      <w:pPr>
        <w:spacing w:after="0" w:line="231" w:lineRule="exact"/>
        <w:rPr>
          <w:sz w:val="20"/>
          <w:szCs w:val="20"/>
          <w:color w:val="auto"/>
        </w:rPr>
      </w:pPr>
    </w:p>
    <w:p>
      <w:pPr>
        <w:jc w:val="both"/>
        <w:ind w:firstLine="355"/>
        <w:spacing w:after="0" w:line="259" w:lineRule="auto"/>
        <w:rPr>
          <w:sz w:val="20"/>
          <w:szCs w:val="20"/>
          <w:color w:val="auto"/>
        </w:rPr>
      </w:pPr>
      <w:r>
        <w:rPr>
          <w:rFonts w:ascii="Arial" w:cs="Arial" w:eastAsia="Arial" w:hAnsi="Arial"/>
          <w:sz w:val="18"/>
          <w:szCs w:val="18"/>
          <w:color w:val="auto"/>
        </w:rPr>
        <w:t>Credicorp’s businesses are affected by a number of external and other factors in the markets in which they operate. Different risk factors can impact Credicorp’s businesses and their ability to operate their respective businesses and business strategies effectively. The following risk factors should be considered carefully and read in conjunction with all of the information in this Annual Report.</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Peruvian Country Risk</w:t>
      </w:r>
    </w:p>
    <w:p>
      <w:pPr>
        <w:spacing w:after="0" w:line="225" w:lineRule="exact"/>
        <w:rPr>
          <w:sz w:val="20"/>
          <w:szCs w:val="20"/>
          <w:color w:val="auto"/>
        </w:rPr>
      </w:pPr>
    </w:p>
    <w:p>
      <w:pPr>
        <w:jc w:val="both"/>
        <w:ind w:firstLine="230"/>
        <w:spacing w:after="0" w:line="294" w:lineRule="auto"/>
        <w:rPr>
          <w:sz w:val="20"/>
          <w:szCs w:val="20"/>
          <w:color w:val="auto"/>
        </w:rPr>
      </w:pPr>
      <w:r>
        <w:rPr>
          <w:rFonts w:ascii="Arial" w:cs="Arial" w:eastAsia="Arial" w:hAnsi="Arial"/>
          <w:sz w:val="16"/>
          <w:szCs w:val="16"/>
          <w:color w:val="auto"/>
        </w:rPr>
        <w:t>Substantially all of BCP’s and PPS’s operations and customers are located in Perú. In addition, although ASHC is based outside of Perú, substantially all of its customers are located in Perú. Accordingly, the results of operations and the financial condition of Credicorp will be dependent on the level of economic activity in Perú. Credicorp’s results of operations and financial condition could also be affected by changes in economic or other policies of the Peruvian government (which has exercised and continues to exercise a substantial influence over many aspects of the private sector) or other political or economic developments in Perú, including government-induced effects on inflation, devaluation and economic growth.</w:t>
      </w:r>
    </w:p>
    <w:p>
      <w:pPr>
        <w:spacing w:after="0" w:line="170" w:lineRule="exact"/>
        <w:rPr>
          <w:sz w:val="20"/>
          <w:szCs w:val="20"/>
          <w:color w:val="auto"/>
        </w:rPr>
      </w:pPr>
    </w:p>
    <w:p>
      <w:pPr>
        <w:jc w:val="both"/>
        <w:ind w:firstLine="295"/>
        <w:spacing w:after="0" w:line="259" w:lineRule="auto"/>
        <w:rPr>
          <w:sz w:val="20"/>
          <w:szCs w:val="20"/>
          <w:color w:val="auto"/>
        </w:rPr>
      </w:pPr>
      <w:r>
        <w:rPr>
          <w:rFonts w:ascii="Arial" w:cs="Arial" w:eastAsia="Arial" w:hAnsi="Arial"/>
          <w:sz w:val="18"/>
          <w:szCs w:val="18"/>
          <w:color w:val="auto"/>
        </w:rPr>
        <w:t>During the past several decades, Perú has had a history of political instability that has included military coups and a succession of regimes with differing policies and programs. Past governments have frequently intervened in the nation’s economy and social structure. Among other actions, past governments have imposed controls on prices, exchange rates, local and foreign investment and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31" w:right="239" w:bottom="1440" w:gutter="0" w:footer="0" w:header="0"/>
        </w:sectPr>
      </w:pPr>
    </w:p>
    <w:bookmarkStart w:id="9" w:name="page10"/>
    <w:bookmarkEnd w:id="9"/>
    <w:p>
      <w:pPr>
        <w:jc w:val="both"/>
        <w:spacing w:after="0" w:line="268" w:lineRule="auto"/>
        <w:rPr>
          <w:sz w:val="20"/>
          <w:szCs w:val="20"/>
          <w:color w:val="auto"/>
        </w:rPr>
      </w:pPr>
      <w:r>
        <w:rPr>
          <w:rFonts w:ascii="Arial" w:cs="Arial" w:eastAsia="Arial" w:hAnsi="Arial"/>
          <w:sz w:val="18"/>
          <w:szCs w:val="18"/>
          <w:color w:val="auto"/>
        </w:rPr>
        <w:t>international trade; restricted the ability of companies to dismiss employees; expropriated private sector assets; and prohibited the remittance of profits to foreign investors.</w:t>
      </w:r>
    </w:p>
    <w:p>
      <w:pPr>
        <w:spacing w:after="0" w:line="186" w:lineRule="exact"/>
        <w:rPr>
          <w:sz w:val="20"/>
          <w:szCs w:val="20"/>
          <w:color w:val="auto"/>
        </w:rPr>
      </w:pPr>
    </w:p>
    <w:p>
      <w:pPr>
        <w:jc w:val="both"/>
        <w:ind w:firstLine="251"/>
        <w:spacing w:after="0" w:line="254" w:lineRule="auto"/>
        <w:rPr>
          <w:sz w:val="20"/>
          <w:szCs w:val="20"/>
          <w:color w:val="auto"/>
        </w:rPr>
      </w:pPr>
      <w:r>
        <w:rPr>
          <w:rFonts w:ascii="Arial" w:cs="Arial" w:eastAsia="Arial" w:hAnsi="Arial"/>
          <w:sz w:val="18"/>
          <w:szCs w:val="18"/>
          <w:color w:val="auto"/>
        </w:rPr>
        <w:t>In July 1990, Alberto Fujimori was elected president, and his administration implemented a broad-based reform of Perú’s political system and economic and social conditions aimed at and with a focus on stabilizing the economy, restructuring the national government (by reducing bureaucracy), privatizing state-owned companies, promoting private investment, developing and strengthening free markets, institutionalizing democratic representation and enacting programs for the strengthening of basic services related to education, health and infrastructure. After taking office for his third term in July 2000 under extreme protest, President Fujimori was forced to call for general elections due to the outbreak of corruption scandals, and later resigned in favor of a transitory government headed by the president of Congress, Valentín Paniagua.</w:t>
      </w:r>
    </w:p>
    <w:p>
      <w:pPr>
        <w:spacing w:after="0" w:line="198" w:lineRule="exact"/>
        <w:rPr>
          <w:sz w:val="20"/>
          <w:szCs w:val="20"/>
          <w:color w:val="auto"/>
        </w:rPr>
      </w:pPr>
    </w:p>
    <w:p>
      <w:pPr>
        <w:jc w:val="both"/>
        <w:ind w:firstLine="298"/>
        <w:spacing w:after="0" w:line="290" w:lineRule="auto"/>
        <w:rPr>
          <w:sz w:val="20"/>
          <w:szCs w:val="20"/>
          <w:color w:val="auto"/>
        </w:rPr>
      </w:pPr>
      <w:r>
        <w:rPr>
          <w:rFonts w:ascii="Arial" w:cs="Arial" w:eastAsia="Arial" w:hAnsi="Arial"/>
          <w:sz w:val="16"/>
          <w:szCs w:val="16"/>
          <w:color w:val="auto"/>
        </w:rPr>
        <w:t>Mr. Paniagua took office in November 2000 and in July 2001 handed over the presidency to Alejandro Toledo, the winner of the elections decided in the second round held on June 3, 2001, ending two years of political turmoil. Since his election, President Toledo has retained, for the most part, the economic policies of the previous government, focusing on promoting private investment, eliminating tax exemptions, reducing underemployment and unemployment and privatizing state-owned companies in various sectors. President Toledo also implemented fiscal austerity programs, among other proposals, in order to stimulate the economy. Despite Perú’s moderate economic growth, the Toledo administration has at times faced public unrest spurred by the high rates of unemployment, underemployment and poverty. President Toledo has been forced to restructure his cabinet on several occasions to quell public unrest and to maintain his political alliances. See “Item 4. Information on the Company—(B) Business Overview —(9) Peruvian Government and Economy—(i) Peruvian Government.”</w:t>
      </w:r>
    </w:p>
    <w:p>
      <w:pPr>
        <w:spacing w:after="0" w:line="172" w:lineRule="exact"/>
        <w:rPr>
          <w:sz w:val="20"/>
          <w:szCs w:val="20"/>
          <w:color w:val="auto"/>
        </w:rPr>
      </w:pPr>
    </w:p>
    <w:p>
      <w:pPr>
        <w:jc w:val="both"/>
        <w:ind w:firstLine="220"/>
        <w:spacing w:after="0" w:line="268" w:lineRule="auto"/>
        <w:rPr>
          <w:sz w:val="20"/>
          <w:szCs w:val="20"/>
          <w:color w:val="auto"/>
        </w:rPr>
      </w:pPr>
      <w:r>
        <w:rPr>
          <w:rFonts w:ascii="Arial" w:cs="Arial" w:eastAsia="Arial" w:hAnsi="Arial"/>
          <w:sz w:val="18"/>
          <w:szCs w:val="18"/>
          <w:color w:val="auto"/>
        </w:rPr>
        <w:t>Given that the Toledo administration continues to face a fragmented Congress and continuing public unrest, there can be no assurance that the government will continue its current economic policies or that Peru’s recent economic growth will be sustained.</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Exchange Controls and Devaluation of the Nuevo Sol</w:t>
      </w:r>
    </w:p>
    <w:p>
      <w:pPr>
        <w:spacing w:after="0" w:line="225" w:lineRule="exact"/>
        <w:rPr>
          <w:sz w:val="20"/>
          <w:szCs w:val="20"/>
          <w:color w:val="auto"/>
        </w:rPr>
      </w:pPr>
    </w:p>
    <w:p>
      <w:pPr>
        <w:jc w:val="both"/>
        <w:ind w:firstLine="236"/>
        <w:spacing w:after="0" w:line="291" w:lineRule="auto"/>
        <w:rPr>
          <w:sz w:val="20"/>
          <w:szCs w:val="20"/>
          <w:color w:val="auto"/>
        </w:rPr>
      </w:pPr>
      <w:r>
        <w:rPr>
          <w:rFonts w:ascii="Arial" w:cs="Arial" w:eastAsia="Arial" w:hAnsi="Arial"/>
          <w:sz w:val="16"/>
          <w:szCs w:val="16"/>
          <w:color w:val="auto"/>
        </w:rPr>
        <w:t>Even though Credicorp’s financial statements are presented in U.S. Dollars, and its dividends are paid in U.S. Dollars, BCP and PPS will continue to prepare, for local statutory purposes, their financial statements and pay dividends in Nuevos Soles. While the Peruvian government currently imposes no restrictions on a company’s ability to transfer U.S. Dollars from Perú to other countries, to convert Peruvian currency into Dollars or to remit dividends abroad, Perú has had restrictive exchange controls in the past and there can be no assurance that the Peruvian government will continue to permit such transfers, remittances or conversion without restriction. See “Item 10. Additional Information—(D) Exchange Controls.” In addition, a devaluation would decrease the Dollar value of any dividends BCP and PPS pay to Credicorp, which would have a negative impact on Credicorp’s ability to pay dividends to shareholders.</w:t>
      </w:r>
    </w:p>
    <w:p>
      <w:pPr>
        <w:spacing w:after="0" w:line="174" w:lineRule="exact"/>
        <w:rPr>
          <w:sz w:val="20"/>
          <w:szCs w:val="20"/>
          <w:color w:val="auto"/>
        </w:rPr>
      </w:pPr>
    </w:p>
    <w:p>
      <w:pPr>
        <w:jc w:val="both"/>
        <w:ind w:firstLine="210"/>
        <w:spacing w:after="0" w:line="291" w:lineRule="auto"/>
        <w:rPr>
          <w:sz w:val="20"/>
          <w:szCs w:val="20"/>
          <w:color w:val="auto"/>
        </w:rPr>
      </w:pPr>
      <w:r>
        <w:rPr>
          <w:rFonts w:ascii="Arial" w:cs="Arial" w:eastAsia="Arial" w:hAnsi="Arial"/>
          <w:sz w:val="16"/>
          <w:szCs w:val="16"/>
          <w:color w:val="auto"/>
        </w:rPr>
        <w:t>Although the current level of Perú’s foreign reserves compares favorably with those of other Latin American countries, there can be no assurance that Perú will be able to maintain adequate foreign reserves to meet its foreign currency-denominated obligations, or that Perú will not impose exchange controls should its foreign reserves decline. A decline in Peruvian foreign reserves to inadequate levels, among other economic circumstances, could lead to a devaluation. While Credicorp seeks to manage the gap between its foreign currency-denominated assets and liabilities, for instance by matching the volumes and maturities of its Dollar-denominated loans against its Dollar-denominated deposits, a sudden and significant devaluation could have a material adverse effect on Credicorp’s financial condition and results of operations. See “Item 11. Quantitative and Qualitative Disclosures About Market Risk—Exchange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31" w:right="239" w:bottom="1440" w:gutter="0" w:footer="0" w:header="0"/>
        </w:sectPr>
      </w:pPr>
    </w:p>
    <w:bookmarkStart w:id="10" w:name="page11"/>
    <w:bookmarkEnd w:id="10"/>
    <w:p>
      <w:pPr>
        <w:jc w:val="both"/>
        <w:spacing w:after="0" w:line="255" w:lineRule="auto"/>
        <w:rPr>
          <w:sz w:val="20"/>
          <w:szCs w:val="20"/>
          <w:color w:val="auto"/>
        </w:rPr>
      </w:pPr>
      <w:r>
        <w:rPr>
          <w:rFonts w:ascii="Arial" w:cs="Arial" w:eastAsia="Arial" w:hAnsi="Arial"/>
          <w:sz w:val="18"/>
          <w:szCs w:val="18"/>
          <w:color w:val="auto"/>
        </w:rPr>
        <w:t>Rate Sensitivity.” Also, BCP’s borrowers and PPS’s insureds typically generate Nuevo Sol revenues from their own clients. Devaluation of the Nuevo Sol against the Dollar could have a negative impact on the ability of BCP’s and PPS’s clients to repay loans or make premium payments. Despite any devaluation, and absent any change in foreign exchange regulations, BCP and PPS would be expected to continue to repay Dollar-denominated deposits and Dollar-denominated insurance benefits in Dollars. Therefore, any significant devaluation of the Nuevo Sol against the Dollar could have a material adverse effect on Credicorp’s results of operations and financial condition.</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Corporate Disclosure and Accounting Standards</w:t>
      </w:r>
    </w:p>
    <w:p>
      <w:pPr>
        <w:spacing w:after="0" w:line="225" w:lineRule="exact"/>
        <w:rPr>
          <w:sz w:val="20"/>
          <w:szCs w:val="20"/>
          <w:color w:val="auto"/>
        </w:rPr>
      </w:pPr>
    </w:p>
    <w:p>
      <w:pPr>
        <w:jc w:val="both"/>
        <w:ind w:firstLine="330"/>
        <w:spacing w:after="0" w:line="255" w:lineRule="auto"/>
        <w:rPr>
          <w:sz w:val="20"/>
          <w:szCs w:val="20"/>
          <w:color w:val="auto"/>
        </w:rPr>
      </w:pPr>
      <w:r>
        <w:rPr>
          <w:rFonts w:ascii="Arial" w:cs="Arial" w:eastAsia="Arial" w:hAnsi="Arial"/>
          <w:sz w:val="18"/>
          <w:szCs w:val="18"/>
          <w:color w:val="auto"/>
        </w:rPr>
        <w:t>Credicorp prepares its financial statements in accordance with IFRS, which differ in certain respects from U.S. GAAP. Accordingly, the presentation of financial statements and reported earnings of Credicorp may not be comparable to those companies whose financial statements are prepared in accordance with U.S. GAAP. See Note 24 to the Credicorp Consolidated Financial Statements for a description of the significant differences between IFRS and U.S. GAAP, as such differences relate to Credicorp, together with a reconciliation to U.S. GAAP of Credicorp’s net income and shareholders’ equity for the periods included therein.</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Enforceability of Civil Liabilities</w:t>
      </w:r>
    </w:p>
    <w:p>
      <w:pPr>
        <w:spacing w:after="0" w:line="225" w:lineRule="exact"/>
        <w:rPr>
          <w:sz w:val="20"/>
          <w:szCs w:val="20"/>
          <w:color w:val="auto"/>
        </w:rPr>
      </w:pPr>
    </w:p>
    <w:p>
      <w:pPr>
        <w:jc w:val="both"/>
        <w:ind w:firstLine="258"/>
        <w:spacing w:after="0" w:line="288" w:lineRule="auto"/>
        <w:rPr>
          <w:sz w:val="20"/>
          <w:szCs w:val="20"/>
          <w:color w:val="auto"/>
        </w:rPr>
      </w:pPr>
      <w:r>
        <w:rPr>
          <w:rFonts w:ascii="Arial" w:cs="Arial" w:eastAsia="Arial" w:hAnsi="Arial"/>
          <w:sz w:val="16"/>
          <w:szCs w:val="16"/>
          <w:color w:val="auto"/>
        </w:rPr>
        <w:t>A significant majority of Credicorp’s directors and officers reside outside the United States (principally in Perú). All or a substantial portion of the assets of Credicorp or of such persons are located outside the United States. As a result, it may not be possible for investors to effect service of process within the United States upon such persons or upon Credicorp or to enforce against them in federal or state courts in the United States judgments predicated upon the civil liability provisions of the federal securities laws of the United States. Credicorp has been advised by its Peruvian counsel that there is uncertainty as to the enforceability, in original actions in Peruvian courts, of liabilities predicated solely under the United States federal securities laws and as to the enforceability in Peruvian courts of judgments of United States courts obtained in actions predicated upon the civil liability provisions of the United States federal securities laws. Credicorp has been advised by its Bermudan counsel that uncertainty exists as to whether courts in Bermuda will enforce judgments obtained in other jurisdictions, including the United States, against it or its directors or officers under the securities laws of those jurisdictions or entertain actions in Bermuda against it or its directors or officers under the securities laws of other jurisdictions.</w:t>
      </w:r>
    </w:p>
    <w:p>
      <w:pPr>
        <w:spacing w:after="0" w:line="174" w:lineRule="exact"/>
        <w:rPr>
          <w:sz w:val="20"/>
          <w:szCs w:val="20"/>
          <w:color w:val="auto"/>
        </w:rPr>
      </w:pPr>
    </w:p>
    <w:p>
      <w:pPr>
        <w:jc w:val="both"/>
        <w:ind w:firstLine="316"/>
        <w:spacing w:after="0" w:line="294" w:lineRule="auto"/>
        <w:rPr>
          <w:sz w:val="20"/>
          <w:szCs w:val="20"/>
          <w:color w:val="auto"/>
        </w:rPr>
      </w:pPr>
      <w:r>
        <w:rPr>
          <w:rFonts w:ascii="Arial" w:cs="Arial" w:eastAsia="Arial" w:hAnsi="Arial"/>
          <w:sz w:val="16"/>
          <w:szCs w:val="16"/>
          <w:color w:val="auto"/>
        </w:rPr>
        <w:t>In addition, Credicorp’s bye-laws (the “Bye-Laws”) contain a broad waiver by its shareholders of any claim or right of action, both individually and on Credicorp’s behalf, against any of Credicorp’s officers or directors. The waiver applies to any action taken by an officer or director, or the failure of an officer or director to take any action, in the performance of his or her duties, except with respect to any matter involving any willful negligence, willful default, fraud or dishonesty on the part of the officer or director. This waiver limits the right of shareholders to assert claims against Credicorp’s officers and directors unless the act or failure to act involves willful negligence, willful default, fraud or dishonesty.</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Status of Credicorp as a Holding Company</w:t>
      </w:r>
    </w:p>
    <w:p>
      <w:pPr>
        <w:spacing w:after="0" w:line="225" w:lineRule="exact"/>
        <w:rPr>
          <w:sz w:val="20"/>
          <w:szCs w:val="20"/>
          <w:color w:val="auto"/>
        </w:rPr>
      </w:pPr>
    </w:p>
    <w:p>
      <w:pPr>
        <w:jc w:val="both"/>
        <w:ind w:firstLine="244"/>
        <w:spacing w:after="0" w:line="298" w:lineRule="auto"/>
        <w:rPr>
          <w:sz w:val="20"/>
          <w:szCs w:val="20"/>
          <w:color w:val="auto"/>
        </w:rPr>
      </w:pPr>
      <w:r>
        <w:rPr>
          <w:rFonts w:ascii="Arial" w:cs="Arial" w:eastAsia="Arial" w:hAnsi="Arial"/>
          <w:sz w:val="16"/>
          <w:szCs w:val="16"/>
          <w:color w:val="auto"/>
        </w:rPr>
        <w:t>As a holding company, Credicorp's ability to make dividend payments, if any, and to pay corporate expenses will be dependent primarily upon the receipt of dividends and other distributions from its operating subsidiaries. Credicorp's principal subsidiaries are BCP, PPS, ASHC and Banco Tequendama. There are various regulatory restrictions on the ability of Credicorp's subsidiaries to pay dividends or make other payments to Credicorp. To the extent Credicorp’s subsidiaries do not have funds available or are otherwise restricted from paying dividends to Credicorp, Credicorp’s ability to pay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31" w:right="239" w:bottom="1440" w:gutter="0" w:footer="0" w:header="0"/>
        </w:sectPr>
      </w:pPr>
    </w:p>
    <w:bookmarkStart w:id="11" w:name="page12"/>
    <w:bookmarkEnd w:id="11"/>
    <w:p>
      <w:pPr>
        <w:jc w:val="both"/>
        <w:spacing w:after="0" w:line="291" w:lineRule="auto"/>
        <w:rPr>
          <w:sz w:val="20"/>
          <w:szCs w:val="20"/>
          <w:color w:val="auto"/>
        </w:rPr>
      </w:pPr>
      <w:r>
        <w:rPr>
          <w:rFonts w:ascii="Arial" w:cs="Arial" w:eastAsia="Arial" w:hAnsi="Arial"/>
          <w:sz w:val="16"/>
          <w:szCs w:val="16"/>
          <w:color w:val="auto"/>
        </w:rPr>
        <w:t>dividends to its shareholders will be adversely affected. Currently, there are no restrictions on the ability of BCP, ASHC, PPS or Banco Tequendama to remit dividends abroad. In addition, the right of Credicorp to participate in any distribution of assets of any subsidiary, including BCP, PPS, ASHC and Banco Tequendama, upon any such subsidiary's liquidation or reorganization or otherwise (and thus the ability of holders of Credicorp securities to benefit indirectly from such distribution), will be subject to the prior claims of creditors of that subsidiary, except to the extent that any claims of Credicorp as a creditor of such subsidiary may be recognized as such. Accordingly, Credicorp’s securities will effectively be subordinated to all existing and future liabilities of Credicorp's subsidiaries, and holders of Credicorp’s securities should look only to the assets of Credicorp for payments.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Loan Portfolio Quality and Composition</w:t>
      </w:r>
    </w:p>
    <w:p>
      <w:pPr>
        <w:spacing w:after="0" w:line="225" w:lineRule="exact"/>
        <w:rPr>
          <w:sz w:val="20"/>
          <w:szCs w:val="20"/>
          <w:color w:val="auto"/>
        </w:rPr>
      </w:pPr>
    </w:p>
    <w:p>
      <w:pPr>
        <w:jc w:val="both"/>
        <w:ind w:firstLine="235"/>
        <w:spacing w:after="0" w:line="287" w:lineRule="auto"/>
        <w:rPr>
          <w:sz w:val="20"/>
          <w:szCs w:val="20"/>
          <w:color w:val="auto"/>
        </w:rPr>
      </w:pPr>
      <w:r>
        <w:rPr>
          <w:rFonts w:ascii="Arial" w:cs="Arial" w:eastAsia="Arial" w:hAnsi="Arial"/>
          <w:sz w:val="16"/>
          <w:szCs w:val="16"/>
          <w:color w:val="auto"/>
        </w:rPr>
        <w:t>Given that a significant percentage of Credicorp’s revenues are related to banking activities, a deterioration of loan quality may have an adverse impact on the financial condition and results of operations of Credicorp. While loan portfolio risk associated with lending to certain economic sectors or clients in certain market segments can be mitigated through adequate diversification policies, Credicorp’s pursuit of opportunities in which it can charge higher interest rates, thereby increasing revenues, may reduce diversification of the loan portfolio and expose Credicorp to greater credit risk. Credicorp believes that significant opportunities exist in middle market and consumer lending in Perú and that Credicorp can, on average, charge higher interest rates on such loans as compared with interest charged on loans in its core corporate banking business, made primarily to clients that operate in industrial and commercial economic sectors. Accordingly, Credicorp’s strategy includes a greater emphasis on middle market and consumer loans, as well as continued growth of its loan portfolio in general. An increase in the portfolio’s exposure to these areas could be accompanied by greater credit risk, not only due to the speed and magnitude of the increase, but also due to the shift to lending to the middle market and consumer sectors, where Credicorp lacks the experience that it has in its more traditional lending activities, particularly corporate lending. Given the changing composition of its loan portfolio, historical loss experience may not be indicative of future loan loss experience.</w:t>
      </w:r>
    </w:p>
    <w:p>
      <w:pPr>
        <w:spacing w:after="0" w:line="3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Bank Regulatory Matters</w:t>
      </w:r>
    </w:p>
    <w:p>
      <w:pPr>
        <w:spacing w:after="0" w:line="225" w:lineRule="exact"/>
        <w:rPr>
          <w:sz w:val="20"/>
          <w:szCs w:val="20"/>
          <w:color w:val="auto"/>
        </w:rPr>
      </w:pPr>
    </w:p>
    <w:p>
      <w:pPr>
        <w:jc w:val="both"/>
        <w:ind w:firstLine="250"/>
        <w:spacing w:after="0" w:line="290" w:lineRule="auto"/>
        <w:rPr>
          <w:sz w:val="20"/>
          <w:szCs w:val="20"/>
          <w:color w:val="auto"/>
        </w:rPr>
      </w:pPr>
      <w:r>
        <w:rPr>
          <w:rFonts w:ascii="Arial" w:cs="Arial" w:eastAsia="Arial" w:hAnsi="Arial"/>
          <w:sz w:val="16"/>
          <w:szCs w:val="16"/>
          <w:color w:val="auto"/>
        </w:rPr>
        <w:t>Credicorp is subject to extensive supervision and regulation in Perú through the SBS’s consolidated supervision regulations. BCP’s operations are supervised and regulated by the SBS and the Banco Central de Reserva (“Central Bank”). Perú’s Constitution and the SBS’s statutory charter grant the SBS the authority to oversee and control banks and other financial institutions. The SBS and the Central Bank have general administrative responsibilities over BCP, including designation of capitalization and reserve requirements. In past years, the Central Bank has, on numerous occasions, changed the deposit reserve requirements applicable to Peruvian commercial banks and both the rate of interest paid on deposit reserves and the amount of deposit reserves on which no interest is payable by the Central Bank. Such changes in the supervision and regulation of BCP, if made in the future, may adversely affect the results of operations and financial condition of Credicorp. See “Item 4. Information on the Company—(B) Business Overview—(11) Supervision and Regulation—(ii) BCP.”</w:t>
      </w:r>
    </w:p>
    <w:p>
      <w:pPr>
        <w:spacing w:after="0" w:line="17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Insurance Business and Regulation</w:t>
      </w:r>
    </w:p>
    <w:p>
      <w:pPr>
        <w:spacing w:after="0" w:line="225" w:lineRule="exact"/>
        <w:rPr>
          <w:sz w:val="20"/>
          <w:szCs w:val="20"/>
          <w:color w:val="auto"/>
        </w:rPr>
      </w:pPr>
    </w:p>
    <w:p>
      <w:pPr>
        <w:jc w:val="both"/>
        <w:ind w:firstLine="310"/>
        <w:spacing w:after="0" w:line="256" w:lineRule="auto"/>
        <w:rPr>
          <w:sz w:val="20"/>
          <w:szCs w:val="20"/>
          <w:color w:val="auto"/>
        </w:rPr>
      </w:pPr>
      <w:r>
        <w:rPr>
          <w:rFonts w:ascii="Arial" w:cs="Arial" w:eastAsia="Arial" w:hAnsi="Arial"/>
          <w:sz w:val="18"/>
          <w:szCs w:val="18"/>
          <w:color w:val="auto"/>
        </w:rPr>
        <w:t>Credicorp’s insurance business, carried out by its subsidiary PPS, is subject to regulation by the SBS. Insurance regulation in Perú is an area of constant change. New legislation or regulations may adversely affect PPS's ability to underwrite and price risks accurately, which in turn would affect underwriting results and business profitability. PPS is unable to predict whether and to what extent new laws and regulations that would affect its business will be adopted in the future, the timing of any such</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3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adoption and what effects any new laws or regulations would have on its operations, profitability and financial condition.</w:t>
      </w:r>
    </w:p>
    <w:p>
      <w:pPr>
        <w:spacing w:after="0" w:line="225" w:lineRule="exact"/>
        <w:rPr>
          <w:sz w:val="20"/>
          <w:szCs w:val="20"/>
          <w:color w:val="auto"/>
        </w:rPr>
      </w:pPr>
    </w:p>
    <w:p>
      <w:pPr>
        <w:jc w:val="both"/>
        <w:ind w:firstLine="231"/>
        <w:spacing w:after="0" w:line="288" w:lineRule="auto"/>
        <w:rPr>
          <w:sz w:val="20"/>
          <w:szCs w:val="20"/>
          <w:color w:val="auto"/>
        </w:rPr>
      </w:pPr>
      <w:r>
        <w:rPr>
          <w:rFonts w:ascii="Arial" w:cs="Arial" w:eastAsia="Arial" w:hAnsi="Arial"/>
          <w:sz w:val="16"/>
          <w:szCs w:val="16"/>
          <w:color w:val="auto"/>
        </w:rPr>
        <w:t>Credicorp's operating performance and financial condition depend on PPS's ability to underwrite and set premium rates accurately for a full spectrum of risks. PPS must generate sufficient premiums to offset losses, loss adjustment expenses and underwriting expenses so it may earn a profit. In order to price premium rates accurately, PPS must collect and analyze a substantial volume of data; develop, test and apply appropriate rating formulae; closely monitor changes in trends in a timely fashion; and project both severity and frequency with reasonable accuracy. If PPS fails to assess accurately the risks that it assumes or does not accurately estimate its retention, it may fail to establish adequate premium rates, which could reduce income and have a material adverse effect on its operating results or financial condition. Moreover, there is inherent uncertainty in the process of establishing property and casualty loss reserves. Reserves are estimates based on actuarial and statistical projections at a given point in time of what PPS ultimately expects to pay out on claims and the cost of adjusting those claims, based on the facts and circumstances then known. Factors affecting these projections include, among others, changes in medical costs, repair costs and regulation. Any negative effect on PPS could have a material adverse effect on Credicorp’s results of operations and financial condition.</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Increased Competition</w:t>
      </w:r>
    </w:p>
    <w:p>
      <w:pPr>
        <w:spacing w:after="0" w:line="225" w:lineRule="exact"/>
        <w:rPr>
          <w:sz w:val="20"/>
          <w:szCs w:val="20"/>
          <w:color w:val="auto"/>
        </w:rPr>
      </w:pPr>
    </w:p>
    <w:p>
      <w:pPr>
        <w:jc w:val="both"/>
        <w:ind w:firstLine="306"/>
        <w:spacing w:after="0" w:line="285" w:lineRule="auto"/>
        <w:rPr>
          <w:sz w:val="20"/>
          <w:szCs w:val="20"/>
          <w:color w:val="auto"/>
        </w:rPr>
      </w:pPr>
      <w:r>
        <w:rPr>
          <w:rFonts w:ascii="Arial" w:cs="Arial" w:eastAsia="Arial" w:hAnsi="Arial"/>
          <w:sz w:val="16"/>
          <w:szCs w:val="16"/>
          <w:color w:val="auto"/>
        </w:rPr>
        <w:t>Despite a recent decrease in interest from major international banks in the Latin American region, BCP has experienced increased competition, including increased pressure on margins, primarily as a result of the presence of highly liquid commercial banks in the market; local and foreign investment banks with substantial capital, technology and marketing resources; and, recently, from local pension funds that lend to BCP’s corporate customers through participation in such customers’ securities issues. Larger Peruvian companies have gained access to new sources of capital, through local and international capital markets, and BCP’s existing and new competitors have increasingly made inroads into the higher-margin middle market and retail banking sectors. Such increased competition, with entrants who may have greater access to capital at lower costs, have affected BCP’s loan growth as well as reduced the average interest rates that BCP can charge its customers. Competitors may also appropriate greater resources and be more successful in the development of technologically advanced products and services that may compete directly with BCP’s products and services, adversely affecting the acceptance of BCP’s products and/or leading to adverse changes in spending and saving habits of BCP’s customer base. If these entities are successful in developing products and services that are more effective or less costly than the products and services developed by BCP, BCP's products and services may be unable to compete successfully. Even if BCP's products and services prove to be more effective than those developed by other entities, such other entities may be more successful in marketing their products and services than BCP because of their greater financial resources, higher sales and marketing capacity, and other factors. BCP may not be able to maintain its market share if it is not able to match its competitors’ loan pricing or keep pace with their development of new products and services. Any negative impact on BCP could have a material adverse effect on Credicorp’s results of operations and financial condition.</w:t>
      </w:r>
    </w:p>
    <w:p>
      <w:pPr>
        <w:spacing w:after="0" w:line="18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Fluctuation and Volatility of Capital Markets and Interest Rates</w:t>
      </w:r>
    </w:p>
    <w:p>
      <w:pPr>
        <w:spacing w:after="0" w:line="225" w:lineRule="exact"/>
        <w:rPr>
          <w:sz w:val="20"/>
          <w:szCs w:val="20"/>
          <w:color w:val="auto"/>
        </w:rPr>
      </w:pPr>
    </w:p>
    <w:p>
      <w:pPr>
        <w:jc w:val="both"/>
        <w:ind w:firstLine="321"/>
        <w:spacing w:after="0" w:line="298" w:lineRule="auto"/>
        <w:rPr>
          <w:sz w:val="20"/>
          <w:szCs w:val="20"/>
          <w:color w:val="auto"/>
        </w:rPr>
      </w:pPr>
      <w:r>
        <w:rPr>
          <w:rFonts w:ascii="Arial" w:cs="Arial" w:eastAsia="Arial" w:hAnsi="Arial"/>
          <w:sz w:val="16"/>
          <w:szCs w:val="16"/>
          <w:color w:val="auto"/>
        </w:rPr>
        <w:t>Credicorp may suffer losses related to the investments by BCP, PPS and other subsidiaries in fixed income and equity securities, and to their respective positions in currency markets, because of changes in market prices, defaults, fluctuations in market interest rates, exchange rates or other reasons. A downturn in the capital markets may lead Credicorp to register net losses due to the decline in the value of these positions, in addition to negative net revenues from trading positions caused by volatility in prices in the financial markets, even in the absence of a general downturn.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31" w:right="239" w:bottom="1440" w:gutter="0" w:footer="0" w:header="0"/>
        </w:sectPr>
      </w:pPr>
    </w:p>
    <w:bookmarkStart w:id="13" w:name="page14"/>
    <w:bookmarkEnd w:id="13"/>
    <w:p>
      <w:pPr>
        <w:jc w:val="both"/>
        <w:ind w:firstLine="242"/>
        <w:spacing w:after="0" w:line="259" w:lineRule="auto"/>
        <w:rPr>
          <w:sz w:val="20"/>
          <w:szCs w:val="20"/>
          <w:color w:val="auto"/>
        </w:rPr>
      </w:pPr>
      <w:r>
        <w:rPr>
          <w:rFonts w:ascii="Arial" w:cs="Arial" w:eastAsia="Arial" w:hAnsi="Arial"/>
          <w:sz w:val="18"/>
          <w:szCs w:val="18"/>
          <w:color w:val="auto"/>
        </w:rPr>
        <w:t>Fluctuations in market interest rates, or changes in the relative structure between short-term interest rates and long-term interest rates, could cause a decrease in interest rates charged on interest-earning assets, relative to interest rates paid on interest-bearing liabilities. Such an occurrence could adversely affect Credicorp’s financial condition by causing a decrease in net interest income.</w:t>
      </w:r>
    </w:p>
    <w:p>
      <w:pPr>
        <w:spacing w:after="0" w:line="194" w:lineRule="exact"/>
        <w:rPr>
          <w:sz w:val="20"/>
          <w:szCs w:val="20"/>
          <w:color w:val="auto"/>
        </w:rPr>
      </w:pPr>
    </w:p>
    <w:p>
      <w:pPr>
        <w:jc w:val="right"/>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INFORMATION ON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History and Development of the Company</w:t>
      </w:r>
    </w:p>
    <w:p>
      <w:pPr>
        <w:spacing w:after="0" w:line="231" w:lineRule="exact"/>
        <w:rPr>
          <w:sz w:val="20"/>
          <w:szCs w:val="20"/>
          <w:color w:val="auto"/>
        </w:rPr>
      </w:pPr>
    </w:p>
    <w:p>
      <w:pPr>
        <w:jc w:val="both"/>
        <w:ind w:firstLine="332"/>
        <w:spacing w:after="0" w:line="255" w:lineRule="auto"/>
        <w:rPr>
          <w:sz w:val="20"/>
          <w:szCs w:val="20"/>
          <w:color w:val="auto"/>
        </w:rPr>
      </w:pPr>
      <w:r>
        <w:rPr>
          <w:rFonts w:ascii="Arial" w:cs="Arial" w:eastAsia="Arial" w:hAnsi="Arial"/>
          <w:sz w:val="18"/>
          <w:szCs w:val="18"/>
          <w:color w:val="auto"/>
        </w:rPr>
        <w:t>Credicorp is a limited liability company incorporated in Bermuda in 1995 to act as a holding company, coordinate the policy and administration of its subsidiaries and engage in investing activities. Credicorp’s principal activity is to coordinate and manage the business plans of its subsidiaries in an effort to implement universal banking services and develop its insurance business, focusing in Perú and Bolivia and with limited investments in other countries of the region. It conducts its financial services business exclusively through its subsidiaries. Credicorp’s address is Calle Centenario 156, La Molina, Lima 12, Perú, and its phone number is 51-1-313-2000.</w:t>
      </w:r>
    </w:p>
    <w:p>
      <w:pPr>
        <w:spacing w:after="0" w:line="197" w:lineRule="exact"/>
        <w:rPr>
          <w:sz w:val="20"/>
          <w:szCs w:val="20"/>
          <w:color w:val="auto"/>
        </w:rPr>
      </w:pPr>
    </w:p>
    <w:p>
      <w:pPr>
        <w:jc w:val="both"/>
        <w:ind w:firstLine="250"/>
        <w:spacing w:after="0" w:line="289" w:lineRule="auto"/>
        <w:rPr>
          <w:sz w:val="20"/>
          <w:szCs w:val="20"/>
          <w:color w:val="auto"/>
        </w:rPr>
      </w:pPr>
      <w:r>
        <w:rPr>
          <w:rFonts w:ascii="Arial" w:cs="Arial" w:eastAsia="Arial" w:hAnsi="Arial"/>
          <w:sz w:val="16"/>
          <w:szCs w:val="16"/>
          <w:color w:val="auto"/>
        </w:rPr>
        <w:t>Credicorp is the largest financial services holding company in Perú and is closely identified with its principal subsidiary, BCP, the country’s largest bank and the leading supplier of integrated financial services in Perú. Credicorp is engaged principally in commercial banking (including trade finance, corporate finance and leasing services), insurance (including commercial property, transportation and marine hull, automobile, life, health and pension fund underwriting insurance) and investment banking (including brokerage services, asset management, and trust, custody and securitization services and proprietary trading and investment). As of December 31, 2003, Credicorp’s total assets were US$8.3 billion and shareholders’ equity was US$910.7 million. Its net income in 2002 and 2003 was US$42.4 million and US$80.6 million, respectively. See “Item 3. Key Information—(A) Selected Financial Data” and “Item 5. Operating and Financial Review and Prospects.” The following table presents certain financial information for Credicorp by principal business segment as of and for the year ended December 31, 2003 (see Note 21 to the Credicorp Consolidated Financial Statements):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70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5120" w:type="dxa"/>
            <w:vAlign w:val="bottom"/>
            <w:gridSpan w:val="6"/>
          </w:tcPr>
          <w:p>
            <w:pPr>
              <w:jc w:val="center"/>
              <w:spacing w:after="0"/>
              <w:rPr>
                <w:sz w:val="20"/>
                <w:szCs w:val="20"/>
                <w:color w:val="auto"/>
              </w:rPr>
            </w:pPr>
            <w:r>
              <w:rPr>
                <w:rFonts w:ascii="Arial" w:cs="Arial" w:eastAsia="Arial" w:hAnsi="Arial"/>
                <w:sz w:val="18"/>
                <w:szCs w:val="18"/>
                <w:b w:val="1"/>
                <w:bCs w:val="1"/>
                <w:color w:val="auto"/>
                <w:w w:val="87"/>
              </w:rPr>
              <w:t>As of and for the Year ended December 31, 2003</w:t>
            </w:r>
          </w:p>
        </w:tc>
      </w:tr>
      <w:tr>
        <w:trPr>
          <w:trHeight w:val="137"/>
        </w:trPr>
        <w:tc>
          <w:tcPr>
            <w:tcW w:w="70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380" w:type="dxa"/>
            <w:vAlign w:val="bottom"/>
            <w:tcBorders>
              <w:bottom w:val="single" w:sz="8" w:color="9A9A9A"/>
            </w:tcBorders>
          </w:tcPr>
          <w:p>
            <w:pPr>
              <w:spacing w:after="0"/>
              <w:rPr>
                <w:sz w:val="11"/>
                <w:szCs w:val="11"/>
                <w:color w:val="auto"/>
              </w:rPr>
            </w:pPr>
          </w:p>
        </w:tc>
      </w:tr>
      <w:tr>
        <w:trPr>
          <w:trHeight w:val="356"/>
        </w:trPr>
        <w:tc>
          <w:tcPr>
            <w:tcW w:w="70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1680" w:type="dxa"/>
            <w:vAlign w:val="bottom"/>
          </w:tcPr>
          <w:p>
            <w:pPr>
              <w:jc w:val="right"/>
              <w:ind w:right="552"/>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4"/>
                <w:szCs w:val="24"/>
                <w:color w:val="auto"/>
              </w:rPr>
            </w:pPr>
          </w:p>
        </w:tc>
        <w:tc>
          <w:tcPr>
            <w:tcW w:w="20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1"/>
              </w:rPr>
              <w:t>Operating</w:t>
            </w:r>
          </w:p>
        </w:tc>
        <w:tc>
          <w:tcPr>
            <w:tcW w:w="1380" w:type="dxa"/>
            <w:vAlign w:val="bottom"/>
          </w:tcPr>
          <w:p>
            <w:pPr>
              <w:jc w:val="right"/>
              <w:ind w:right="592"/>
              <w:spacing w:after="0"/>
              <w:rPr>
                <w:sz w:val="20"/>
                <w:szCs w:val="20"/>
                <w:color w:val="auto"/>
              </w:rPr>
            </w:pPr>
            <w:r>
              <w:rPr>
                <w:rFonts w:ascii="Arial" w:cs="Arial" w:eastAsia="Arial" w:hAnsi="Arial"/>
                <w:sz w:val="18"/>
                <w:szCs w:val="18"/>
                <w:b w:val="1"/>
                <w:bCs w:val="1"/>
                <w:color w:val="auto"/>
              </w:rPr>
              <w:t>Total</w:t>
            </w:r>
          </w:p>
        </w:tc>
      </w:tr>
      <w:tr>
        <w:trPr>
          <w:trHeight w:val="243"/>
        </w:trPr>
        <w:tc>
          <w:tcPr>
            <w:tcW w:w="700" w:type="dxa"/>
            <w:vAlign w:val="bottom"/>
          </w:tcPr>
          <w:p>
            <w:pPr>
              <w:spacing w:after="0"/>
              <w:rPr>
                <w:sz w:val="21"/>
                <w:szCs w:val="21"/>
                <w:color w:val="auto"/>
              </w:rPr>
            </w:pPr>
          </w:p>
        </w:tc>
        <w:tc>
          <w:tcPr>
            <w:tcW w:w="5540" w:type="dxa"/>
            <w:vAlign w:val="bottom"/>
          </w:tcPr>
          <w:p>
            <w:pPr>
              <w:spacing w:after="0"/>
              <w:rPr>
                <w:sz w:val="21"/>
                <w:szCs w:val="21"/>
                <w:color w:val="auto"/>
              </w:rPr>
            </w:pPr>
          </w:p>
        </w:tc>
        <w:tc>
          <w:tcPr>
            <w:tcW w:w="1680" w:type="dxa"/>
            <w:vAlign w:val="bottom"/>
          </w:tcPr>
          <w:p>
            <w:pPr>
              <w:jc w:val="right"/>
              <w:ind w:right="392"/>
              <w:spacing w:after="0"/>
              <w:rPr>
                <w:sz w:val="20"/>
                <w:szCs w:val="20"/>
                <w:color w:val="auto"/>
              </w:rPr>
            </w:pPr>
            <w:r>
              <w:rPr>
                <w:rFonts w:ascii="Arial" w:cs="Arial" w:eastAsia="Arial" w:hAnsi="Arial"/>
                <w:sz w:val="18"/>
                <w:szCs w:val="18"/>
                <w:b w:val="1"/>
                <w:bCs w:val="1"/>
                <w:color w:val="auto"/>
              </w:rPr>
              <w:t>Revenues</w:t>
            </w:r>
          </w:p>
        </w:tc>
        <w:tc>
          <w:tcPr>
            <w:tcW w:w="20" w:type="dxa"/>
            <w:vAlign w:val="bottom"/>
          </w:tcPr>
          <w:p>
            <w:pPr>
              <w:spacing w:after="0"/>
              <w:rPr>
                <w:sz w:val="21"/>
                <w:szCs w:val="21"/>
                <w:color w:val="auto"/>
              </w:rPr>
            </w:pPr>
          </w:p>
        </w:tc>
        <w:tc>
          <w:tcPr>
            <w:tcW w:w="20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8"/>
              </w:rPr>
              <w:t>Income</w:t>
            </w:r>
          </w:p>
        </w:tc>
        <w:tc>
          <w:tcPr>
            <w:tcW w:w="1380" w:type="dxa"/>
            <w:vAlign w:val="bottom"/>
          </w:tcPr>
          <w:p>
            <w:pPr>
              <w:jc w:val="right"/>
              <w:ind w:right="552"/>
              <w:spacing w:after="0"/>
              <w:rPr>
                <w:sz w:val="20"/>
                <w:szCs w:val="20"/>
                <w:color w:val="auto"/>
              </w:rPr>
            </w:pPr>
            <w:r>
              <w:rPr>
                <w:rFonts w:ascii="Arial" w:cs="Arial" w:eastAsia="Arial" w:hAnsi="Arial"/>
                <w:sz w:val="18"/>
                <w:szCs w:val="18"/>
                <w:b w:val="1"/>
                <w:bCs w:val="1"/>
                <w:color w:val="auto"/>
              </w:rPr>
              <w:t>Assets</w:t>
            </w:r>
          </w:p>
        </w:tc>
      </w:tr>
      <w:tr>
        <w:trPr>
          <w:trHeight w:val="137"/>
        </w:trPr>
        <w:tc>
          <w:tcPr>
            <w:tcW w:w="70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380" w:type="dxa"/>
            <w:vAlign w:val="bottom"/>
            <w:tcBorders>
              <w:bottom w:val="single" w:sz="8" w:color="9A9A9A"/>
            </w:tcBorders>
          </w:tcPr>
          <w:p>
            <w:pPr>
              <w:spacing w:after="0"/>
              <w:rPr>
                <w:sz w:val="11"/>
                <w:szCs w:val="11"/>
                <w:color w:val="auto"/>
              </w:rPr>
            </w:pPr>
          </w:p>
        </w:tc>
      </w:tr>
      <w:tr>
        <w:trPr>
          <w:trHeight w:val="356"/>
        </w:trPr>
        <w:tc>
          <w:tcPr>
            <w:tcW w:w="70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3740" w:type="dxa"/>
            <w:vAlign w:val="bottom"/>
            <w:gridSpan w:val="5"/>
          </w:tcPr>
          <w:p>
            <w:pPr>
              <w:jc w:val="center"/>
              <w:ind w:left="1272"/>
              <w:spacing w:after="0"/>
              <w:rPr>
                <w:sz w:val="20"/>
                <w:szCs w:val="20"/>
                <w:color w:val="auto"/>
              </w:rPr>
            </w:pPr>
            <w:r>
              <w:rPr>
                <w:rFonts w:ascii="Arial" w:cs="Arial" w:eastAsia="Arial" w:hAnsi="Arial"/>
                <w:sz w:val="18"/>
                <w:szCs w:val="18"/>
                <w:i w:val="1"/>
                <w:iCs w:val="1"/>
                <w:color w:val="auto"/>
                <w:w w:val="92"/>
              </w:rPr>
              <w:t>(U.S. Dollars in millions)</w:t>
            </w:r>
          </w:p>
        </w:tc>
        <w:tc>
          <w:tcPr>
            <w:tcW w:w="1380" w:type="dxa"/>
            <w:vAlign w:val="bottom"/>
          </w:tcPr>
          <w:p>
            <w:pPr>
              <w:spacing w:after="0"/>
              <w:rPr>
                <w:sz w:val="24"/>
                <w:szCs w:val="24"/>
                <w:color w:val="auto"/>
              </w:rPr>
            </w:pPr>
          </w:p>
        </w:tc>
      </w:tr>
      <w:tr>
        <w:trPr>
          <w:trHeight w:val="243"/>
        </w:trPr>
        <w:tc>
          <w:tcPr>
            <w:tcW w:w="6240" w:type="dxa"/>
            <w:vAlign w:val="bottom"/>
            <w:gridSpan w:val="2"/>
          </w:tcPr>
          <w:p>
            <w:pPr>
              <w:spacing w:after="0"/>
              <w:rPr>
                <w:sz w:val="20"/>
                <w:szCs w:val="20"/>
                <w:color w:val="auto"/>
              </w:rPr>
            </w:pPr>
            <w:r>
              <w:rPr>
                <w:rFonts w:ascii="Arial" w:cs="Arial" w:eastAsia="Arial" w:hAnsi="Arial"/>
                <w:sz w:val="18"/>
                <w:szCs w:val="18"/>
                <w:color w:val="auto"/>
              </w:rPr>
              <w:t>Commercial Banking</w:t>
            </w:r>
          </w:p>
        </w:tc>
        <w:tc>
          <w:tcPr>
            <w:tcW w:w="1680" w:type="dxa"/>
            <w:vAlign w:val="bottom"/>
          </w:tcPr>
          <w:p>
            <w:pPr>
              <w:jc w:val="right"/>
              <w:spacing w:after="0"/>
              <w:rPr>
                <w:sz w:val="20"/>
                <w:szCs w:val="20"/>
                <w:color w:val="auto"/>
              </w:rPr>
            </w:pPr>
            <w:r>
              <w:rPr>
                <w:rFonts w:ascii="Arial" w:cs="Arial" w:eastAsia="Arial" w:hAnsi="Arial"/>
                <w:sz w:val="18"/>
                <w:szCs w:val="18"/>
                <w:color w:val="auto"/>
              </w:rPr>
              <w:t>US$ 703</w:t>
            </w:r>
          </w:p>
        </w:tc>
        <w:tc>
          <w:tcPr>
            <w:tcW w:w="20" w:type="dxa"/>
            <w:vAlign w:val="bottom"/>
          </w:tcPr>
          <w:p>
            <w:pPr>
              <w:spacing w:after="0"/>
              <w:rPr>
                <w:sz w:val="21"/>
                <w:szCs w:val="21"/>
                <w:color w:val="auto"/>
              </w:rPr>
            </w:pPr>
          </w:p>
        </w:tc>
        <w:tc>
          <w:tcPr>
            <w:tcW w:w="2040" w:type="dxa"/>
            <w:vAlign w:val="bottom"/>
            <w:gridSpan w:val="3"/>
          </w:tcPr>
          <w:p>
            <w:pPr>
              <w:jc w:val="right"/>
              <w:ind w:right="340"/>
              <w:spacing w:after="0"/>
              <w:rPr>
                <w:sz w:val="20"/>
                <w:szCs w:val="20"/>
                <w:color w:val="auto"/>
              </w:rPr>
            </w:pPr>
            <w:r>
              <w:rPr>
                <w:rFonts w:ascii="Arial" w:cs="Arial" w:eastAsia="Arial" w:hAnsi="Arial"/>
                <w:sz w:val="18"/>
                <w:szCs w:val="18"/>
                <w:color w:val="auto"/>
              </w:rPr>
              <w:t>US$ 364</w:t>
            </w:r>
          </w:p>
        </w:tc>
        <w:tc>
          <w:tcPr>
            <w:tcW w:w="1380" w:type="dxa"/>
            <w:vAlign w:val="bottom"/>
          </w:tcPr>
          <w:p>
            <w:pPr>
              <w:jc w:val="right"/>
              <w:spacing w:after="0"/>
              <w:rPr>
                <w:sz w:val="20"/>
                <w:szCs w:val="20"/>
                <w:color w:val="auto"/>
              </w:rPr>
            </w:pPr>
            <w:r>
              <w:rPr>
                <w:rFonts w:ascii="Arial" w:cs="Arial" w:eastAsia="Arial" w:hAnsi="Arial"/>
                <w:sz w:val="18"/>
                <w:szCs w:val="18"/>
                <w:color w:val="auto"/>
              </w:rPr>
              <w:t>US$6,912</w:t>
            </w:r>
          </w:p>
        </w:tc>
      </w:tr>
      <w:tr>
        <w:trPr>
          <w:trHeight w:val="243"/>
        </w:trPr>
        <w:tc>
          <w:tcPr>
            <w:tcW w:w="6240" w:type="dxa"/>
            <w:vAlign w:val="bottom"/>
            <w:gridSpan w:val="2"/>
          </w:tcPr>
          <w:p>
            <w:pPr>
              <w:spacing w:after="0"/>
              <w:rPr>
                <w:sz w:val="20"/>
                <w:szCs w:val="20"/>
                <w:color w:val="auto"/>
              </w:rPr>
            </w:pPr>
            <w:r>
              <w:rPr>
                <w:rFonts w:ascii="Arial" w:cs="Arial" w:eastAsia="Arial" w:hAnsi="Arial"/>
                <w:sz w:val="18"/>
                <w:szCs w:val="18"/>
                <w:color w:val="auto"/>
              </w:rPr>
              <w:t>Insurance</w:t>
            </w:r>
          </w:p>
        </w:tc>
        <w:tc>
          <w:tcPr>
            <w:tcW w:w="1680" w:type="dxa"/>
            <w:vAlign w:val="bottom"/>
          </w:tcPr>
          <w:p>
            <w:pPr>
              <w:jc w:val="right"/>
              <w:spacing w:after="0"/>
              <w:rPr>
                <w:sz w:val="20"/>
                <w:szCs w:val="20"/>
                <w:color w:val="auto"/>
              </w:rPr>
            </w:pPr>
            <w:r>
              <w:rPr>
                <w:rFonts w:ascii="Arial" w:cs="Arial" w:eastAsia="Arial" w:hAnsi="Arial"/>
                <w:sz w:val="18"/>
                <w:szCs w:val="18"/>
                <w:color w:val="auto"/>
              </w:rPr>
              <w:t>125</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587</w:t>
            </w:r>
          </w:p>
        </w:tc>
      </w:tr>
      <w:tr>
        <w:trPr>
          <w:trHeight w:val="243"/>
        </w:trPr>
        <w:tc>
          <w:tcPr>
            <w:tcW w:w="6240" w:type="dxa"/>
            <w:vAlign w:val="bottom"/>
            <w:gridSpan w:val="2"/>
          </w:tcPr>
          <w:p>
            <w:pPr>
              <w:spacing w:after="0"/>
              <w:rPr>
                <w:sz w:val="20"/>
                <w:szCs w:val="20"/>
                <w:color w:val="auto"/>
              </w:rPr>
            </w:pPr>
            <w:r>
              <w:rPr>
                <w:rFonts w:ascii="Arial" w:cs="Arial" w:eastAsia="Arial" w:hAnsi="Arial"/>
                <w:sz w:val="18"/>
                <w:szCs w:val="18"/>
                <w:color w:val="auto"/>
              </w:rPr>
              <w:t>Investment Banking</w:t>
            </w:r>
          </w:p>
        </w:tc>
        <w:tc>
          <w:tcPr>
            <w:tcW w:w="1680" w:type="dxa"/>
            <w:vAlign w:val="bottom"/>
          </w:tcPr>
          <w:p>
            <w:pPr>
              <w:jc w:val="right"/>
              <w:spacing w:after="0"/>
              <w:rPr>
                <w:sz w:val="20"/>
                <w:szCs w:val="20"/>
                <w:color w:val="auto"/>
              </w:rPr>
            </w:pPr>
            <w:r>
              <w:rPr>
                <w:rFonts w:ascii="Arial" w:cs="Arial" w:eastAsia="Arial" w:hAnsi="Arial"/>
                <w:sz w:val="18"/>
                <w:szCs w:val="18"/>
                <w:color w:val="auto"/>
              </w:rPr>
              <w:t>84</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795</w:t>
            </w:r>
          </w:p>
        </w:tc>
      </w:tr>
      <w:tr>
        <w:trPr>
          <w:trHeight w:val="137"/>
        </w:trPr>
        <w:tc>
          <w:tcPr>
            <w:tcW w:w="70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380" w:type="dxa"/>
            <w:vAlign w:val="bottom"/>
            <w:tcBorders>
              <w:bottom w:val="single" w:sz="8" w:color="9A9A9A"/>
            </w:tcBorders>
          </w:tcPr>
          <w:p>
            <w:pPr>
              <w:spacing w:after="0"/>
              <w:rPr>
                <w:sz w:val="11"/>
                <w:szCs w:val="11"/>
                <w:color w:val="auto"/>
              </w:rPr>
            </w:pPr>
          </w:p>
        </w:tc>
      </w:tr>
      <w:tr>
        <w:trPr>
          <w:trHeight w:val="318"/>
        </w:trPr>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Credicorp</w:t>
            </w:r>
          </w:p>
        </w:tc>
        <w:tc>
          <w:tcPr>
            <w:tcW w:w="554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US$ 912</w:t>
            </w:r>
          </w:p>
        </w:tc>
        <w:tc>
          <w:tcPr>
            <w:tcW w:w="20" w:type="dxa"/>
            <w:vAlign w:val="bottom"/>
          </w:tcPr>
          <w:p>
            <w:pPr>
              <w:spacing w:after="0"/>
              <w:rPr>
                <w:sz w:val="24"/>
                <w:szCs w:val="24"/>
                <w:color w:val="auto"/>
              </w:rPr>
            </w:pPr>
          </w:p>
        </w:tc>
        <w:tc>
          <w:tcPr>
            <w:tcW w:w="2040" w:type="dxa"/>
            <w:vAlign w:val="bottom"/>
            <w:gridSpan w:val="3"/>
          </w:tcPr>
          <w:p>
            <w:pPr>
              <w:jc w:val="right"/>
              <w:ind w:right="340"/>
              <w:spacing w:after="0"/>
              <w:rPr>
                <w:sz w:val="20"/>
                <w:szCs w:val="20"/>
                <w:color w:val="auto"/>
              </w:rPr>
            </w:pPr>
            <w:r>
              <w:rPr>
                <w:rFonts w:ascii="Arial" w:cs="Arial" w:eastAsia="Arial" w:hAnsi="Arial"/>
                <w:sz w:val="18"/>
                <w:szCs w:val="18"/>
                <w:color w:val="auto"/>
              </w:rPr>
              <w:t>US$ 411</w:t>
            </w:r>
          </w:p>
        </w:tc>
        <w:tc>
          <w:tcPr>
            <w:tcW w:w="1380" w:type="dxa"/>
            <w:vAlign w:val="bottom"/>
          </w:tcPr>
          <w:p>
            <w:pPr>
              <w:jc w:val="right"/>
              <w:spacing w:after="0"/>
              <w:rPr>
                <w:sz w:val="20"/>
                <w:szCs w:val="20"/>
                <w:color w:val="auto"/>
              </w:rPr>
            </w:pPr>
            <w:r>
              <w:rPr>
                <w:rFonts w:ascii="Arial" w:cs="Arial" w:eastAsia="Arial" w:hAnsi="Arial"/>
                <w:sz w:val="18"/>
                <w:szCs w:val="18"/>
                <w:color w:val="auto"/>
              </w:rPr>
              <w:t>US$8,294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-1504315</wp:posOffset>
            </wp:positionV>
            <wp:extent cx="3429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-1024255</wp:posOffset>
            </wp:positionV>
            <wp:extent cx="3429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-1024255</wp:posOffset>
            </wp:positionV>
            <wp:extent cx="3429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-1024255</wp:posOffset>
            </wp:positionV>
            <wp:extent cx="3429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-234950</wp:posOffset>
            </wp:positionV>
            <wp:extent cx="3429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-234950</wp:posOffset>
            </wp:positionV>
            <wp:extent cx="3429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-234950</wp:posOffset>
            </wp:positionV>
            <wp:extent cx="3429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42" w:lineRule="exact"/>
        <w:rPr>
          <w:sz w:val="20"/>
          <w:szCs w:val="20"/>
          <w:color w:val="auto"/>
        </w:rPr>
      </w:pPr>
    </w:p>
    <w:p>
      <w:pPr>
        <w:jc w:val="both"/>
        <w:ind w:firstLine="298"/>
        <w:spacing w:after="0" w:line="255" w:lineRule="auto"/>
        <w:rPr>
          <w:sz w:val="20"/>
          <w:szCs w:val="20"/>
          <w:color w:val="auto"/>
        </w:rPr>
      </w:pPr>
      <w:r>
        <w:rPr>
          <w:rFonts w:ascii="Arial" w:cs="Arial" w:eastAsia="Arial" w:hAnsi="Arial"/>
          <w:sz w:val="18"/>
          <w:szCs w:val="18"/>
          <w:color w:val="auto"/>
        </w:rPr>
        <w:t>Credicorp conducts its commercial banking and investment banking activities primarily through BCP, the largest (in terms of total assets, loans, deposits, shareholders’ equity and net income) full service Peruvian commercial bank (“Peruvian commercial bank,” “Peruvian insurance company” and similar terms when used in this Annual Report do not include the assets, results or operations of any foreign parent company of such Peruvian entity or the foreign subsidiaries thereof), and ASHC, a diversified financial services company. Credicorp’s insurance activities are conducted through PPS, the largest Peruvian insurance company in terms of premiums written and net income.</w:t>
      </w:r>
    </w:p>
    <w:p>
      <w:pPr>
        <w:spacing w:after="0" w:line="197" w:lineRule="exact"/>
        <w:rPr>
          <w:sz w:val="20"/>
          <w:szCs w:val="20"/>
          <w:color w:val="auto"/>
        </w:rPr>
      </w:pPr>
    </w:p>
    <w:p>
      <w:pPr>
        <w:jc w:val="both"/>
        <w:ind w:right="20" w:firstLine="251"/>
        <w:spacing w:after="0" w:line="332" w:lineRule="auto"/>
        <w:rPr>
          <w:sz w:val="20"/>
          <w:szCs w:val="20"/>
          <w:color w:val="auto"/>
        </w:rPr>
      </w:pPr>
      <w:r>
        <w:rPr>
          <w:rFonts w:ascii="Arial" w:cs="Arial" w:eastAsia="Arial" w:hAnsi="Arial"/>
          <w:sz w:val="16"/>
          <w:szCs w:val="16"/>
          <w:color w:val="auto"/>
        </w:rPr>
        <w:t>Credicorp was formed in 1995 for the purpose of acquiring, through an exchange offer (the “Exchange Offer”), the common shares of BCP, ASHC and PPS. Pursuant to the Exchange Offer, in October 1995, Credicorp acquired 90.1% of BCP; 98.2% of ASHC; and 75.8% of PPS. Credicorp</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3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acquired the remaining 1.8% outstanding shares of ASHC in March 1996, pursuant to a further exchange offer.</w:t>
      </w:r>
    </w:p>
    <w:p>
      <w:pPr>
        <w:spacing w:after="0" w:line="225" w:lineRule="exact"/>
        <w:rPr>
          <w:sz w:val="20"/>
          <w:szCs w:val="20"/>
          <w:color w:val="auto"/>
        </w:rPr>
      </w:pPr>
    </w:p>
    <w:p>
      <w:pPr>
        <w:jc w:val="both"/>
        <w:ind w:firstLine="299"/>
        <w:spacing w:after="0" w:line="268" w:lineRule="auto"/>
        <w:rPr>
          <w:sz w:val="20"/>
          <w:szCs w:val="20"/>
          <w:color w:val="auto"/>
        </w:rPr>
      </w:pPr>
      <w:r>
        <w:rPr>
          <w:rFonts w:ascii="Arial" w:cs="Arial" w:eastAsia="Arial" w:hAnsi="Arial"/>
          <w:sz w:val="18"/>
          <w:szCs w:val="18"/>
          <w:color w:val="auto"/>
        </w:rPr>
        <w:t>In December 1995, Credicorp purchased 99.99% of Inversiones Crédito, a non-financial entity with assets of US$50.0 million, with principal investments currently in shares of Peruvian electric utilities.</w:t>
      </w:r>
    </w:p>
    <w:p>
      <w:pPr>
        <w:spacing w:after="0" w:line="186" w:lineRule="exact"/>
        <w:rPr>
          <w:sz w:val="20"/>
          <w:szCs w:val="20"/>
          <w:color w:val="auto"/>
        </w:rPr>
      </w:pPr>
    </w:p>
    <w:p>
      <w:pPr>
        <w:jc w:val="both"/>
        <w:ind w:right="20" w:firstLine="388"/>
        <w:spacing w:after="0" w:line="306" w:lineRule="auto"/>
        <w:rPr>
          <w:sz w:val="20"/>
          <w:szCs w:val="20"/>
          <w:color w:val="auto"/>
        </w:rPr>
      </w:pPr>
      <w:r>
        <w:rPr>
          <w:rFonts w:ascii="Arial" w:cs="Arial" w:eastAsia="Arial" w:hAnsi="Arial"/>
          <w:sz w:val="16"/>
          <w:szCs w:val="16"/>
          <w:color w:val="auto"/>
        </w:rPr>
        <w:t>In January 1997, Credicorp purchased 99.99% of a Colombian banking concern, Banco Tequendama, which has US$293.9 million in assets. Banco Tequendama operated branches in Venezuela until December 2002 when such branches were sold. This sale is reflected in Credicorp’s financial statements for the year ended December 31, 2002, although regulatory requirements were not satisfied until February 2003.</w:t>
      </w:r>
    </w:p>
    <w:p>
      <w:pPr>
        <w:spacing w:after="0" w:line="161" w:lineRule="exact"/>
        <w:rPr>
          <w:sz w:val="20"/>
          <w:szCs w:val="20"/>
          <w:color w:val="auto"/>
        </w:rPr>
      </w:pPr>
    </w:p>
    <w:p>
      <w:pPr>
        <w:jc w:val="both"/>
        <w:ind w:firstLine="262"/>
        <w:spacing w:after="0" w:line="256" w:lineRule="auto"/>
        <w:rPr>
          <w:sz w:val="20"/>
          <w:szCs w:val="20"/>
          <w:color w:val="auto"/>
        </w:rPr>
      </w:pPr>
      <w:r>
        <w:rPr>
          <w:rFonts w:ascii="Arial" w:cs="Arial" w:eastAsia="Arial" w:hAnsi="Arial"/>
          <w:sz w:val="18"/>
          <w:szCs w:val="18"/>
          <w:color w:val="auto"/>
        </w:rPr>
        <w:t>In December 1997, Credicorp purchased 97.0% of Banco Capital, a Salvadoran bank, and 100% of Casa de Bolsa Capital, a Salvadoran brokerage firm, for US$5.9 million and US$800,000, respectively. Credicorp later increased its stake in Banco Capital to 99.5%, which was subsequently sold in its entirety to another Salvadoran bank in November 2001 for US$32.3 million, resulting in a US$6.3 million profit. Casa de Bolsa Capital was subsequently liquidated during 2002.</w:t>
      </w:r>
    </w:p>
    <w:p>
      <w:pPr>
        <w:spacing w:after="0" w:line="197" w:lineRule="exact"/>
        <w:rPr>
          <w:sz w:val="20"/>
          <w:szCs w:val="20"/>
          <w:color w:val="auto"/>
        </w:rPr>
      </w:pPr>
    </w:p>
    <w:p>
      <w:pPr>
        <w:jc w:val="both"/>
        <w:ind w:firstLine="245"/>
        <w:spacing w:after="0" w:line="294" w:lineRule="auto"/>
        <w:rPr>
          <w:sz w:val="20"/>
          <w:szCs w:val="20"/>
          <w:color w:val="auto"/>
        </w:rPr>
      </w:pPr>
      <w:r>
        <w:rPr>
          <w:rFonts w:ascii="Arial" w:cs="Arial" w:eastAsia="Arial" w:hAnsi="Arial"/>
          <w:sz w:val="16"/>
          <w:szCs w:val="16"/>
          <w:color w:val="auto"/>
        </w:rPr>
        <w:t>In August 1997, Credicorp acquired 39.5% of Banco de Crédito de Bolivia (“BCB”) from BCP for US$9.2 million. In July 1998, Credicorp acquired 97% of Banco de La Paz, a Bolivian bank with US$52.1 million in assets, which was subsequently merged with BCB in January 1999, at which time Credicorp also increased its beneficial ownership of BCB to 55.79%, with BCP owning, directly or indirectly, 44.21%. In November 2001, BCP bought back a 53.1% stake from Credicorp for US$30.0 million. As of December 31, 2003, BCB operated 46 branches located throughout Bolivia. BCB’s results have been consolidated in the BCP financial statements since the date of its acquisition in November 1993.</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following tables show the organization of Credicorp and its principal subsidiaries as of December 31, 2003 and their relative percentage contribution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Credicorp’s total assets, total revenues, net income and shareholders’ equity at the same date (see “—(C) Organizational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144145</wp:posOffset>
            </wp:positionV>
            <wp:extent cx="4768215" cy="14236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768215" cy="1423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31" w:right="239" w:bottom="1440" w:gutter="0" w:footer="0" w:header="0"/>
        </w:sectPr>
      </w:pPr>
    </w:p>
    <w:bookmarkStart w:id="15" w:name="page16"/>
    <w:bookmarkEnd w:id="15"/>
    <w:tbl>
      <w:tblPr>
        <w:tblLayout w:type="fixed"/>
        <w:tblInd w:w="40" w:type="dxa"/>
        <w:tblCellMar>
          <w:top w:w="0" w:type="dxa"/>
          <w:left w:w="0" w:type="dxa"/>
          <w:bottom w:w="0" w:type="dxa"/>
          <w:right w:w="0" w:type="dxa"/>
        </w:tblCellMar>
      </w:tblPr>
      <w:tr>
        <w:trPr>
          <w:trHeight w:val="228"/>
        </w:trPr>
        <w:tc>
          <w:tcPr>
            <w:tcW w:w="4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20" w:type="dxa"/>
            <w:vAlign w:val="bottom"/>
            <w:gridSpan w:val="8"/>
          </w:tcPr>
          <w:p>
            <w:pPr>
              <w:ind w:left="380"/>
              <w:spacing w:after="0"/>
              <w:rPr>
                <w:sz w:val="20"/>
                <w:szCs w:val="20"/>
                <w:color w:val="auto"/>
              </w:rPr>
            </w:pPr>
            <w:r>
              <w:rPr>
                <w:rFonts w:ascii="Arial" w:cs="Arial" w:eastAsia="Arial" w:hAnsi="Arial"/>
                <w:sz w:val="18"/>
                <w:szCs w:val="18"/>
                <w:b w:val="1"/>
                <w:bCs w:val="1"/>
                <w:color w:val="auto"/>
                <w:w w:val="89"/>
              </w:rPr>
              <w:t>As of and for the Year ended December 31,2003</w:t>
            </w:r>
            <w:r>
              <w:rPr>
                <w:rFonts w:ascii="Arial" w:cs="Arial" w:eastAsia="Arial" w:hAnsi="Arial"/>
                <w:sz w:val="18"/>
                <w:szCs w:val="18"/>
                <w:color w:val="auto"/>
                <w:w w:val="89"/>
              </w:rPr>
              <w:t>(2)</w:t>
            </w:r>
          </w:p>
        </w:tc>
        <w:tc>
          <w:tcPr>
            <w:tcW w:w="1460" w:type="dxa"/>
            <w:vAlign w:val="bottom"/>
          </w:tcPr>
          <w:p>
            <w:pPr>
              <w:spacing w:after="0"/>
              <w:rPr>
                <w:sz w:val="19"/>
                <w:szCs w:val="19"/>
                <w:color w:val="auto"/>
              </w:rPr>
            </w:pPr>
          </w:p>
        </w:tc>
      </w:tr>
      <w:tr>
        <w:trPr>
          <w:trHeight w:val="137"/>
        </w:trPr>
        <w:tc>
          <w:tcPr>
            <w:tcW w:w="4540" w:type="dxa"/>
            <w:vAlign w:val="bottom"/>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460" w:type="dxa"/>
            <w:vAlign w:val="bottom"/>
            <w:tcBorders>
              <w:bottom w:val="single" w:sz="8" w:color="9A9A9A"/>
            </w:tcBorders>
          </w:tcPr>
          <w:p>
            <w:pPr>
              <w:spacing w:after="0"/>
              <w:rPr>
                <w:sz w:val="11"/>
                <w:szCs w:val="11"/>
                <w:color w:val="auto"/>
              </w:rPr>
            </w:pPr>
          </w:p>
        </w:tc>
      </w:tr>
      <w:tr>
        <w:trPr>
          <w:trHeight w:val="344"/>
        </w:trPr>
        <w:tc>
          <w:tcPr>
            <w:tcW w:w="4540" w:type="dxa"/>
            <w:vAlign w:val="bottom"/>
          </w:tcPr>
          <w:p>
            <w:pPr>
              <w:spacing w:after="0"/>
              <w:rPr>
                <w:sz w:val="24"/>
                <w:szCs w:val="24"/>
                <w:color w:val="auto"/>
              </w:rPr>
            </w:pPr>
          </w:p>
        </w:tc>
        <w:tc>
          <w:tcPr>
            <w:tcW w:w="1140" w:type="dxa"/>
            <w:vAlign w:val="bottom"/>
          </w:tcPr>
          <w:p>
            <w:pPr>
              <w:jc w:val="center"/>
              <w:ind w:left="432"/>
              <w:spacing w:after="0"/>
              <w:rPr>
                <w:sz w:val="20"/>
                <w:szCs w:val="20"/>
                <w:color w:val="auto"/>
              </w:rPr>
            </w:pPr>
            <w:r>
              <w:rPr>
                <w:rFonts w:ascii="Arial" w:cs="Arial" w:eastAsia="Arial" w:hAnsi="Arial"/>
                <w:sz w:val="18"/>
                <w:szCs w:val="18"/>
                <w:b w:val="1"/>
                <w:bCs w:val="1"/>
                <w:color w:val="auto"/>
                <w:w w:val="88"/>
              </w:rPr>
              <w:t>Total</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jc w:val="center"/>
              <w:ind w:left="412"/>
              <w:spacing w:after="0"/>
              <w:rPr>
                <w:sz w:val="20"/>
                <w:szCs w:val="20"/>
                <w:color w:val="auto"/>
              </w:rPr>
            </w:pPr>
            <w:r>
              <w:rPr>
                <w:rFonts w:ascii="Arial" w:cs="Arial" w:eastAsia="Arial" w:hAnsi="Arial"/>
                <w:sz w:val="18"/>
                <w:szCs w:val="18"/>
                <w:b w:val="1"/>
                <w:bCs w:val="1"/>
                <w:color w:val="auto"/>
                <w:w w:val="88"/>
              </w:rPr>
              <w:t>Total</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Net Income</w:t>
            </w:r>
          </w:p>
        </w:tc>
        <w:tc>
          <w:tcPr>
            <w:tcW w:w="1460" w:type="dxa"/>
            <w:vAlign w:val="bottom"/>
          </w:tcPr>
          <w:p>
            <w:pPr>
              <w:jc w:val="right"/>
              <w:ind w:right="232"/>
              <w:spacing w:after="0"/>
              <w:rPr>
                <w:sz w:val="20"/>
                <w:szCs w:val="20"/>
                <w:color w:val="auto"/>
              </w:rPr>
            </w:pPr>
            <w:r>
              <w:rPr>
                <w:rFonts w:ascii="Arial" w:cs="Arial" w:eastAsia="Arial" w:hAnsi="Arial"/>
                <w:sz w:val="18"/>
                <w:szCs w:val="18"/>
                <w:b w:val="1"/>
                <w:bCs w:val="1"/>
                <w:color w:val="auto"/>
                <w:w w:val="93"/>
              </w:rPr>
              <w:t>Shareholders’</w:t>
            </w:r>
          </w:p>
        </w:tc>
      </w:tr>
      <w:tr>
        <w:trPr>
          <w:trHeight w:val="228"/>
        </w:trPr>
        <w:tc>
          <w:tcPr>
            <w:tcW w:w="4540" w:type="dxa"/>
            <w:vAlign w:val="bottom"/>
          </w:tcPr>
          <w:p>
            <w:pPr>
              <w:spacing w:after="0"/>
              <w:rPr>
                <w:sz w:val="19"/>
                <w:szCs w:val="19"/>
                <w:color w:val="auto"/>
              </w:rPr>
            </w:pPr>
          </w:p>
        </w:tc>
        <w:tc>
          <w:tcPr>
            <w:tcW w:w="1140" w:type="dxa"/>
            <w:vAlign w:val="bottom"/>
          </w:tcPr>
          <w:p>
            <w:pPr>
              <w:jc w:val="center"/>
              <w:ind w:left="452"/>
              <w:spacing w:after="0"/>
              <w:rPr>
                <w:sz w:val="20"/>
                <w:szCs w:val="20"/>
                <w:color w:val="auto"/>
              </w:rPr>
            </w:pPr>
            <w:r>
              <w:rPr>
                <w:rFonts w:ascii="Arial" w:cs="Arial" w:eastAsia="Arial" w:hAnsi="Arial"/>
                <w:sz w:val="18"/>
                <w:szCs w:val="18"/>
                <w:b w:val="1"/>
                <w:bCs w:val="1"/>
                <w:color w:val="auto"/>
                <w:w w:val="81"/>
              </w:rPr>
              <w:t>Assets</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Pr>
          <w:p>
            <w:pPr>
              <w:jc w:val="center"/>
              <w:ind w:left="432"/>
              <w:spacing w:after="0"/>
              <w:rPr>
                <w:sz w:val="20"/>
                <w:szCs w:val="20"/>
                <w:color w:val="auto"/>
              </w:rPr>
            </w:pPr>
            <w:r>
              <w:rPr>
                <w:rFonts w:ascii="Arial" w:cs="Arial" w:eastAsia="Arial" w:hAnsi="Arial"/>
                <w:sz w:val="18"/>
                <w:szCs w:val="18"/>
                <w:b w:val="1"/>
                <w:bCs w:val="1"/>
                <w:color w:val="auto"/>
                <w:w w:val="85"/>
              </w:rPr>
              <w:t>Revenue</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5"/>
              </w:rPr>
              <w:t>(Loss)</w:t>
            </w:r>
          </w:p>
        </w:tc>
        <w:tc>
          <w:tcPr>
            <w:tcW w:w="1460" w:type="dxa"/>
            <w:vAlign w:val="bottom"/>
          </w:tcPr>
          <w:p>
            <w:pPr>
              <w:jc w:val="right"/>
              <w:ind w:right="512"/>
              <w:spacing w:after="0"/>
              <w:rPr>
                <w:sz w:val="20"/>
                <w:szCs w:val="20"/>
                <w:color w:val="auto"/>
              </w:rPr>
            </w:pPr>
            <w:r>
              <w:rPr>
                <w:rFonts w:ascii="Arial" w:cs="Arial" w:eastAsia="Arial" w:hAnsi="Arial"/>
                <w:sz w:val="18"/>
                <w:szCs w:val="18"/>
                <w:b w:val="1"/>
                <w:bCs w:val="1"/>
                <w:color w:val="auto"/>
              </w:rPr>
              <w:t>Equity</w:t>
            </w:r>
          </w:p>
        </w:tc>
      </w:tr>
      <w:tr>
        <w:trPr>
          <w:trHeight w:val="137"/>
        </w:trPr>
        <w:tc>
          <w:tcPr>
            <w:tcW w:w="4540" w:type="dxa"/>
            <w:vAlign w:val="bottom"/>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460" w:type="dxa"/>
            <w:vAlign w:val="bottom"/>
            <w:tcBorders>
              <w:bottom w:val="single" w:sz="8" w:color="9A9A9A"/>
            </w:tcBorders>
          </w:tcPr>
          <w:p>
            <w:pPr>
              <w:spacing w:after="0"/>
              <w:rPr>
                <w:sz w:val="11"/>
                <w:szCs w:val="11"/>
                <w:color w:val="auto"/>
              </w:rPr>
            </w:pPr>
          </w:p>
        </w:tc>
      </w:tr>
      <w:tr>
        <w:trPr>
          <w:trHeight w:val="356"/>
        </w:trPr>
        <w:tc>
          <w:tcPr>
            <w:tcW w:w="5680" w:type="dxa"/>
            <w:vAlign w:val="bottom"/>
            <w:gridSpan w:val="2"/>
          </w:tcPr>
          <w:p>
            <w:pPr>
              <w:spacing w:after="0"/>
              <w:rPr>
                <w:sz w:val="20"/>
                <w:szCs w:val="20"/>
                <w:color w:val="auto"/>
              </w:rPr>
            </w:pPr>
            <w:r>
              <w:rPr>
                <w:rFonts w:ascii="Arial" w:cs="Arial" w:eastAsia="Arial" w:hAnsi="Arial"/>
                <w:sz w:val="18"/>
                <w:szCs w:val="18"/>
                <w:color w:val="auto"/>
              </w:rPr>
              <w:t>Banco de Crédito del Perú</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79.3%</w:t>
            </w:r>
          </w:p>
        </w:tc>
        <w:tc>
          <w:tcPr>
            <w:tcW w:w="120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85.3%</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113.2%</w:t>
            </w: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67.9%</w:t>
            </w:r>
          </w:p>
        </w:tc>
      </w:tr>
      <w:tr>
        <w:trPr>
          <w:trHeight w:val="243"/>
        </w:trPr>
        <w:tc>
          <w:tcPr>
            <w:tcW w:w="5680" w:type="dxa"/>
            <w:vAlign w:val="bottom"/>
            <w:gridSpan w:val="2"/>
          </w:tcPr>
          <w:p>
            <w:pPr>
              <w:spacing w:after="0"/>
              <w:rPr>
                <w:sz w:val="20"/>
                <w:szCs w:val="20"/>
                <w:color w:val="auto"/>
              </w:rPr>
            </w:pPr>
            <w:r>
              <w:rPr>
                <w:rFonts w:ascii="Arial" w:cs="Arial" w:eastAsia="Arial" w:hAnsi="Arial"/>
                <w:sz w:val="18"/>
                <w:szCs w:val="18"/>
                <w:color w:val="auto"/>
              </w:rPr>
              <w:t>Atlantic Security Holding Corporation</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1200" w:type="dxa"/>
            <w:vAlign w:val="bottom"/>
          </w:tcPr>
          <w:p>
            <w:pPr>
              <w:spacing w:after="0"/>
              <w:rPr>
                <w:sz w:val="21"/>
                <w:szCs w:val="21"/>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43"/>
        </w:trPr>
        <w:tc>
          <w:tcPr>
            <w:tcW w:w="5680" w:type="dxa"/>
            <w:vAlign w:val="bottom"/>
            <w:gridSpan w:val="2"/>
          </w:tcPr>
          <w:p>
            <w:pPr>
              <w:spacing w:after="0"/>
              <w:rPr>
                <w:sz w:val="20"/>
                <w:szCs w:val="20"/>
                <w:color w:val="auto"/>
              </w:rPr>
            </w:pPr>
            <w:r>
              <w:rPr>
                <w:rFonts w:ascii="Arial" w:cs="Arial" w:eastAsia="Arial" w:hAnsi="Arial"/>
                <w:sz w:val="18"/>
                <w:szCs w:val="18"/>
                <w:color w:val="auto"/>
              </w:rPr>
              <w:t>El Pacífico-Peruano Suiza Compañía de Seguros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1200" w:type="dxa"/>
            <w:vAlign w:val="bottom"/>
          </w:tcPr>
          <w:p>
            <w:pPr>
              <w:spacing w:after="0"/>
              <w:rPr>
                <w:sz w:val="21"/>
                <w:szCs w:val="21"/>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43"/>
        </w:trPr>
        <w:tc>
          <w:tcPr>
            <w:tcW w:w="5680" w:type="dxa"/>
            <w:vAlign w:val="bottom"/>
            <w:gridSpan w:val="2"/>
          </w:tcPr>
          <w:p>
            <w:pPr>
              <w:spacing w:after="0"/>
              <w:rPr>
                <w:sz w:val="20"/>
                <w:szCs w:val="20"/>
                <w:color w:val="auto"/>
              </w:rPr>
            </w:pPr>
            <w:r>
              <w:rPr>
                <w:rFonts w:ascii="Arial" w:cs="Arial" w:eastAsia="Arial" w:hAnsi="Arial"/>
                <w:sz w:val="18"/>
                <w:szCs w:val="18"/>
                <w:color w:val="auto"/>
              </w:rPr>
              <w:t>Banco Tequendama</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1200" w:type="dxa"/>
            <w:vAlign w:val="bottom"/>
          </w:tcPr>
          <w:p>
            <w:pPr>
              <w:spacing w:after="0"/>
              <w:rPr>
                <w:sz w:val="21"/>
                <w:szCs w:val="21"/>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5680" w:type="dxa"/>
            <w:vAlign w:val="bottom"/>
            <w:gridSpan w:val="2"/>
          </w:tcPr>
          <w:p>
            <w:pPr>
              <w:spacing w:after="0"/>
              <w:rPr>
                <w:sz w:val="20"/>
                <w:szCs w:val="20"/>
                <w:color w:val="auto"/>
              </w:rPr>
            </w:pPr>
            <w:r>
              <w:rPr>
                <w:rFonts w:ascii="Arial" w:cs="Arial" w:eastAsia="Arial" w:hAnsi="Arial"/>
                <w:sz w:val="18"/>
                <w:szCs w:val="18"/>
                <w:color w:val="auto"/>
              </w:rPr>
              <w:t>Others(3)</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c>
          <w:tcPr>
            <w:tcW w:w="1200" w:type="dxa"/>
            <w:vAlign w:val="bottom"/>
          </w:tcPr>
          <w:p>
            <w:pPr>
              <w:spacing w:after="0"/>
              <w:rPr>
                <w:sz w:val="21"/>
                <w:szCs w:val="21"/>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(27.2)%</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-1331595</wp:posOffset>
            </wp:positionV>
            <wp:extent cx="3429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-868680</wp:posOffset>
            </wp:positionV>
            <wp:extent cx="3429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5043805</wp:posOffset>
            </wp:positionH>
            <wp:positionV relativeFrom="paragraph">
              <wp:posOffset>-868680</wp:posOffset>
            </wp:positionV>
            <wp:extent cx="3429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-868680</wp:posOffset>
            </wp:positionV>
            <wp:extent cx="3429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-868680</wp:posOffset>
            </wp:positionV>
            <wp:extent cx="3429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6" w:lineRule="exact"/>
        <w:rPr>
          <w:sz w:val="20"/>
          <w:szCs w:val="20"/>
          <w:color w:val="auto"/>
        </w:rPr>
      </w:pPr>
    </w:p>
    <w:p>
      <w:pPr>
        <w:ind w:left="580" w:hanging="572"/>
        <w:spacing w:after="0"/>
        <w:tabs>
          <w:tab w:leader="none" w:pos="58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the equity interest held by PPS.</w:t>
      </w:r>
    </w:p>
    <w:p>
      <w:pPr>
        <w:ind w:left="580" w:hanging="572"/>
        <w:spacing w:after="0" w:line="221" w:lineRule="auto"/>
        <w:tabs>
          <w:tab w:leader="none" w:pos="580" w:val="left"/>
        </w:tabs>
        <w:numPr>
          <w:ilvl w:val="0"/>
          <w:numId w:val="5"/>
        </w:numPr>
        <w:rPr>
          <w:rFonts w:ascii="Arial" w:cs="Arial" w:eastAsia="Arial" w:hAnsi="Arial"/>
          <w:sz w:val="14"/>
          <w:szCs w:val="14"/>
          <w:color w:val="auto"/>
        </w:rPr>
      </w:pPr>
      <w:r>
        <w:rPr>
          <w:rFonts w:ascii="Arial" w:cs="Arial" w:eastAsia="Arial" w:hAnsi="Arial"/>
          <w:sz w:val="14"/>
          <w:szCs w:val="14"/>
          <w:color w:val="auto"/>
        </w:rPr>
        <w:t>Percentages determined based on the Credicorp Consolidated Financial Statements.</w:t>
      </w:r>
    </w:p>
    <w:p>
      <w:pPr>
        <w:ind w:left="580" w:hanging="572"/>
        <w:spacing w:after="0"/>
        <w:tabs>
          <w:tab w:leader="none" w:pos="58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Inversiones Crédito, Credicorp Securities Inc., and others.</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tables show the organization of BCP and its principal subsidiaries as of December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148590</wp:posOffset>
            </wp:positionV>
            <wp:extent cx="4631055" cy="127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631055" cy="127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920" w:type="dxa"/>
            <w:vAlign w:val="bottom"/>
          </w:tcPr>
          <w:p>
            <w:pPr>
              <w:spacing w:after="0"/>
              <w:rPr>
                <w:sz w:val="19"/>
                <w:szCs w:val="19"/>
                <w:color w:val="auto"/>
              </w:rPr>
            </w:pPr>
          </w:p>
        </w:tc>
        <w:tc>
          <w:tcPr>
            <w:tcW w:w="5480" w:type="dxa"/>
            <w:vAlign w:val="bottom"/>
            <w:gridSpan w:val="7"/>
          </w:tcPr>
          <w:p>
            <w:pPr>
              <w:jc w:val="right"/>
              <w:ind w:right="752"/>
              <w:spacing w:after="0"/>
              <w:rPr>
                <w:sz w:val="20"/>
                <w:szCs w:val="20"/>
                <w:color w:val="auto"/>
              </w:rPr>
            </w:pPr>
            <w:r>
              <w:rPr>
                <w:rFonts w:ascii="Arial" w:cs="Arial" w:eastAsia="Arial" w:hAnsi="Arial"/>
                <w:sz w:val="18"/>
                <w:szCs w:val="18"/>
                <w:b w:val="1"/>
                <w:bCs w:val="1"/>
                <w:color w:val="auto"/>
              </w:rPr>
              <w:t>As of and for the Year ended December 31, 2003(3)</w:t>
            </w:r>
          </w:p>
        </w:tc>
      </w:tr>
      <w:tr>
        <w:trPr>
          <w:trHeight w:val="151"/>
        </w:trPr>
        <w:tc>
          <w:tcPr>
            <w:tcW w:w="5920" w:type="dxa"/>
            <w:vAlign w:val="bottom"/>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r>
      <w:tr>
        <w:trPr>
          <w:trHeight w:val="330"/>
        </w:trPr>
        <w:tc>
          <w:tcPr>
            <w:tcW w:w="5920" w:type="dxa"/>
            <w:vAlign w:val="bottom"/>
          </w:tcPr>
          <w:p>
            <w:pPr>
              <w:spacing w:after="0"/>
              <w:rPr>
                <w:sz w:val="24"/>
                <w:szCs w:val="24"/>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Total</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Total</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Net Income</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Shareholders’</w:t>
            </w:r>
          </w:p>
        </w:tc>
      </w:tr>
      <w:tr>
        <w:trPr>
          <w:trHeight w:val="228"/>
        </w:trPr>
        <w:tc>
          <w:tcPr>
            <w:tcW w:w="592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Assets</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Revenue</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(Loss)</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Equity</w:t>
            </w:r>
          </w:p>
        </w:tc>
      </w:tr>
      <w:tr>
        <w:trPr>
          <w:trHeight w:val="151"/>
        </w:trPr>
        <w:tc>
          <w:tcPr>
            <w:tcW w:w="5920" w:type="dxa"/>
            <w:vAlign w:val="bottom"/>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r>
      <w:tr>
        <w:trPr>
          <w:trHeight w:val="343"/>
        </w:trPr>
        <w:tc>
          <w:tcPr>
            <w:tcW w:w="5920" w:type="dxa"/>
            <w:vAlign w:val="bottom"/>
          </w:tcPr>
          <w:p>
            <w:pPr>
              <w:ind w:left="40"/>
              <w:spacing w:after="0"/>
              <w:rPr>
                <w:sz w:val="20"/>
                <w:szCs w:val="20"/>
                <w:color w:val="auto"/>
              </w:rPr>
            </w:pPr>
            <w:r>
              <w:rPr>
                <w:rFonts w:ascii="Arial" w:cs="Arial" w:eastAsia="Arial" w:hAnsi="Arial"/>
                <w:sz w:val="18"/>
                <w:szCs w:val="18"/>
                <w:color w:val="auto"/>
              </w:rPr>
              <w:t>Banco de Crédito del Perú</w:t>
            </w:r>
          </w:p>
        </w:tc>
        <w:tc>
          <w:tcPr>
            <w:tcW w:w="1360" w:type="dxa"/>
            <w:vAlign w:val="bottom"/>
          </w:tcPr>
          <w:p>
            <w:pPr>
              <w:jc w:val="right"/>
              <w:spacing w:after="0"/>
              <w:rPr>
                <w:sz w:val="20"/>
                <w:szCs w:val="20"/>
                <w:color w:val="auto"/>
              </w:rPr>
            </w:pPr>
            <w:r>
              <w:rPr>
                <w:rFonts w:ascii="Arial" w:cs="Arial" w:eastAsia="Arial" w:hAnsi="Arial"/>
                <w:sz w:val="18"/>
                <w:szCs w:val="18"/>
                <w:color w:val="auto"/>
              </w:rPr>
              <w:t>88.1%</w:t>
            </w:r>
          </w:p>
        </w:tc>
        <w:tc>
          <w:tcPr>
            <w:tcW w:w="20" w:type="dxa"/>
            <w:vAlign w:val="bottom"/>
          </w:tcPr>
          <w:p>
            <w:pPr>
              <w:spacing w:after="0"/>
              <w:rPr>
                <w:sz w:val="24"/>
                <w:szCs w:val="24"/>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78.1%</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89.6%</w:t>
            </w:r>
          </w:p>
        </w:tc>
        <w:tc>
          <w:tcPr>
            <w:tcW w:w="1340" w:type="dxa"/>
            <w:vAlign w:val="bottom"/>
          </w:tcPr>
          <w:p>
            <w:pPr>
              <w:jc w:val="right"/>
              <w:spacing w:after="0"/>
              <w:rPr>
                <w:sz w:val="20"/>
                <w:szCs w:val="20"/>
                <w:color w:val="auto"/>
              </w:rPr>
            </w:pPr>
            <w:r>
              <w:rPr>
                <w:rFonts w:ascii="Arial" w:cs="Arial" w:eastAsia="Arial" w:hAnsi="Arial"/>
                <w:sz w:val="18"/>
                <w:szCs w:val="18"/>
                <w:color w:val="auto"/>
              </w:rPr>
              <w:t>78.0%</w:t>
            </w:r>
          </w:p>
        </w:tc>
      </w:tr>
      <w:tr>
        <w:trPr>
          <w:trHeight w:val="243"/>
        </w:trPr>
        <w:tc>
          <w:tcPr>
            <w:tcW w:w="5920" w:type="dxa"/>
            <w:vAlign w:val="bottom"/>
          </w:tcPr>
          <w:p>
            <w:pPr>
              <w:ind w:left="40"/>
              <w:spacing w:after="0"/>
              <w:rPr>
                <w:sz w:val="20"/>
                <w:szCs w:val="20"/>
                <w:color w:val="auto"/>
              </w:rPr>
            </w:pPr>
            <w:r>
              <w:rPr>
                <w:rFonts w:ascii="Arial" w:cs="Arial" w:eastAsia="Arial" w:hAnsi="Arial"/>
                <w:sz w:val="18"/>
                <w:szCs w:val="18"/>
                <w:color w:val="auto"/>
              </w:rPr>
              <w:t>Banco de Crédito de Bolivia</w:t>
            </w:r>
          </w:p>
        </w:tc>
        <w:tc>
          <w:tcPr>
            <w:tcW w:w="136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21"/>
                <w:szCs w:val="21"/>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13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43"/>
        </w:trPr>
        <w:tc>
          <w:tcPr>
            <w:tcW w:w="5920" w:type="dxa"/>
            <w:vAlign w:val="bottom"/>
          </w:tcPr>
          <w:p>
            <w:pPr>
              <w:ind w:left="40"/>
              <w:spacing w:after="0"/>
              <w:rPr>
                <w:sz w:val="20"/>
                <w:szCs w:val="20"/>
                <w:color w:val="auto"/>
              </w:rPr>
            </w:pPr>
            <w:r>
              <w:rPr>
                <w:rFonts w:ascii="Arial" w:cs="Arial" w:eastAsia="Arial" w:hAnsi="Arial"/>
                <w:sz w:val="18"/>
                <w:szCs w:val="18"/>
                <w:color w:val="auto"/>
              </w:rPr>
              <w:t>Crédito Leasing S.A.</w:t>
            </w:r>
          </w:p>
        </w:tc>
        <w:tc>
          <w:tcPr>
            <w:tcW w:w="136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1"/>
                <w:szCs w:val="21"/>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13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43"/>
        </w:trPr>
        <w:tc>
          <w:tcPr>
            <w:tcW w:w="5920" w:type="dxa"/>
            <w:vAlign w:val="bottom"/>
          </w:tcPr>
          <w:p>
            <w:pPr>
              <w:ind w:left="40"/>
              <w:spacing w:after="0"/>
              <w:rPr>
                <w:sz w:val="20"/>
                <w:szCs w:val="20"/>
                <w:color w:val="auto"/>
              </w:rPr>
            </w:pPr>
            <w:r>
              <w:rPr>
                <w:rFonts w:ascii="Arial" w:cs="Arial" w:eastAsia="Arial" w:hAnsi="Arial"/>
                <w:sz w:val="18"/>
                <w:szCs w:val="18"/>
                <w:color w:val="auto"/>
              </w:rPr>
              <w:t>Solución Financiera de Crédito del Perú S.A.</w:t>
            </w:r>
          </w:p>
        </w:tc>
        <w:tc>
          <w:tcPr>
            <w:tcW w:w="136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1"/>
                <w:szCs w:val="21"/>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13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5920" w:type="dxa"/>
            <w:vAlign w:val="bottom"/>
          </w:tcPr>
          <w:p>
            <w:pPr>
              <w:ind w:left="40"/>
              <w:spacing w:after="0"/>
              <w:rPr>
                <w:sz w:val="20"/>
                <w:szCs w:val="20"/>
                <w:color w:val="auto"/>
              </w:rPr>
            </w:pPr>
            <w:r>
              <w:rPr>
                <w:rFonts w:ascii="Arial" w:cs="Arial" w:eastAsia="Arial" w:hAnsi="Arial"/>
                <w:sz w:val="18"/>
                <w:szCs w:val="18"/>
                <w:color w:val="auto"/>
              </w:rPr>
              <w:t>Credibolsa Sociedad Agente de Bolsa S.A.</w:t>
            </w:r>
          </w:p>
        </w:tc>
        <w:tc>
          <w:tcPr>
            <w:tcW w:w="136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1"/>
                <w:szCs w:val="21"/>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134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43"/>
        </w:trPr>
        <w:tc>
          <w:tcPr>
            <w:tcW w:w="5920" w:type="dxa"/>
            <w:vAlign w:val="bottom"/>
          </w:tcPr>
          <w:p>
            <w:pPr>
              <w:ind w:left="40"/>
              <w:spacing w:after="0"/>
              <w:rPr>
                <w:sz w:val="20"/>
                <w:szCs w:val="20"/>
                <w:color w:val="auto"/>
              </w:rPr>
            </w:pPr>
            <w:r>
              <w:rPr>
                <w:rFonts w:ascii="Arial" w:cs="Arial" w:eastAsia="Arial" w:hAnsi="Arial"/>
                <w:sz w:val="18"/>
                <w:szCs w:val="18"/>
                <w:color w:val="auto"/>
              </w:rPr>
              <w:t>Others(4)</w:t>
            </w:r>
          </w:p>
        </w:tc>
        <w:tc>
          <w:tcPr>
            <w:tcW w:w="1360" w:type="dxa"/>
            <w:vAlign w:val="bottom"/>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1"/>
                <w:szCs w:val="21"/>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13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5920" w:type="dxa"/>
            <w:vAlign w:val="bottom"/>
          </w:tcPr>
          <w:p>
            <w:pPr>
              <w:spacing w:after="0"/>
              <w:rPr>
                <w:sz w:val="20"/>
                <w:szCs w:val="20"/>
                <w:color w:val="auto"/>
              </w:rPr>
            </w:pPr>
            <w:r>
              <w:rPr>
                <w:rFonts w:ascii="Arial" w:cs="Arial" w:eastAsia="Arial" w:hAnsi="Arial"/>
                <w:sz w:val="18"/>
                <w:szCs w:val="18"/>
                <w:color w:val="auto"/>
              </w:rPr>
              <w:t>__________________________</w:t>
            </w: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-1631315</wp:posOffset>
            </wp:positionV>
            <wp:extent cx="3429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4597400</wp:posOffset>
            </wp:positionH>
            <wp:positionV relativeFrom="paragraph">
              <wp:posOffset>-1168400</wp:posOffset>
            </wp:positionV>
            <wp:extent cx="3429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5472430</wp:posOffset>
            </wp:positionH>
            <wp:positionV relativeFrom="paragraph">
              <wp:posOffset>-1168400</wp:posOffset>
            </wp:positionV>
            <wp:extent cx="3429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-1168400</wp:posOffset>
            </wp:positionV>
            <wp:extent cx="3429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-1168400</wp:posOffset>
            </wp:positionV>
            <wp:extent cx="3429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80" w:hanging="572"/>
        <w:spacing w:after="0" w:line="226" w:lineRule="auto"/>
        <w:tabs>
          <w:tab w:leader="none" w:pos="580" w:val="left"/>
        </w:tabs>
        <w:numPr>
          <w:ilvl w:val="0"/>
          <w:numId w:val="6"/>
        </w:numPr>
        <w:rPr>
          <w:rFonts w:ascii="Arial" w:cs="Arial" w:eastAsia="Arial" w:hAnsi="Arial"/>
          <w:sz w:val="14"/>
          <w:szCs w:val="14"/>
          <w:color w:val="auto"/>
        </w:rPr>
      </w:pPr>
      <w:r>
        <w:rPr>
          <w:rFonts w:ascii="Arial" w:cs="Arial" w:eastAsia="Arial" w:hAnsi="Arial"/>
          <w:sz w:val="14"/>
          <w:szCs w:val="14"/>
          <w:color w:val="auto"/>
        </w:rPr>
        <w:t>Credicorp holds an additional 2.73% stake.</w:t>
      </w:r>
    </w:p>
    <w:p>
      <w:pPr>
        <w:ind w:left="580" w:hanging="572"/>
        <w:spacing w:after="0"/>
        <w:tabs>
          <w:tab w:leader="none" w:pos="580" w:val="left"/>
        </w:tabs>
        <w:numPr>
          <w:ilvl w:val="0"/>
          <w:numId w:val="6"/>
        </w:numPr>
        <w:rPr>
          <w:rFonts w:ascii="Arial" w:cs="Arial" w:eastAsia="Arial" w:hAnsi="Arial"/>
          <w:sz w:val="12"/>
          <w:szCs w:val="12"/>
          <w:color w:val="auto"/>
        </w:rPr>
      </w:pPr>
      <w:r>
        <w:rPr>
          <w:rFonts w:ascii="Arial" w:cs="Arial" w:eastAsia="Arial" w:hAnsi="Arial"/>
          <w:sz w:val="12"/>
          <w:szCs w:val="12"/>
          <w:color w:val="auto"/>
        </w:rPr>
        <w:t>100%-owned after a 45% remaining stake was acquired in March 2003. Solución Financiera de Crédito del Perú S.A. was subsequently merged into BCP’s banking operations in March 2004.</w:t>
      </w:r>
    </w:p>
    <w:p>
      <w:pPr>
        <w:spacing w:after="0" w:line="10" w:lineRule="exact"/>
        <w:rPr>
          <w:rFonts w:ascii="Arial" w:cs="Arial" w:eastAsia="Arial" w:hAnsi="Arial"/>
          <w:sz w:val="12"/>
          <w:szCs w:val="12"/>
          <w:color w:val="auto"/>
        </w:rPr>
      </w:pPr>
    </w:p>
    <w:p>
      <w:pPr>
        <w:ind w:left="580" w:hanging="572"/>
        <w:spacing w:after="0" w:line="221" w:lineRule="auto"/>
        <w:tabs>
          <w:tab w:leader="none" w:pos="580" w:val="left"/>
        </w:tabs>
        <w:numPr>
          <w:ilvl w:val="0"/>
          <w:numId w:val="6"/>
        </w:numPr>
        <w:rPr>
          <w:rFonts w:ascii="Arial" w:cs="Arial" w:eastAsia="Arial" w:hAnsi="Arial"/>
          <w:sz w:val="14"/>
          <w:szCs w:val="14"/>
          <w:color w:val="auto"/>
        </w:rPr>
      </w:pPr>
      <w:r>
        <w:rPr>
          <w:rFonts w:ascii="Arial" w:cs="Arial" w:eastAsia="Arial" w:hAnsi="Arial"/>
          <w:sz w:val="14"/>
          <w:szCs w:val="14"/>
          <w:color w:val="auto"/>
        </w:rPr>
        <w:t>Percentages determined based on BCP’s consolidated financial statements as of and for the year ended December 31, 2003.</w:t>
      </w:r>
    </w:p>
    <w:p>
      <w:pPr>
        <w:ind w:left="580" w:hanging="572"/>
        <w:spacing w:after="0"/>
        <w:tabs>
          <w:tab w:leader="none" w:pos="58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Credifondo S.A., Sociedad Administradora de Fondos Mutuos de Inversión en Valores, Creditítulos S.A., and others.</w:t>
      </w:r>
    </w:p>
    <w:p>
      <w:pPr>
        <w:spacing w:after="0" w:line="194" w:lineRule="exact"/>
        <w:rPr>
          <w:sz w:val="20"/>
          <w:szCs w:val="20"/>
          <w:color w:val="auto"/>
        </w:rPr>
      </w:pPr>
    </w:p>
    <w:p>
      <w:pPr>
        <w:jc w:val="both"/>
        <w:ind w:firstLine="329"/>
        <w:spacing w:after="0" w:line="259" w:lineRule="auto"/>
        <w:rPr>
          <w:sz w:val="20"/>
          <w:szCs w:val="20"/>
          <w:color w:val="auto"/>
        </w:rPr>
      </w:pPr>
      <w:r>
        <w:rPr>
          <w:rFonts w:ascii="Arial" w:cs="Arial" w:eastAsia="Arial" w:hAnsi="Arial"/>
          <w:sz w:val="18"/>
          <w:szCs w:val="18"/>
          <w:color w:val="auto"/>
        </w:rPr>
        <w:t>In March 2002, Credicorp made a tender offer for outstanding BCP shares for S/.1.80 per share, approximately equal to the book value of such shares, disbursing directly and through its subsidiary PPS an amount of approximately US$35.3 million. As a result of the tender offer, Credicorp’s equity stake in BCP increased from 90.6% to 97.0% (including shares held by PPS).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8" w:right="239" w:bottom="1440" w:gutter="0" w:footer="0" w:header="0"/>
        </w:sectPr>
      </w:pPr>
    </w:p>
    <w:bookmarkStart w:id="16" w:name="page17"/>
    <w:bookmarkEnd w:id="16"/>
    <w:p>
      <w:pPr>
        <w:jc w:val="both"/>
        <w:ind w:firstLine="301"/>
        <w:spacing w:after="0" w:line="259" w:lineRule="auto"/>
        <w:rPr>
          <w:sz w:val="20"/>
          <w:szCs w:val="20"/>
          <w:color w:val="auto"/>
        </w:rPr>
      </w:pPr>
      <w:r>
        <w:rPr>
          <w:rFonts w:ascii="Arial" w:cs="Arial" w:eastAsia="Arial" w:hAnsi="Arial"/>
          <w:sz w:val="18"/>
          <w:szCs w:val="18"/>
          <w:color w:val="auto"/>
        </w:rPr>
        <w:t>In December 2002, BCP acquired, for US$50.0 million, Banco Santander Central Hispano-Perú (“BSCH-Perú”), which is included in BCP’s consolidated financial statements since such date. At December 31, 2002, BSCH-Perú had total assets of US$975.2 million, total loans of US$719.4 million and deposits of US$659.0 million. BSCH-Perúwas merged into BCP on February 28, 2003.</w:t>
      </w:r>
    </w:p>
    <w:p>
      <w:pPr>
        <w:spacing w:after="0" w:line="194" w:lineRule="exact"/>
        <w:rPr>
          <w:sz w:val="20"/>
          <w:szCs w:val="20"/>
          <w:color w:val="auto"/>
        </w:rPr>
      </w:pPr>
    </w:p>
    <w:p>
      <w:pPr>
        <w:jc w:val="both"/>
        <w:ind w:firstLine="220"/>
        <w:spacing w:after="0" w:line="298" w:lineRule="auto"/>
        <w:rPr>
          <w:sz w:val="20"/>
          <w:szCs w:val="20"/>
          <w:color w:val="auto"/>
        </w:rPr>
      </w:pPr>
      <w:r>
        <w:rPr>
          <w:rFonts w:ascii="Arial" w:cs="Arial" w:eastAsia="Arial" w:hAnsi="Arial"/>
          <w:sz w:val="16"/>
          <w:szCs w:val="16"/>
          <w:color w:val="auto"/>
        </w:rPr>
        <w:t>In March 2003, BCP, adding to its 55% stake, acquired for US$17.0 million the remaining 45% of the equity shares of Solución Financiera de Crédito del Perú S.A. (“Solución”) from Banco de Crédito e Inversiones de Chile (“BCI”) and other foreign shareholders, making Solución once again a BCP wholly-owned subsidiary. Substantially all of Solución’s assets and liabilities were absorbed into BCP’s Peruvian banking operations in March 2004. Solución’s net income in 2003 was US$7.6 million, and it had, as of February 28, 2004, a loan portfolio of US$88.4 million, with a 3.0% past-due ratio.</w:t>
      </w:r>
    </w:p>
    <w:p>
      <w:pPr>
        <w:spacing w:after="0" w:line="167" w:lineRule="exact"/>
        <w:rPr>
          <w:sz w:val="20"/>
          <w:szCs w:val="20"/>
          <w:color w:val="auto"/>
        </w:rPr>
      </w:pPr>
    </w:p>
    <w:p>
      <w:pPr>
        <w:jc w:val="both"/>
        <w:ind w:firstLine="231"/>
        <w:spacing w:after="0" w:line="298" w:lineRule="auto"/>
        <w:rPr>
          <w:sz w:val="20"/>
          <w:szCs w:val="20"/>
          <w:color w:val="auto"/>
        </w:rPr>
      </w:pPr>
      <w:r>
        <w:rPr>
          <w:rFonts w:ascii="Arial" w:cs="Arial" w:eastAsia="Arial" w:hAnsi="Arial"/>
          <w:sz w:val="16"/>
          <w:szCs w:val="16"/>
          <w:color w:val="auto"/>
        </w:rPr>
        <w:t>During 2003, BCP converted Banco de Crédito Overseas Limited (“BCOL”), its offshore bank in the Bahamas, into a vehicle to conduct investments and sold it to ASHC, which expects to dissolve BCOL’s operations during 2004. Certain long term equity interests, held previously by BCOL, were transferred to BCP which were then transferred to Inversiones Crédito in accordance with Credicorp’s policy for holdings of equity interests in non-financial companies. In April 2004, PPS sold substantially all of its holdings of Credicorp’s equity shares to ASHC (see “Item 7. –(A) Major Shareholders”).</w:t>
      </w:r>
    </w:p>
    <w:p>
      <w:pPr>
        <w:spacing w:after="0" w:line="161" w:lineRule="exact"/>
        <w:rPr>
          <w:sz w:val="20"/>
          <w:szCs w:val="20"/>
          <w:color w:val="auto"/>
        </w:rPr>
      </w:pPr>
    </w:p>
    <w:p>
      <w:pPr>
        <w:ind w:left="280" w:hanging="272"/>
        <w:spacing w:after="0"/>
        <w:tabs>
          <w:tab w:leader="none" w:pos="2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Business Overview</w:t>
      </w:r>
    </w:p>
    <w:p>
      <w:pPr>
        <w:spacing w:after="0" w:line="225" w:lineRule="exact"/>
        <w:rPr>
          <w:rFonts w:ascii="Arial" w:cs="Arial" w:eastAsia="Arial" w:hAnsi="Arial"/>
          <w:sz w:val="18"/>
          <w:szCs w:val="18"/>
          <w:b w:val="1"/>
          <w:bCs w:val="1"/>
          <w:color w:val="auto"/>
        </w:rPr>
      </w:pPr>
    </w:p>
    <w:p>
      <w:pPr>
        <w:ind w:left="480" w:hanging="252"/>
        <w:spacing w:after="0"/>
        <w:tabs>
          <w:tab w:leader="none" w:pos="480" w:val="left"/>
        </w:tabs>
        <w:numPr>
          <w:ilvl w:val="1"/>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 – Review of 2003</w:t>
      </w:r>
    </w:p>
    <w:p>
      <w:pPr>
        <w:spacing w:after="0" w:line="231" w:lineRule="exact"/>
        <w:rPr>
          <w:sz w:val="20"/>
          <w:szCs w:val="20"/>
          <w:color w:val="auto"/>
        </w:rPr>
      </w:pPr>
    </w:p>
    <w:p>
      <w:pPr>
        <w:jc w:val="both"/>
        <w:ind w:right="20" w:firstLine="213"/>
        <w:spacing w:after="0" w:line="332" w:lineRule="auto"/>
        <w:rPr>
          <w:sz w:val="20"/>
          <w:szCs w:val="20"/>
          <w:color w:val="auto"/>
        </w:rPr>
      </w:pPr>
      <w:r>
        <w:rPr>
          <w:rFonts w:ascii="Arial" w:cs="Arial" w:eastAsia="Arial" w:hAnsi="Arial"/>
          <w:sz w:val="16"/>
          <w:szCs w:val="16"/>
          <w:color w:val="auto"/>
        </w:rPr>
        <w:t>As was the case in 2002, Credicorp’s results improved in 2003. Net income increased substantially, the quality of the loan portfolio and of investments in other risk assets continued to improve, and Credicorp advanced firmly in the key medium term business strategies established in 2002.</w:t>
      </w:r>
    </w:p>
    <w:p>
      <w:pPr>
        <w:spacing w:after="0" w:line="139" w:lineRule="exact"/>
        <w:rPr>
          <w:sz w:val="20"/>
          <w:szCs w:val="20"/>
          <w:color w:val="auto"/>
        </w:rPr>
      </w:pPr>
    </w:p>
    <w:p>
      <w:pPr>
        <w:jc w:val="both"/>
        <w:ind w:firstLine="304"/>
        <w:spacing w:after="0" w:line="268" w:lineRule="auto"/>
        <w:rPr>
          <w:sz w:val="20"/>
          <w:szCs w:val="20"/>
          <w:color w:val="auto"/>
        </w:rPr>
      </w:pPr>
      <w:r>
        <w:rPr>
          <w:rFonts w:ascii="Arial" w:cs="Arial" w:eastAsia="Arial" w:hAnsi="Arial"/>
          <w:sz w:val="18"/>
          <w:szCs w:val="18"/>
          <w:color w:val="auto"/>
        </w:rPr>
        <w:t>During 2003, there was further consolidation in the Peruvian banking system, with resulting improvements in loan quality and profits. Nevertheless, with certain exceptions such as consumer loans and lending to micro-businesses, business volumes remained depressed.</w:t>
      </w:r>
    </w:p>
    <w:p>
      <w:pPr>
        <w:spacing w:after="0" w:line="186" w:lineRule="exact"/>
        <w:rPr>
          <w:sz w:val="20"/>
          <w:szCs w:val="20"/>
          <w:color w:val="auto"/>
        </w:rPr>
      </w:pPr>
    </w:p>
    <w:p>
      <w:pPr>
        <w:jc w:val="both"/>
        <w:ind w:firstLine="273"/>
        <w:spacing w:after="0" w:line="255" w:lineRule="auto"/>
        <w:rPr>
          <w:sz w:val="20"/>
          <w:szCs w:val="20"/>
          <w:color w:val="auto"/>
        </w:rPr>
      </w:pPr>
      <w:r>
        <w:rPr>
          <w:rFonts w:ascii="Arial" w:cs="Arial" w:eastAsia="Arial" w:hAnsi="Arial"/>
          <w:sz w:val="18"/>
          <w:szCs w:val="18"/>
          <w:color w:val="auto"/>
        </w:rPr>
        <w:t>The improvement in Credicorp’s results was driven mainly by its commercial banking operations, where loan loss provisions decreased while recoveries of charged-off loans increased, and by the continuing positive trend in non-interest income. In 2003, Credicorp’s net income increased by 90% to US$80.6 million from US$42.4 million in 2002, despite extraordinary merger costs incurred in 2003 mostly as a result of the BSCH-Perú merger, which represented a cost of US$18.6 million. Although profitability levels are not yet at desired levels, improvements are expected to continue in the medium term as a result of the consolidation of Credicorp’s businesses.</w:t>
      </w:r>
    </w:p>
    <w:p>
      <w:pPr>
        <w:spacing w:after="0" w:line="197" w:lineRule="exact"/>
        <w:rPr>
          <w:sz w:val="20"/>
          <w:szCs w:val="20"/>
          <w:color w:val="auto"/>
        </w:rPr>
      </w:pPr>
    </w:p>
    <w:p>
      <w:pPr>
        <w:jc w:val="both"/>
        <w:ind w:firstLine="220"/>
        <w:spacing w:after="0" w:line="259" w:lineRule="auto"/>
        <w:rPr>
          <w:sz w:val="20"/>
          <w:szCs w:val="20"/>
          <w:color w:val="auto"/>
        </w:rPr>
      </w:pPr>
      <w:r>
        <w:rPr>
          <w:rFonts w:ascii="Arial" w:cs="Arial" w:eastAsia="Arial" w:hAnsi="Arial"/>
          <w:sz w:val="18"/>
          <w:szCs w:val="18"/>
          <w:color w:val="auto"/>
        </w:rPr>
        <w:t>Credicorp’s asset quality improved substantially in 2003. Past due loans fell from 8.4% of the total loan portfolio in 2002 to 5.7% in 2003, while past due loan coverage by provisions grew from 104.4% in 2002 to 127.5% in 2003. Also, during 2003, both BCB and Banco Tequendama improved their loan quality indicators, a positive change from 2002 when their credit risk increased.</w:t>
      </w:r>
    </w:p>
    <w:p>
      <w:pPr>
        <w:spacing w:after="0" w:line="194" w:lineRule="exact"/>
        <w:rPr>
          <w:sz w:val="20"/>
          <w:szCs w:val="20"/>
          <w:color w:val="auto"/>
        </w:rPr>
      </w:pPr>
    </w:p>
    <w:p>
      <w:pPr>
        <w:jc w:val="both"/>
        <w:ind w:right="20" w:firstLine="267"/>
        <w:spacing w:after="0" w:line="259" w:lineRule="auto"/>
        <w:rPr>
          <w:sz w:val="20"/>
          <w:szCs w:val="20"/>
          <w:color w:val="auto"/>
        </w:rPr>
      </w:pPr>
      <w:r>
        <w:rPr>
          <w:rFonts w:ascii="Arial" w:cs="Arial" w:eastAsia="Arial" w:hAnsi="Arial"/>
          <w:sz w:val="18"/>
          <w:szCs w:val="18"/>
          <w:color w:val="auto"/>
        </w:rPr>
        <w:t>Credit risk was lower in 2003 than in previous years, a trend continued into 2004. In order to improve operating efficiency in credit risk evaluation without affecting lending activities, BCP has transferred its middle market credit analysis team to other business units with related responsibilities. However, final credit decisions will remain centralized.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31" w:right="239" w:bottom="1440" w:gutter="0" w:footer="0" w:header="0"/>
        </w:sectPr>
      </w:pPr>
    </w:p>
    <w:bookmarkStart w:id="17" w:name="page18"/>
    <w:bookmarkEnd w:id="17"/>
    <w:p>
      <w:pPr>
        <w:jc w:val="both"/>
        <w:ind w:firstLine="268"/>
        <w:spacing w:after="0" w:line="268" w:lineRule="auto"/>
        <w:rPr>
          <w:sz w:val="20"/>
          <w:szCs w:val="20"/>
          <w:color w:val="auto"/>
        </w:rPr>
      </w:pPr>
      <w:r>
        <w:rPr>
          <w:rFonts w:ascii="Arial" w:cs="Arial" w:eastAsia="Arial" w:hAnsi="Arial"/>
          <w:sz w:val="18"/>
          <w:szCs w:val="18"/>
          <w:color w:val="auto"/>
        </w:rPr>
        <w:t>In Credicorp’s insurance business, net premiums remained at 2002 levels (at US$125.1 million) but only after allowing for substantial increases in reserves, mostly related to the life annuities business line, in 2003 compared to 2002.</w:t>
      </w:r>
    </w:p>
    <w:p>
      <w:pPr>
        <w:spacing w:after="0" w:line="186"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color w:val="auto"/>
        </w:rPr>
        <w:t>The BSCH-Perú merger was successfully executed in a period of two and a half months. Despite a few setbacks in operations in respect of the new client base, new clients received service commensurate with BCP’s high quality standards and retained business volumes were higher than expected while projected cost reductions were attained.</w:t>
      </w:r>
    </w:p>
    <w:p>
      <w:pPr>
        <w:spacing w:after="0" w:line="194" w:lineRule="exact"/>
        <w:rPr>
          <w:sz w:val="20"/>
          <w:szCs w:val="20"/>
          <w:color w:val="auto"/>
        </w:rPr>
      </w:pPr>
    </w:p>
    <w:p>
      <w:pPr>
        <w:jc w:val="both"/>
        <w:ind w:firstLine="261"/>
        <w:spacing w:after="0" w:line="256" w:lineRule="auto"/>
        <w:rPr>
          <w:sz w:val="20"/>
          <w:szCs w:val="20"/>
          <w:color w:val="auto"/>
        </w:rPr>
      </w:pPr>
      <w:r>
        <w:rPr>
          <w:rFonts w:ascii="Arial" w:cs="Arial" w:eastAsia="Arial" w:hAnsi="Arial"/>
          <w:sz w:val="18"/>
          <w:szCs w:val="18"/>
          <w:color w:val="auto"/>
        </w:rPr>
        <w:t>In March 2003, BCP acquired the remaining 45% of the equity shares of Solución from BCI and other shareholders. As a result of the acquisition, Solución became once again a wholly-owned subsidiary of BCP. The acquisition represented a further step in Credicorp’s strategy of increasing its lending, particularly to the small and micro-business segments. In order to effectively manage the requirements of its new clients, BCP established a specialized unit to manage loans to small and micro-businesses within the Personal Banking division.</w:t>
      </w:r>
    </w:p>
    <w:p>
      <w:pPr>
        <w:spacing w:after="0" w:line="197" w:lineRule="exact"/>
        <w:rPr>
          <w:sz w:val="20"/>
          <w:szCs w:val="20"/>
          <w:color w:val="auto"/>
        </w:rPr>
      </w:pPr>
    </w:p>
    <w:p>
      <w:pPr>
        <w:jc w:val="both"/>
        <w:ind w:firstLine="242"/>
        <w:spacing w:after="0" w:line="332" w:lineRule="auto"/>
        <w:rPr>
          <w:sz w:val="20"/>
          <w:szCs w:val="20"/>
          <w:color w:val="auto"/>
        </w:rPr>
      </w:pPr>
      <w:r>
        <w:rPr>
          <w:rFonts w:ascii="Arial" w:cs="Arial" w:eastAsia="Arial" w:hAnsi="Arial"/>
          <w:sz w:val="16"/>
          <w:szCs w:val="16"/>
          <w:color w:val="auto"/>
        </w:rPr>
        <w:t>In the first quarter of 2003, BCP completed its support program to BCB by purchasing US$12.4 million of sub-standard loans, which were provisioned at the BCP level. Loan quality at BCB improved during the second half of 2003, and Credicorp expects that such improvement will continue in the near term.</w:t>
      </w:r>
    </w:p>
    <w:p>
      <w:pPr>
        <w:spacing w:after="0" w:line="139" w:lineRule="exact"/>
        <w:rPr>
          <w:sz w:val="20"/>
          <w:szCs w:val="20"/>
          <w:color w:val="auto"/>
        </w:rPr>
      </w:pPr>
    </w:p>
    <w:p>
      <w:pPr>
        <w:jc w:val="both"/>
        <w:ind w:firstLine="248"/>
        <w:spacing w:after="0" w:line="259" w:lineRule="auto"/>
        <w:rPr>
          <w:sz w:val="20"/>
          <w:szCs w:val="20"/>
          <w:color w:val="auto"/>
        </w:rPr>
      </w:pPr>
      <w:r>
        <w:rPr>
          <w:rFonts w:ascii="Arial" w:cs="Arial" w:eastAsia="Arial" w:hAnsi="Arial"/>
          <w:sz w:val="18"/>
          <w:szCs w:val="18"/>
          <w:color w:val="auto"/>
        </w:rPr>
        <w:t>Banco Tequendama’s contribution was negative in 2003, although significantly less so than in 2002. Contributed losses amounted to US$5.5 million in 2003 compared to US$20.2 million in 2002. The improved results at Banco Tequendama are due to restructured operations and changes in the business model, which resulted in increases in lending in the personal banking segment.</w:t>
      </w:r>
    </w:p>
    <w:p>
      <w:pPr>
        <w:spacing w:after="0" w:line="194" w:lineRule="exact"/>
        <w:rPr>
          <w:sz w:val="20"/>
          <w:szCs w:val="20"/>
          <w:color w:val="auto"/>
        </w:rPr>
      </w:pPr>
    </w:p>
    <w:p>
      <w:pPr>
        <w:jc w:val="both"/>
        <w:ind w:firstLine="256"/>
        <w:spacing w:after="0" w:line="294" w:lineRule="auto"/>
        <w:rPr>
          <w:sz w:val="20"/>
          <w:szCs w:val="20"/>
          <w:color w:val="auto"/>
        </w:rPr>
      </w:pPr>
      <w:r>
        <w:rPr>
          <w:rFonts w:ascii="Arial" w:cs="Arial" w:eastAsia="Arial" w:hAnsi="Arial"/>
          <w:sz w:val="16"/>
          <w:szCs w:val="16"/>
          <w:color w:val="auto"/>
        </w:rPr>
        <w:t>The results of ASHC improved in 2003, with reduced risk in its proprietary investments portfolio and an increase in the volume of managed assets. At year-end 2003, 37% of ASHC’s investment portfolio consisted of investment-grade securities, compared to 10% in 2001, with the remaining non-investment grade securities also showing improved average risk ratings. Also, ASHC’s investment portfolio had un-realized gains of US$11 million in 2003, compared to un-realized losses of US$7.4 million in 2002. Total managed funds, deposits and assets under management were US$1.3 billion in 2003, an 18.3% increase from US$1.1 billion in 2002, representing a significant volume that Credicorp expects will permit ASHC to generate a stable and diversified revenue stream.</w:t>
      </w:r>
    </w:p>
    <w:p>
      <w:pPr>
        <w:spacing w:after="0" w:line="16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(2) Strategy</w:t>
      </w:r>
    </w:p>
    <w:p>
      <w:pPr>
        <w:spacing w:after="0" w:line="231" w:lineRule="exact"/>
        <w:rPr>
          <w:sz w:val="20"/>
          <w:szCs w:val="20"/>
          <w:color w:val="auto"/>
        </w:rPr>
      </w:pPr>
    </w:p>
    <w:p>
      <w:pPr>
        <w:jc w:val="both"/>
        <w:ind w:firstLine="220"/>
        <w:spacing w:after="0" w:line="268" w:lineRule="auto"/>
        <w:rPr>
          <w:sz w:val="20"/>
          <w:szCs w:val="20"/>
          <w:color w:val="auto"/>
        </w:rPr>
      </w:pPr>
      <w:r>
        <w:rPr>
          <w:rFonts w:ascii="Arial" w:cs="Arial" w:eastAsia="Arial" w:hAnsi="Arial"/>
          <w:sz w:val="18"/>
          <w:szCs w:val="18"/>
          <w:color w:val="auto"/>
        </w:rPr>
        <w:t>Credicorp’s key strategic initiatives, established in 2002 for the medium term, were applied during 2003 and remain in place for the 2004 fiscal year. Credicorp intends to focus its initiatives in 2004 on:</w:t>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increasing 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improving efficiency through reductions in operating costs and more aggressive use of electronic channels;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developing under-banked segments, which involve small companies and individuals, through specially tailored loans and transactional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-80645</wp:posOffset>
            </wp:positionV>
            <wp:extent cx="68580" cy="685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increasing funds under management through focus on wealth management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31" w:right="239" w:bottom="1440" w:gutter="0" w:footer="0" w:header="0"/>
        </w:sectPr>
      </w:pPr>
    </w:p>
    <w:bookmarkStart w:id="18" w:name="page19"/>
    <w:bookmarkEnd w:id="18"/>
    <w:p>
      <w:pPr>
        <w:ind w:left="540"/>
        <w:spacing w:after="0"/>
        <w:rPr>
          <w:sz w:val="20"/>
          <w:szCs w:val="20"/>
          <w:color w:val="auto"/>
        </w:rPr>
      </w:pPr>
      <w:r>
        <w:rPr>
          <w:rFonts w:ascii="Arial" w:cs="Arial" w:eastAsia="Arial" w:hAnsi="Arial"/>
          <w:sz w:val="18"/>
          <w:szCs w:val="18"/>
          <w:color w:val="auto"/>
        </w:rPr>
        <w:t>reducing net income volatility and further strengthening the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reducing the rate of claims in the insurance business;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limiting international expansion.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5" w:lineRule="exact"/>
        <w:rPr>
          <w:sz w:val="20"/>
          <w:szCs w:val="20"/>
          <w:color w:val="auto"/>
        </w:rPr>
      </w:pPr>
    </w:p>
    <w:p>
      <w:pPr>
        <w:jc w:val="both"/>
        <w:ind w:firstLine="265"/>
        <w:spacing w:after="0" w:line="291" w:lineRule="auto"/>
        <w:rPr>
          <w:sz w:val="20"/>
          <w:szCs w:val="20"/>
          <w:color w:val="auto"/>
        </w:rPr>
      </w:pPr>
      <w:r>
        <w:rPr>
          <w:rFonts w:ascii="Arial" w:cs="Arial" w:eastAsia="Arial" w:hAnsi="Arial"/>
          <w:sz w:val="16"/>
          <w:szCs w:val="16"/>
          <w:color w:val="auto"/>
        </w:rPr>
        <w:t>Credicorp expects that its business in 2004 will be favored by a positive international economic environment, with growth in the most important developed countries and in Asia. These positive factors, however, are likely to be partially offset in Perú by the Financial Transactions Tax (“ITF”), applicable in Perú since March 2004 and expected to be applied in Bolivia in the near future, which is expected to affect the banking system and the economy as a whole, possibly leading to reduced bank intermediation and increasing cash transactions and the informal economy. In 2004, Credicorp expects to benefit from lower provisions for loan losses, synergy from the acquisition of the remaining equity shares of Solución by BCP, a moderate increase in banking fees and the strict containment of operating expenses. Credicorp also expects that its net interest margin will continue to decline, partly offset by a slight increase in loan volumes.</w:t>
      </w:r>
    </w:p>
    <w:p>
      <w:pPr>
        <w:spacing w:after="0" w:line="174" w:lineRule="exact"/>
        <w:rPr>
          <w:sz w:val="20"/>
          <w:szCs w:val="20"/>
          <w:color w:val="auto"/>
        </w:rPr>
      </w:pPr>
    </w:p>
    <w:p>
      <w:pPr>
        <w:jc w:val="both"/>
        <w:ind w:firstLine="270"/>
        <w:spacing w:after="0" w:line="256" w:lineRule="auto"/>
        <w:rPr>
          <w:sz w:val="20"/>
          <w:szCs w:val="20"/>
          <w:color w:val="auto"/>
        </w:rPr>
      </w:pPr>
      <w:r>
        <w:rPr>
          <w:rFonts w:ascii="Arial" w:cs="Arial" w:eastAsia="Arial" w:hAnsi="Arial"/>
          <w:sz w:val="18"/>
          <w:szCs w:val="18"/>
          <w:color w:val="auto"/>
        </w:rPr>
        <w:t>In 2003, BCP expanded its branch network, with seven out of ten new offices located in under-banked districts of the city of Lima, where high demand for banking services is expected. Although the loan and risk assets volume has not grown in recent years, the number of banking transactions has increased significantly, a trend that supports Credicorp’s strategy of focusing on developing transactional business services for which fees are charged. Fees on banking services generate stable, diversified and low risk revenues that offset declining net interest income.</w:t>
      </w:r>
    </w:p>
    <w:p>
      <w:pPr>
        <w:spacing w:after="0" w:line="197" w:lineRule="exact"/>
        <w:rPr>
          <w:sz w:val="20"/>
          <w:szCs w:val="20"/>
          <w:color w:val="auto"/>
        </w:rPr>
      </w:pPr>
    </w:p>
    <w:p>
      <w:pPr>
        <w:jc w:val="both"/>
        <w:ind w:firstLine="262"/>
        <w:spacing w:after="0" w:line="256" w:lineRule="auto"/>
        <w:rPr>
          <w:sz w:val="20"/>
          <w:szCs w:val="20"/>
          <w:color w:val="auto"/>
        </w:rPr>
      </w:pPr>
      <w:r>
        <w:rPr>
          <w:rFonts w:ascii="Arial" w:cs="Arial" w:eastAsia="Arial" w:hAnsi="Arial"/>
          <w:sz w:val="18"/>
          <w:szCs w:val="18"/>
          <w:color w:val="auto"/>
        </w:rPr>
        <w:t>In March 2003, Credicorp started the initiative of reducing, in the three years starting from such date, BCP’s efficiency ratio from 56% in 2002 to 50% and Credicorp’s efficiency ratio from 52% in 2002 to 45%. Credicorp intends to reach these targets without sacrificing the quality of its customer service, which Credicorp will continue to monitor closely. The efficiency ratio at BCP, excluding non-recurring revenues and expenses, improved to 51.9% in 2003 from 55.8% in 2002. At Credicorp, the efficiency ratio improved to 50.6% in 2003 from 52.1% in 2002.</w:t>
      </w:r>
    </w:p>
    <w:p>
      <w:pPr>
        <w:spacing w:after="0" w:line="197" w:lineRule="exact"/>
        <w:rPr>
          <w:sz w:val="20"/>
          <w:szCs w:val="20"/>
          <w:color w:val="auto"/>
        </w:rPr>
      </w:pPr>
    </w:p>
    <w:p>
      <w:pPr>
        <w:jc w:val="both"/>
        <w:ind w:firstLine="227"/>
        <w:spacing w:after="0" w:line="256" w:lineRule="auto"/>
        <w:rPr>
          <w:sz w:val="20"/>
          <w:szCs w:val="20"/>
          <w:color w:val="auto"/>
        </w:rPr>
      </w:pPr>
      <w:r>
        <w:rPr>
          <w:rFonts w:ascii="Arial" w:cs="Arial" w:eastAsia="Arial" w:hAnsi="Arial"/>
          <w:sz w:val="18"/>
          <w:szCs w:val="18"/>
          <w:color w:val="auto"/>
        </w:rPr>
        <w:t>Credicorp expects its insurance business, carried out by its subsidiary PPS, to increase its profitability in 2004 through lower net claims, decreased charges for reserves and increased premiums in its life insurance and annuities businesses. In 2004, PPS will focus on successfully merging the operations of Novasalud EPS, which is expected to more than double the volume of its own subsidiary in the private health insurance segment. PPS will also take steps to reduce further the rate of claims.</w:t>
      </w:r>
    </w:p>
    <w:p>
      <w:pPr>
        <w:spacing w:after="0" w:line="197"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8"/>
          <w:szCs w:val="18"/>
          <w:color w:val="auto"/>
        </w:rPr>
        <w:t>In 2004, ASHC will continue its 2003 strategy of balancing its investment portfolio to reduce exposure to market volatility while sustaining growth in the management of third-party funds. In Bolivia and Colombia, Credicorp expects that neither BCB nor Banco Tequendama will require additional capital support in 2004, and that each entity will return to profitability during the course of the year. In 2004, BCB will focus on consolidating changes carried out in 2003 to improve credit management and portfolio quality, increase profitability through an increase in service fee income and improve quality of service. Banco Tequendama will continue to focus its strategy upon increasing its volume of operations, particularly in the Personal Banking segment, while keeping low risk requirements.</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(3) Commercial Banking</w:t>
      </w:r>
    </w:p>
    <w:p>
      <w:pPr>
        <w:spacing w:after="0" w:line="225" w:lineRule="exact"/>
        <w:rPr>
          <w:sz w:val="20"/>
          <w:szCs w:val="20"/>
          <w:color w:val="auto"/>
        </w:rPr>
      </w:pPr>
    </w:p>
    <w:p>
      <w:pPr>
        <w:jc w:val="both"/>
        <w:ind w:firstLine="254"/>
        <w:spacing w:after="0" w:line="332" w:lineRule="auto"/>
        <w:rPr>
          <w:sz w:val="20"/>
          <w:szCs w:val="20"/>
          <w:color w:val="auto"/>
        </w:rPr>
      </w:pPr>
      <w:r>
        <w:rPr>
          <w:rFonts w:ascii="Arial" w:cs="Arial" w:eastAsia="Arial" w:hAnsi="Arial"/>
          <w:sz w:val="16"/>
          <w:szCs w:val="16"/>
          <w:color w:val="auto"/>
        </w:rPr>
        <w:t>The majority of Credicorp’s commercial banking business is carried out through BCP, Credicorp’s largest subsidiary and the largest and oldest bank in Perú. As of December 31, 2003, BCP ranked first among Peruvian banks with S/.22.9 billion (US$6.6 billion) in total assets, S/.14.2 billion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58" w:right="239" w:bottom="1440" w:gutter="0" w:footer="0" w:header="0"/>
        </w:sectPr>
      </w:pPr>
    </w:p>
    <w:bookmarkStart w:id="19" w:name="page20"/>
    <w:bookmarkEnd w:id="19"/>
    <w:p>
      <w:pPr>
        <w:jc w:val="both"/>
        <w:spacing w:after="0" w:line="298" w:lineRule="auto"/>
        <w:rPr>
          <w:sz w:val="20"/>
          <w:szCs w:val="20"/>
          <w:color w:val="auto"/>
        </w:rPr>
      </w:pPr>
      <w:r>
        <w:rPr>
          <w:rFonts w:ascii="Arial" w:cs="Arial" w:eastAsia="Arial" w:hAnsi="Arial"/>
          <w:sz w:val="16"/>
          <w:szCs w:val="16"/>
          <w:color w:val="auto"/>
        </w:rPr>
        <w:t>(US$4.1 billion) in total loans, S/.18.5 billion (US$5.3 billion) in deposits and S/.2,235 million (US$645 million) of shareholders’ equity. BCP’s net income for 2002 and 2003 was S/.232.7 million (US$67.2 million) and S/.308.8 million (US$89.2 million), respectively. As of December 31, 2003, BCP’s loans in the Peruvian banking system represented approximately 34.4% of the system’s total, and BCP’s deposits represented approximately 36.1% of total deposits in the Peruvian banking system, increasing from 29.7% and 33.9%, respectively, as of December 31, 2002.</w:t>
      </w:r>
    </w:p>
    <w:p>
      <w:pPr>
        <w:spacing w:after="0" w:line="167" w:lineRule="exact"/>
        <w:rPr>
          <w:sz w:val="20"/>
          <w:szCs w:val="20"/>
          <w:color w:val="auto"/>
        </w:rPr>
      </w:pPr>
    </w:p>
    <w:p>
      <w:pPr>
        <w:jc w:val="both"/>
        <w:ind w:firstLine="232"/>
        <w:spacing w:after="0" w:line="259" w:lineRule="auto"/>
        <w:rPr>
          <w:sz w:val="20"/>
          <w:szCs w:val="20"/>
          <w:color w:val="auto"/>
        </w:rPr>
      </w:pPr>
      <w:r>
        <w:rPr>
          <w:rFonts w:ascii="Arial" w:cs="Arial" w:eastAsia="Arial" w:hAnsi="Arial"/>
          <w:sz w:val="18"/>
          <w:szCs w:val="18"/>
          <w:color w:val="auto"/>
        </w:rPr>
        <w:t>At December 31, 2003, BCP had the largest branch network of any commercial bank in Perú with 208 branches, including 116 in Lima and the adjoining city of Callao. BCP operates an agency in Miami and a foreign branch in Panama. As discussed above, during 2003, BCP converted BCOL into a vehicle to conduct investments and sold it to ASHC.</w:t>
      </w:r>
    </w:p>
    <w:p>
      <w:pPr>
        <w:spacing w:after="0" w:line="194" w:lineRule="exact"/>
        <w:rPr>
          <w:sz w:val="20"/>
          <w:szCs w:val="20"/>
          <w:color w:val="auto"/>
        </w:rPr>
      </w:pPr>
    </w:p>
    <w:p>
      <w:pPr>
        <w:jc w:val="both"/>
        <w:ind w:firstLine="285"/>
        <w:spacing w:after="0" w:line="286" w:lineRule="auto"/>
        <w:rPr>
          <w:sz w:val="20"/>
          <w:szCs w:val="20"/>
          <w:color w:val="auto"/>
        </w:rPr>
      </w:pPr>
      <w:r>
        <w:rPr>
          <w:rFonts w:ascii="Arial" w:cs="Arial" w:eastAsia="Arial" w:hAnsi="Arial"/>
          <w:sz w:val="16"/>
          <w:szCs w:val="16"/>
          <w:color w:val="auto"/>
        </w:rPr>
        <w:t>A portion of Credicorp’s commercial banking business is also carried out by ASHC, which principally serves Peruvian private banking customers through offices in Panama. At December 31, 2003, ASHC had total assets of US$776.3 million and shareholders’ equity of US$112.9 million (compared with US$666.5 million and US$110.3 million, respectively, as of December 31, 2002). ASHC’s net income was US$10.9 million in 2003 and US$5.8 million in 2002. The increase in income from 2002 to 2003 was principally the result of increased gains by its investment portfolio. Loans outstanding, net of provisions, in ASHC’s portfolio totaled US$176.1 million, US$160.5 million and US$152.4 million at December 31, 2001, 2002 and 2003, respectively, representing a decrease of 8.9% between 2001 and 2002 and of 5.0% between 2002 and 2003. Deposits increased 15.6% to US$629.4 million at December 31, 2003 from US$544.3 million at December 31, 2002, after decreasing 2.0% from US$555.7 million at December 31, 2001. Third party assets under management increased 29.2% from US$422.0 million in 2001 to US$545.3 million in 2002, and again by 21.8% to US$664.1 million in 2003, principally due to decreasing interest rates paid on deposits and to the introduction of new products, notably mutual funds. ASHC’s past due loans as a percentage of total loans was 0.0% from 1996 through 2002, but reached 2.3% as of December 2003, while reserves for probable loan losses increased from US$688,000 in 2001 to US$1.9 million in 2002, and further to US$4.8 million in 2003. In 2003, past due loans increased, principally to corporate customers. Nevertheless, as December 31, 2003, past due loans were covered in excess by loan loss provisions, with a coverage ratio of 131.0%.</w:t>
      </w:r>
    </w:p>
    <w:p>
      <w:pPr>
        <w:spacing w:after="0" w:line="178" w:lineRule="exact"/>
        <w:rPr>
          <w:sz w:val="20"/>
          <w:szCs w:val="20"/>
          <w:color w:val="auto"/>
        </w:rPr>
      </w:pPr>
    </w:p>
    <w:p>
      <w:pPr>
        <w:jc w:val="both"/>
        <w:ind w:firstLine="242"/>
        <w:spacing w:after="0" w:line="259" w:lineRule="auto"/>
        <w:rPr>
          <w:sz w:val="20"/>
          <w:szCs w:val="20"/>
          <w:color w:val="auto"/>
        </w:rPr>
      </w:pPr>
      <w:r>
        <w:rPr>
          <w:rFonts w:ascii="Arial" w:cs="Arial" w:eastAsia="Arial" w:hAnsi="Arial"/>
          <w:sz w:val="18"/>
          <w:szCs w:val="18"/>
          <w:color w:val="auto"/>
        </w:rPr>
        <w:t>Credicorp conducts commercial banking activities in Bolivia through BCB, a full service commercial bank with, as of December 31, 2003, US$354.7 million in deposits, US$446.2 million in assets and US$262.5 million in net loans. As of December 31, 2003, BCB was the fourth largest Bolivian bank in terms of loans, with a 12.2% market share, and also the fourth largest in terms of deposits, with a 12.5% market share.</w:t>
      </w:r>
    </w:p>
    <w:p>
      <w:pPr>
        <w:spacing w:after="0" w:line="194" w:lineRule="exact"/>
        <w:rPr>
          <w:sz w:val="20"/>
          <w:szCs w:val="20"/>
          <w:color w:val="auto"/>
        </w:rPr>
      </w:pPr>
    </w:p>
    <w:p>
      <w:pPr>
        <w:jc w:val="both"/>
        <w:ind w:firstLine="233"/>
        <w:spacing w:after="0" w:line="298" w:lineRule="auto"/>
        <w:rPr>
          <w:sz w:val="20"/>
          <w:szCs w:val="20"/>
          <w:color w:val="auto"/>
        </w:rPr>
      </w:pPr>
      <w:r>
        <w:rPr>
          <w:rFonts w:ascii="Arial" w:cs="Arial" w:eastAsia="Arial" w:hAnsi="Arial"/>
          <w:sz w:val="16"/>
          <w:szCs w:val="16"/>
          <w:color w:val="auto"/>
        </w:rPr>
        <w:t>Credicorp also carries out commercial banking operations in Colombia through Banco Tequendama, which as of December 31, 2003 had US$187.5 million in deposits, US$293.9 million in assets and US$232.1 million in loans. In December 2002, Banco Tequendama sold its branches in Venezuela. In the past years, Credicorp has supported Banco Tequendama’s operations with capital contributions of US$5 million in 1998 and US$6 million in 1999 and the purchase of approximately US$37 million of distressed loans and assets received in lieu of loan repayment. See “—(C) Organizational Structure.”</w:t>
      </w:r>
    </w:p>
    <w:p>
      <w:pPr>
        <w:spacing w:after="0" w:line="167" w:lineRule="exact"/>
        <w:rPr>
          <w:sz w:val="20"/>
          <w:szCs w:val="20"/>
          <w:color w:val="auto"/>
        </w:rPr>
      </w:pPr>
    </w:p>
    <w:p>
      <w:pPr>
        <w:jc w:val="both"/>
        <w:ind w:firstLine="251"/>
        <w:spacing w:after="0" w:line="298" w:lineRule="auto"/>
        <w:rPr>
          <w:sz w:val="20"/>
          <w:szCs w:val="20"/>
          <w:color w:val="auto"/>
        </w:rPr>
      </w:pPr>
      <w:r>
        <w:rPr>
          <w:rFonts w:ascii="Arial" w:cs="Arial" w:eastAsia="Arial" w:hAnsi="Arial"/>
          <w:sz w:val="16"/>
          <w:szCs w:val="16"/>
          <w:color w:val="auto"/>
        </w:rPr>
        <w:t>Credicorp’s commercial banking business is organized into wholesale banking activities, which are carried out by BCP’s Wholesale Banking division (which includes the Corporate Banking operations of ASHC) and retail banking activities, which are carried out by BCP’s Personal Banking and Service Banking divisions. Wholesale Banking is responsible for (i) corporate banking, (ii) middle market banking, (iii) international trade finance, (iv) corporate finance, (v) business finance, and (vi) business services. Retail banking activities include (i) exclusive banking, (ii) small business lending,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31" w:right="239" w:bottom="1440" w:gutter="0" w:footer="0" w:header="0"/>
        </w:sectPr>
      </w:pPr>
    </w:p>
    <w:bookmarkStart w:id="20" w:name="page21"/>
    <w:bookmarkEnd w:id="20"/>
    <w:p>
      <w:pPr>
        <w:jc w:val="both"/>
        <w:ind w:firstLine="8"/>
        <w:spacing w:after="0" w:line="259" w:lineRule="auto"/>
        <w:tabs>
          <w:tab w:leader="none" w:pos="307" w:val="left"/>
        </w:tabs>
        <w:numPr>
          <w:ilvl w:val="0"/>
          <w:numId w:val="8"/>
        </w:numPr>
        <w:rPr>
          <w:rFonts w:ascii="Arial" w:cs="Arial" w:eastAsia="Arial" w:hAnsi="Arial"/>
          <w:sz w:val="18"/>
          <w:szCs w:val="18"/>
          <w:color w:val="auto"/>
        </w:rPr>
      </w:pPr>
      <w:r>
        <w:rPr>
          <w:rFonts w:ascii="Arial" w:cs="Arial" w:eastAsia="Arial" w:hAnsi="Arial"/>
          <w:sz w:val="18"/>
          <w:szCs w:val="18"/>
          <w:color w:val="auto"/>
        </w:rPr>
        <w:t>mortgage lending, (iv) credit cards, (v) consumer finance and (vi) institutional banking. Although attracting deposits is a function of all of the banking areas, Credicorp’s deposit-taking activities are concentrated primarily in the Consumer and Personal retail banking areas of BCP and the Private Banking division of ASHC.</w:t>
      </w:r>
    </w:p>
    <w:p>
      <w:pPr>
        <w:spacing w:after="0" w:line="194" w:lineRule="exact"/>
        <w:rPr>
          <w:sz w:val="20"/>
          <w:szCs w:val="20"/>
          <w:color w:val="auto"/>
        </w:rPr>
      </w:pPr>
    </w:p>
    <w:p>
      <w:pPr>
        <w:jc w:val="both"/>
        <w:ind w:firstLine="343"/>
        <w:spacing w:after="0" w:line="294" w:lineRule="auto"/>
        <w:rPr>
          <w:sz w:val="20"/>
          <w:szCs w:val="20"/>
          <w:color w:val="auto"/>
        </w:rPr>
      </w:pPr>
      <w:r>
        <w:rPr>
          <w:rFonts w:ascii="Arial" w:cs="Arial" w:eastAsia="Arial" w:hAnsi="Arial"/>
          <w:sz w:val="16"/>
          <w:szCs w:val="16"/>
          <w:color w:val="auto"/>
        </w:rPr>
        <w:t>Credicorp’s total loan portfolio experienced an increase of 11.6% in 1998, but decreased by 7.2% in 1999, 6.0% in 2000 and 8.7% in 2001. In 2002, Credicorp’s total loan portfolio increased by 18.5% but declined by 7.0% during 2003. These changes, together with changes in its client mix, could be accompanied by increased risk, not only due to the speed and magnitude of the increases, but also due to the shift to middle market, small business and consumer lending sectors, areas in which Credicorp lacks the experience that it has in its more traditional lending activities, particularly corporate lending. Given the changing composition of Credicorp’s loan portfolio, Credicorp’s historical loan loss experience may not be indicative of future loan losses.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 Wholesale Banking</w:t>
      </w:r>
    </w:p>
    <w:p>
      <w:pPr>
        <w:spacing w:after="0" w:line="225" w:lineRule="exact"/>
        <w:rPr>
          <w:sz w:val="20"/>
          <w:szCs w:val="20"/>
          <w:color w:val="auto"/>
        </w:rPr>
      </w:pPr>
    </w:p>
    <w:p>
      <w:pPr>
        <w:jc w:val="both"/>
        <w:ind w:firstLine="265"/>
        <w:spacing w:after="0" w:line="256" w:lineRule="auto"/>
        <w:rPr>
          <w:sz w:val="20"/>
          <w:szCs w:val="20"/>
          <w:color w:val="auto"/>
        </w:rPr>
      </w:pPr>
      <w:r>
        <w:rPr>
          <w:rFonts w:ascii="Arial" w:cs="Arial" w:eastAsia="Arial" w:hAnsi="Arial"/>
          <w:sz w:val="18"/>
          <w:szCs w:val="18"/>
          <w:color w:val="auto"/>
        </w:rPr>
        <w:t>Credicorp conducts wholesale banking primarily through BCP’s Wholesale Banking division, ASHC’s Corporate Banking division and, since January 1997, through Banco Tequendama. Given the modernization and internationalization of Peruvian financial markets, BCP’s Wholesale Banking division not only competes with local banks but also with international banks offering very competitive rates. BCP’s traditional relationships continue, however, to provide the Wholesale Banking division with a competitive advantage.</w:t>
      </w:r>
    </w:p>
    <w:p>
      <w:pPr>
        <w:spacing w:after="0" w:line="197" w:lineRule="exact"/>
        <w:rPr>
          <w:sz w:val="20"/>
          <w:szCs w:val="20"/>
          <w:color w:val="auto"/>
        </w:rPr>
      </w:pPr>
    </w:p>
    <w:p>
      <w:pPr>
        <w:jc w:val="both"/>
        <w:ind w:firstLine="226"/>
        <w:spacing w:after="0" w:line="253" w:lineRule="auto"/>
        <w:rPr>
          <w:sz w:val="20"/>
          <w:szCs w:val="20"/>
          <w:color w:val="auto"/>
        </w:rPr>
      </w:pPr>
      <w:r>
        <w:rPr>
          <w:rFonts w:ascii="Arial" w:cs="Arial" w:eastAsia="Arial" w:hAnsi="Arial"/>
          <w:sz w:val="18"/>
          <w:szCs w:val="18"/>
          <w:color w:val="auto"/>
        </w:rPr>
        <w:t>BCP’s Wholesale Banking division has traditionally generated the majority of BCP’s loans. BCP estimates that approximately 68.1% of its loans and 94.8% of its other extensions of credit (primarily guarantees and letters of credit) at December 31, 2003 were to customers in its Wholesale Banking division. BCP has the largest capital base of any Peruvian bank, which provides it with more resources than any other Peruvian bank to meet the financing needs of its corporate clients. See “—(8) Competition.”Because Peruvian companies were not able to access international sources of credit until the mid-1990’s, BCP has established longstanding client relationships with virtually all of the major industrial and commercial groups in Perú. BCP’s Wholesale Banking division provides its customers with short and medium term, local and foreign currency loans; foreign trade-related financing; and lease financing. BCP’s Wholesale Banking division is divided into:</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corporate banking, which provides loans and other credit services to companies with annual revenues in excess of US$15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middle market banking, which serves mid-sized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international trade finance, which manages BCP’s relationship with financial institutions abroad;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corporate finance, which provides underwriting and financial advisory services to corporate and middle market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business finance, which finances business projects and manages the financial leasing product;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business services, which develops transactional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31" w:right="239" w:bottom="1440" w:gutter="0" w:footer="0" w:header="0"/>
        </w:sectPr>
      </w:pPr>
    </w:p>
    <w:bookmarkStart w:id="21" w:name="page22"/>
    <w:bookmarkEnd w:id="21"/>
    <w:p>
      <w:pPr>
        <w:jc w:val="both"/>
        <w:ind w:firstLine="244"/>
        <w:spacing w:after="0" w:line="268" w:lineRule="auto"/>
        <w:rPr>
          <w:sz w:val="20"/>
          <w:szCs w:val="20"/>
          <w:color w:val="auto"/>
        </w:rPr>
      </w:pPr>
      <w:r>
        <w:rPr>
          <w:rFonts w:ascii="Arial" w:cs="Arial" w:eastAsia="Arial" w:hAnsi="Arial"/>
          <w:sz w:val="18"/>
          <w:szCs w:val="18"/>
          <w:color w:val="auto"/>
        </w:rPr>
        <w:t>Although state-controlled corporations are served by BCP’s Wholesale Banking division, mostly in connection with international trade finance, BCP has not extended any substantial loans directly to the Peruvian government or to regional or municipal governments.</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Corporate Banking</w:t>
      </w:r>
    </w:p>
    <w:p>
      <w:pPr>
        <w:spacing w:after="0" w:line="225" w:lineRule="exact"/>
        <w:rPr>
          <w:sz w:val="20"/>
          <w:szCs w:val="20"/>
          <w:color w:val="auto"/>
        </w:rPr>
      </w:pPr>
    </w:p>
    <w:p>
      <w:pPr>
        <w:jc w:val="both"/>
        <w:ind w:firstLine="355"/>
        <w:spacing w:after="0" w:line="291" w:lineRule="auto"/>
        <w:rPr>
          <w:sz w:val="20"/>
          <w:szCs w:val="20"/>
          <w:color w:val="auto"/>
        </w:rPr>
      </w:pPr>
      <w:r>
        <w:rPr>
          <w:rFonts w:ascii="Arial" w:cs="Arial" w:eastAsia="Arial" w:hAnsi="Arial"/>
          <w:sz w:val="16"/>
          <w:szCs w:val="16"/>
          <w:color w:val="auto"/>
        </w:rPr>
        <w:t>Credicorp conducts its corporate banking activities primarily through BCP and to a lesser extent ASHC. BCP’s Corporate Banking area has been the traditional strength of BCP’s lending business, providing banking services to virtually all of the major industrial and commercial enterprises in Perú. BCP believes that it has an advantage in servicing the larger corporations in Perú because of its strong capital base and relative size compared to other Peruvian banks. BCP’s Corporate Banking area primarily provides its customers with local and foreign currency loans and has primary responsibility for maintaining client relationships with BCP’s largest banking clients. In addition, BCP’s Corporate Banking area provides services such as letters of credit and standby letters of credit, domestic collections and nationwide fund transfers, payments through BCP’s Miami agency and foreign exchange facilities.</w:t>
      </w:r>
    </w:p>
    <w:p>
      <w:pPr>
        <w:spacing w:after="0" w:line="174" w:lineRule="exact"/>
        <w:rPr>
          <w:sz w:val="20"/>
          <w:szCs w:val="20"/>
          <w:color w:val="auto"/>
        </w:rPr>
      </w:pPr>
    </w:p>
    <w:p>
      <w:pPr>
        <w:jc w:val="both"/>
        <w:ind w:firstLine="332"/>
        <w:spacing w:after="0" w:line="256" w:lineRule="auto"/>
        <w:rPr>
          <w:sz w:val="20"/>
          <w:szCs w:val="20"/>
          <w:color w:val="auto"/>
        </w:rPr>
      </w:pPr>
      <w:r>
        <w:rPr>
          <w:rFonts w:ascii="Arial" w:cs="Arial" w:eastAsia="Arial" w:hAnsi="Arial"/>
          <w:sz w:val="18"/>
          <w:szCs w:val="18"/>
          <w:color w:val="auto"/>
        </w:rPr>
        <w:t>Loan contribution for this area represented 43% of total BCP loans in 2003. The composition of these loans was approximately 80% foreign currency-denominated (primarily U.S. dollar-denominated) and 20% Nuevo Sol-denominated. During 2003, corporate loans continued their declining margins due to excess liquidity and the competition from financing through capital market issues, which was partly offset by the increase in local currency lending, which has higher rates and spreads.</w:t>
      </w:r>
    </w:p>
    <w:p>
      <w:pPr>
        <w:spacing w:after="0" w:line="197" w:lineRule="exact"/>
        <w:rPr>
          <w:sz w:val="20"/>
          <w:szCs w:val="20"/>
          <w:color w:val="auto"/>
        </w:rPr>
      </w:pPr>
    </w:p>
    <w:p>
      <w:pPr>
        <w:jc w:val="both"/>
        <w:ind w:firstLine="300"/>
        <w:spacing w:after="0" w:line="259" w:lineRule="auto"/>
        <w:rPr>
          <w:sz w:val="20"/>
          <w:szCs w:val="20"/>
          <w:color w:val="auto"/>
        </w:rPr>
      </w:pPr>
      <w:r>
        <w:rPr>
          <w:rFonts w:ascii="Arial" w:cs="Arial" w:eastAsia="Arial" w:hAnsi="Arial"/>
          <w:sz w:val="18"/>
          <w:szCs w:val="18"/>
          <w:color w:val="auto"/>
        </w:rPr>
        <w:t>ASHC’s Corporate Banking division makes working capital and bridge loans. As of December 31, 2003, approximately 63.3% of ASHC’s loans were to Peruvian companies, 11.1% were to companies in Bolivia, an additional 4.6% were to companies in Colombia and the remainder were to borrowers in other Latin American countries.</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Middle Market Banking</w:t>
      </w:r>
    </w:p>
    <w:p>
      <w:pPr>
        <w:spacing w:after="0" w:line="225" w:lineRule="exact"/>
        <w:rPr>
          <w:sz w:val="20"/>
          <w:szCs w:val="20"/>
          <w:color w:val="auto"/>
        </w:rPr>
      </w:pPr>
    </w:p>
    <w:p>
      <w:pPr>
        <w:jc w:val="both"/>
        <w:ind w:firstLine="220"/>
        <w:spacing w:after="0" w:line="306" w:lineRule="auto"/>
        <w:rPr>
          <w:sz w:val="20"/>
          <w:szCs w:val="20"/>
          <w:color w:val="auto"/>
        </w:rPr>
      </w:pPr>
      <w:r>
        <w:rPr>
          <w:rFonts w:ascii="Arial" w:cs="Arial" w:eastAsia="Arial" w:hAnsi="Arial"/>
          <w:sz w:val="16"/>
          <w:szCs w:val="16"/>
          <w:color w:val="auto"/>
        </w:rPr>
        <w:t>BCP’s Middle Market Banking division generally serves the same industries and offers the same products as the Corporate Banking area. Its focus, however, is on providing its customers with working capital loans, primarily secured by accounts receivable. This is accomplished by arranging financing for medium and long-term investment programs, including leasing services offered through Crédito Leasing (“Credileasing”), a subsidiary of BCP.</w:t>
      </w:r>
    </w:p>
    <w:p>
      <w:pPr>
        <w:spacing w:after="0" w:line="161" w:lineRule="exact"/>
        <w:rPr>
          <w:sz w:val="20"/>
          <w:szCs w:val="20"/>
          <w:color w:val="auto"/>
        </w:rPr>
      </w:pPr>
    </w:p>
    <w:p>
      <w:pPr>
        <w:jc w:val="both"/>
        <w:ind w:firstLine="220"/>
        <w:spacing w:after="0" w:line="298" w:lineRule="auto"/>
        <w:rPr>
          <w:sz w:val="20"/>
          <w:szCs w:val="20"/>
          <w:color w:val="auto"/>
        </w:rPr>
      </w:pPr>
      <w:r>
        <w:rPr>
          <w:rFonts w:ascii="Arial" w:cs="Arial" w:eastAsia="Arial" w:hAnsi="Arial"/>
          <w:sz w:val="16"/>
          <w:szCs w:val="16"/>
          <w:color w:val="auto"/>
        </w:rPr>
        <w:t>Credicorp conducts middle market lending primarily through BCP and Banco Tequendama, and, to a much lesser extent, through ASHC. The loan portfolio of the Middle Market Banking division of BCP, after growing significantly in earlier years, contracted from US$1.3 billion in 1999 to US$1.0 billion in 2001, grew to US$1.2 billion in 2002 but decreased back to US$1.0 billion in 2003, while stringent credit quality requirements continued to be enforced. Credicorp expects this sector to grow and increase in relative importance as the Peruvian economy grows.</w:t>
      </w:r>
    </w:p>
    <w:p>
      <w:pPr>
        <w:spacing w:after="0" w:line="167" w:lineRule="exact"/>
        <w:rPr>
          <w:sz w:val="20"/>
          <w:szCs w:val="20"/>
          <w:color w:val="auto"/>
        </w:rPr>
      </w:pPr>
    </w:p>
    <w:p>
      <w:pPr>
        <w:jc w:val="both"/>
        <w:ind w:firstLine="231"/>
        <w:spacing w:after="0" w:line="259" w:lineRule="auto"/>
        <w:rPr>
          <w:sz w:val="20"/>
          <w:szCs w:val="20"/>
          <w:color w:val="auto"/>
        </w:rPr>
      </w:pPr>
      <w:r>
        <w:rPr>
          <w:rFonts w:ascii="Arial" w:cs="Arial" w:eastAsia="Arial" w:hAnsi="Arial"/>
          <w:sz w:val="18"/>
          <w:szCs w:val="18"/>
          <w:color w:val="auto"/>
        </w:rPr>
        <w:t>Despite decreased loan quality in the sector, Credicorp sees significant opportunities in lending to middle market businesses, particularly in Perú’s agriculture, fishing and construction industries, where special emphasis has been placed and specific task units have been created to attend to the needs of these economic groups.</w:t>
      </w:r>
    </w:p>
    <w:p>
      <w:pPr>
        <w:spacing w:after="0" w:line="194" w:lineRule="exact"/>
        <w:rPr>
          <w:sz w:val="20"/>
          <w:szCs w:val="20"/>
          <w:color w:val="auto"/>
        </w:rPr>
      </w:pPr>
    </w:p>
    <w:p>
      <w:pPr>
        <w:jc w:val="both"/>
        <w:ind w:firstLine="248"/>
        <w:spacing w:after="0" w:line="259" w:lineRule="auto"/>
        <w:rPr>
          <w:sz w:val="20"/>
          <w:szCs w:val="20"/>
          <w:color w:val="auto"/>
        </w:rPr>
      </w:pPr>
      <w:r>
        <w:rPr>
          <w:rFonts w:ascii="Arial" w:cs="Arial" w:eastAsia="Arial" w:hAnsi="Arial"/>
          <w:sz w:val="18"/>
          <w:szCs w:val="18"/>
          <w:color w:val="auto"/>
        </w:rPr>
        <w:t>BCP’s medium-term financing products, which include structured loans, project financing and syndicated transactions, are designed to accommodate specific clients’ needs. Through these products, BCP has been an active lender and financial advisor to Perú’s mining, technology and energy sectors. In addition to its regular sources of funds, BCP is an intermediary in several medium-term credit lines for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31" w:right="239" w:bottom="1440" w:gutter="0" w:footer="0" w:header="0"/>
        </w:sectPr>
      </w:pPr>
    </w:p>
    <w:bookmarkStart w:id="22" w:name="page23"/>
    <w:bookmarkEnd w:id="22"/>
    <w:p>
      <w:pPr>
        <w:jc w:val="both"/>
        <w:spacing w:after="0" w:line="259" w:lineRule="auto"/>
        <w:rPr>
          <w:sz w:val="20"/>
          <w:szCs w:val="20"/>
          <w:color w:val="auto"/>
        </w:rPr>
      </w:pPr>
      <w:r>
        <w:rPr>
          <w:rFonts w:ascii="Arial" w:cs="Arial" w:eastAsia="Arial" w:hAnsi="Arial"/>
          <w:sz w:val="18"/>
          <w:szCs w:val="18"/>
          <w:color w:val="auto"/>
        </w:rPr>
        <w:t>project financings in certain sectors for Corporación Financiera de Desarrollo (Development Finance Corporation or “COFIDE”) and such international financial institutions as Corporación Andina de Fomento (Andean Development Corporation or “CAF”), the International Finance Corporation (“IFC”) and the Inter-American Development Bank.</w:t>
      </w:r>
    </w:p>
    <w:p>
      <w:pPr>
        <w:spacing w:after="0" w:line="194" w:lineRule="exact"/>
        <w:rPr>
          <w:sz w:val="20"/>
          <w:szCs w:val="20"/>
          <w:color w:val="auto"/>
        </w:rPr>
      </w:pPr>
    </w:p>
    <w:p>
      <w:pPr>
        <w:jc w:val="both"/>
        <w:ind w:firstLine="242"/>
        <w:spacing w:after="0" w:line="290" w:lineRule="auto"/>
        <w:rPr>
          <w:sz w:val="20"/>
          <w:szCs w:val="20"/>
          <w:color w:val="auto"/>
        </w:rPr>
      </w:pPr>
      <w:r>
        <w:rPr>
          <w:rFonts w:ascii="Arial" w:cs="Arial" w:eastAsia="Arial" w:hAnsi="Arial"/>
          <w:sz w:val="16"/>
          <w:szCs w:val="16"/>
          <w:color w:val="auto"/>
        </w:rPr>
        <w:t>Credicorp performs its leasing operations either directly through BCP or through Credileasing. At December 31, 2003, Credicorp’s leasing operations totaled US$372.4 million, 57.1% of which were recorded on the books of Credileasing. BCP’s lease finance business is currently estimated to be the largest in Perú, with a market share of approximately 45.2% at December 31, 2003. The principal means of financing for Credileasing is through the issuance of specific leasing bonds, of which a total of S/.567.5 million (US$163.9 million) were outstanding as of December 31, 2003, while Credicorp has a total outstanding of US$233.0 million, with the difference being issued by BCP. Management estimates that Credileasing’s market share among specialized leasing companies was 52.1% at December 31, 2003. Leasing customers are primarily companies engaged in manufacturing, communications, commerce and fishing that lease such items as machinery, equipment and vehicles.</w:t>
      </w:r>
    </w:p>
    <w:p>
      <w:pPr>
        <w:spacing w:after="0" w:line="172" w:lineRule="exact"/>
        <w:rPr>
          <w:sz w:val="20"/>
          <w:szCs w:val="20"/>
          <w:color w:val="auto"/>
        </w:rPr>
      </w:pPr>
    </w:p>
    <w:p>
      <w:pPr>
        <w:jc w:val="both"/>
        <w:ind w:firstLine="329"/>
        <w:spacing w:after="0" w:line="255" w:lineRule="auto"/>
        <w:rPr>
          <w:sz w:val="20"/>
          <w:szCs w:val="20"/>
          <w:color w:val="auto"/>
        </w:rPr>
      </w:pPr>
      <w:r>
        <w:rPr>
          <w:rFonts w:ascii="Arial" w:cs="Arial" w:eastAsia="Arial" w:hAnsi="Arial"/>
          <w:sz w:val="18"/>
          <w:szCs w:val="18"/>
          <w:color w:val="auto"/>
        </w:rPr>
        <w:t>The agricultural loan portfolio, with a balance of approximately US$142.7 million at year-end 2003, has a professional team of specialists that provide technical and financial assistance to other business units in assessing companies with operations in this sector. The unit collects and maintains an up-to-date database of valuable information that permits an accurate understanding of markets as well as forecasting. It also carries out feasibility studies and comparative analysis to which clients have access. Working in conjunction with organizations that represent the sector, management also offers training and specialist consultancy services to companies in the agricultural sector.</w:t>
      </w:r>
    </w:p>
    <w:p>
      <w:pPr>
        <w:spacing w:after="0" w:line="197" w:lineRule="exact"/>
        <w:rPr>
          <w:sz w:val="20"/>
          <w:szCs w:val="20"/>
          <w:color w:val="auto"/>
        </w:rPr>
      </w:pPr>
    </w:p>
    <w:p>
      <w:pPr>
        <w:jc w:val="both"/>
        <w:ind w:firstLine="325"/>
        <w:spacing w:after="0" w:line="259" w:lineRule="auto"/>
        <w:rPr>
          <w:sz w:val="20"/>
          <w:szCs w:val="20"/>
          <w:color w:val="auto"/>
        </w:rPr>
      </w:pPr>
      <w:r>
        <w:rPr>
          <w:rFonts w:ascii="Arial" w:cs="Arial" w:eastAsia="Arial" w:hAnsi="Arial"/>
          <w:sz w:val="18"/>
          <w:szCs w:val="18"/>
          <w:color w:val="auto"/>
        </w:rPr>
        <w:t>At the end of 2003, US$125.3 million of agricultural loans were structured under the Peruvian government-sponsored program of Programa de Rescate Financiero Agropecuario (Agricultural Financial Relief or “RFA”), which represented an opportunity to improve the solvency of Credicorp’s clients and the quality of the portfolio.</w:t>
      </w:r>
    </w:p>
    <w:p>
      <w:pPr>
        <w:spacing w:after="0" w:line="194" w:lineRule="exact"/>
        <w:rPr>
          <w:sz w:val="20"/>
          <w:szCs w:val="20"/>
          <w:color w:val="auto"/>
        </w:rPr>
      </w:pPr>
    </w:p>
    <w:p>
      <w:pPr>
        <w:jc w:val="both"/>
        <w:ind w:firstLine="253"/>
        <w:spacing w:after="0" w:line="298" w:lineRule="auto"/>
        <w:rPr>
          <w:sz w:val="20"/>
          <w:szCs w:val="20"/>
          <w:color w:val="auto"/>
        </w:rPr>
      </w:pPr>
      <w:r>
        <w:rPr>
          <w:rFonts w:ascii="Arial" w:cs="Arial" w:eastAsia="Arial" w:hAnsi="Arial"/>
          <w:sz w:val="16"/>
          <w:szCs w:val="16"/>
          <w:color w:val="auto"/>
        </w:rPr>
        <w:t>Financial margins in the middle market continue to be attractive. Because of their size, middle market companies in Perú generally do not have access to the local or international capital markets or to credit from foreign banks. In addition, Credicorp believes that middle market companies have benefited significantly from the overall economic improvements in Perú over the past few years. Loan quality problems have been addressed through procedures and organizational changes that have focused on improving the loan approval and credit-risk assessment processes. See “—(iii) Credit Policy and Review.”</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International Trade Finance</w:t>
      </w:r>
    </w:p>
    <w:p>
      <w:pPr>
        <w:spacing w:after="0" w:line="225" w:lineRule="exact"/>
        <w:rPr>
          <w:sz w:val="20"/>
          <w:szCs w:val="20"/>
          <w:color w:val="auto"/>
        </w:rPr>
      </w:pPr>
    </w:p>
    <w:p>
      <w:pPr>
        <w:jc w:val="both"/>
        <w:ind w:firstLine="224"/>
        <w:spacing w:after="0" w:line="294" w:lineRule="auto"/>
        <w:rPr>
          <w:sz w:val="20"/>
          <w:szCs w:val="20"/>
          <w:color w:val="auto"/>
        </w:rPr>
      </w:pPr>
      <w:r>
        <w:rPr>
          <w:rFonts w:ascii="Arial" w:cs="Arial" w:eastAsia="Arial" w:hAnsi="Arial"/>
          <w:sz w:val="16"/>
          <w:szCs w:val="16"/>
          <w:color w:val="auto"/>
        </w:rPr>
        <w:t>BCP’s international trade finance operations are focused primarily on providing short-term credit for international trade, funded with internal resources or with credit lines from foreign banks and institutions. Medium-term lines of credit funded by international commercial banks and other countries’ governmental institutions are also provided. In addition, BCP’s International Trade Finance area earns fees by providing customers with letters of credit or international collections and providing foreign exchange services to clients. The International Trade Finance area also promotes international trade activities by structuring Peruvian overseas commercial missions and introducing Peruvian businesses to potential foreign clients and vice versa.</w:t>
      </w:r>
    </w:p>
    <w:p>
      <w:pPr>
        <w:spacing w:after="0" w:line="170" w:lineRule="exact"/>
        <w:rPr>
          <w:sz w:val="20"/>
          <w:szCs w:val="20"/>
          <w:color w:val="auto"/>
        </w:rPr>
      </w:pPr>
    </w:p>
    <w:p>
      <w:pPr>
        <w:jc w:val="both"/>
        <w:ind w:firstLine="403"/>
        <w:spacing w:after="0" w:line="332" w:lineRule="auto"/>
        <w:rPr>
          <w:sz w:val="20"/>
          <w:szCs w:val="20"/>
          <w:color w:val="auto"/>
        </w:rPr>
      </w:pPr>
      <w:r>
        <w:rPr>
          <w:rFonts w:ascii="Arial" w:cs="Arial" w:eastAsia="Arial" w:hAnsi="Arial"/>
          <w:sz w:val="16"/>
          <w:szCs w:val="16"/>
          <w:color w:val="auto"/>
        </w:rPr>
        <w:t>In 2003, Peruvian exports increased 16.5% from US$7.7 billion to US$8.9 billion, principally due to increased exports of mining products and of manufactured goods. During the same year, BCP’s export facilities volume increased 31.0% to US$3.8 billion, amounting to 42.7% of total Peruvian exports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31" w:right="239" w:bottom="1440" w:gutter="0" w:footer="0" w:header="0"/>
        </w:sectPr>
      </w:pPr>
    </w:p>
    <w:bookmarkStart w:id="23" w:name="page24"/>
    <w:bookmarkEnd w:id="23"/>
    <w:p>
      <w:pPr>
        <w:jc w:val="both"/>
        <w:ind w:right="20"/>
        <w:spacing w:after="0" w:line="332" w:lineRule="auto"/>
        <w:rPr>
          <w:sz w:val="20"/>
          <w:szCs w:val="20"/>
          <w:color w:val="auto"/>
        </w:rPr>
      </w:pPr>
      <w:r>
        <w:rPr>
          <w:rFonts w:ascii="Arial" w:cs="Arial" w:eastAsia="Arial" w:hAnsi="Arial"/>
          <w:sz w:val="16"/>
          <w:szCs w:val="16"/>
          <w:color w:val="auto"/>
        </w:rPr>
        <w:t>(38.1% in 2002). Total Peruvian imports were US$8.3 billion in 2003, increasing 12.2% from US$7.4 billion in 2002, principally due to higher demand for raw materials. BCP’s import facilities volume in 2003 was US$1.6 billion, representing a 6.7% increase from 2002 and 20.5% of total imports (19.5% in 2002).</w:t>
      </w:r>
    </w:p>
    <w:p>
      <w:pPr>
        <w:spacing w:after="0" w:line="139" w:lineRule="exact"/>
        <w:rPr>
          <w:sz w:val="20"/>
          <w:szCs w:val="20"/>
          <w:color w:val="auto"/>
        </w:rPr>
      </w:pPr>
    </w:p>
    <w:p>
      <w:pPr>
        <w:jc w:val="both"/>
        <w:ind w:firstLine="250"/>
        <w:spacing w:after="0" w:line="306" w:lineRule="auto"/>
        <w:rPr>
          <w:sz w:val="20"/>
          <w:szCs w:val="20"/>
          <w:color w:val="auto"/>
        </w:rPr>
      </w:pPr>
      <w:r>
        <w:rPr>
          <w:rFonts w:ascii="Arial" w:cs="Arial" w:eastAsia="Arial" w:hAnsi="Arial"/>
          <w:sz w:val="16"/>
          <w:szCs w:val="16"/>
          <w:color w:val="auto"/>
        </w:rPr>
        <w:t>BCP has a direct presence abroad through an agency in Miami and a branch in Panama, and has access to a wide network of foreign correspondent banks, to offer several internationally competitive products to its customers. ASHC’s trade finance activities are conducted by its Corporate Banking division. ASHC has concentrated its extensions of credit on short-term trade transactions with Latin American countries other than Perú.</w:t>
      </w:r>
    </w:p>
    <w:p>
      <w:pPr>
        <w:spacing w:after="0" w:line="161" w:lineRule="exact"/>
        <w:rPr>
          <w:sz w:val="20"/>
          <w:szCs w:val="20"/>
          <w:color w:val="auto"/>
        </w:rPr>
      </w:pPr>
    </w:p>
    <w:p>
      <w:pPr>
        <w:jc w:val="both"/>
        <w:ind w:firstLine="240"/>
        <w:spacing w:after="0" w:line="306" w:lineRule="auto"/>
        <w:rPr>
          <w:sz w:val="20"/>
          <w:szCs w:val="20"/>
          <w:color w:val="auto"/>
        </w:rPr>
      </w:pPr>
      <w:r>
        <w:rPr>
          <w:rFonts w:ascii="Arial" w:cs="Arial" w:eastAsia="Arial" w:hAnsi="Arial"/>
          <w:sz w:val="16"/>
          <w:szCs w:val="16"/>
          <w:color w:val="auto"/>
        </w:rPr>
        <w:t>BCP carries out business with more than 1,000 correspondent banks, development organizations, multilateral financial bodies, and foreign government export promotion agencies. BCP has available credit lines of more than US$1.6 billion for foreign trade operations, financing of working capital and medium and long-term investment projects. During 2003, BCP’s significant surplus of liquidity allowed it to maintain a very low use of foreign lines of credit.</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Corporate Finance</w:t>
      </w:r>
    </w:p>
    <w:p>
      <w:pPr>
        <w:spacing w:after="0" w:line="225" w:lineRule="exact"/>
        <w:rPr>
          <w:sz w:val="20"/>
          <w:szCs w:val="20"/>
          <w:color w:val="auto"/>
        </w:rPr>
      </w:pPr>
    </w:p>
    <w:p>
      <w:pPr>
        <w:jc w:val="both"/>
        <w:ind w:firstLine="220"/>
        <w:spacing w:after="0" w:line="255" w:lineRule="auto"/>
        <w:rPr>
          <w:sz w:val="20"/>
          <w:szCs w:val="20"/>
          <w:color w:val="auto"/>
        </w:rPr>
      </w:pPr>
      <w:r>
        <w:rPr>
          <w:rFonts w:ascii="Arial" w:cs="Arial" w:eastAsia="Arial" w:hAnsi="Arial"/>
          <w:sz w:val="18"/>
          <w:szCs w:val="18"/>
          <w:color w:val="auto"/>
        </w:rPr>
        <w:t>BCP’s Corporate Finance area provides a wide range of underwriting and financial advisory services to corporate clients and middle market businesses and has a leading position in the local market. The Corporate Finance area was incorporated into BCP’s Wholesale Banking division in the first quarter of 1996 in order to enhance its effectiveness as the demands of Perú’s larger corporations move away from loan-based operations toward capital markets-based operations. This area focuses its transactions in the capital markets, primarily debt and equity issues, project financing, corporate financing, financial restructurings and mergers and acquisitions.</w:t>
      </w:r>
    </w:p>
    <w:p>
      <w:pPr>
        <w:spacing w:after="0" w:line="197" w:lineRule="exact"/>
        <w:rPr>
          <w:sz w:val="20"/>
          <w:szCs w:val="20"/>
          <w:color w:val="auto"/>
        </w:rPr>
      </w:pPr>
    </w:p>
    <w:p>
      <w:pPr>
        <w:jc w:val="both"/>
        <w:ind w:firstLine="258"/>
        <w:spacing w:after="0" w:line="298" w:lineRule="auto"/>
        <w:rPr>
          <w:sz w:val="20"/>
          <w:szCs w:val="20"/>
          <w:color w:val="auto"/>
        </w:rPr>
      </w:pPr>
      <w:r>
        <w:rPr>
          <w:rFonts w:ascii="Arial" w:cs="Arial" w:eastAsia="Arial" w:hAnsi="Arial"/>
          <w:sz w:val="16"/>
          <w:szCs w:val="16"/>
          <w:color w:val="auto"/>
        </w:rPr>
        <w:t>In 2003, BCP’s share of the market for structuring fixed-income instruments was 37%, as compared to 44% in the previous year, amid significant growth in such market which increased 55% to US$1.5 billion. In 2003, the Corporate Finance area placed corporate bonds, securitized bonds, financial leasing and short-term instruments for a total transaction volume of US$553 million. Among the most important placements of instruments of long-term debt were issues by Cementos Pacasmayo (US$80 million), Electroandes (US$80 million), and Red de Energía del Peru (US$50 million).</w:t>
      </w:r>
    </w:p>
    <w:p>
      <w:pPr>
        <w:spacing w:after="0" w:line="167" w:lineRule="exact"/>
        <w:rPr>
          <w:sz w:val="20"/>
          <w:szCs w:val="20"/>
          <w:color w:val="auto"/>
        </w:rPr>
      </w:pPr>
    </w:p>
    <w:p>
      <w:pPr>
        <w:jc w:val="both"/>
        <w:ind w:firstLine="304"/>
        <w:spacing w:after="0" w:line="259" w:lineRule="auto"/>
        <w:rPr>
          <w:sz w:val="20"/>
          <w:szCs w:val="20"/>
          <w:color w:val="auto"/>
        </w:rPr>
      </w:pPr>
      <w:r>
        <w:rPr>
          <w:rFonts w:ascii="Arial" w:cs="Arial" w:eastAsia="Arial" w:hAnsi="Arial"/>
          <w:sz w:val="18"/>
          <w:szCs w:val="18"/>
          <w:color w:val="auto"/>
        </w:rPr>
        <w:t>During 2003 short-term instruments, mostly commercial paper and certificates of deposit, structured by BCP totaled US$184 million, representing a 43% market share in such issues. Among debt paper issued was commercial debt for Alicorp, Ferreyros, Palmas del Espino, Quimpac and Ransa, and certificates of deposit for Solución.</w:t>
      </w:r>
    </w:p>
    <w:p>
      <w:pPr>
        <w:spacing w:after="0" w:line="194" w:lineRule="exact"/>
        <w:rPr>
          <w:sz w:val="20"/>
          <w:szCs w:val="20"/>
          <w:color w:val="auto"/>
        </w:rPr>
      </w:pPr>
    </w:p>
    <w:p>
      <w:pPr>
        <w:jc w:val="both"/>
        <w:ind w:firstLine="287"/>
        <w:spacing w:after="0" w:line="306" w:lineRule="auto"/>
        <w:rPr>
          <w:sz w:val="20"/>
          <w:szCs w:val="20"/>
          <w:color w:val="auto"/>
        </w:rPr>
      </w:pPr>
      <w:r>
        <w:rPr>
          <w:rFonts w:ascii="Arial" w:cs="Arial" w:eastAsia="Arial" w:hAnsi="Arial"/>
          <w:sz w:val="16"/>
          <w:szCs w:val="16"/>
          <w:color w:val="auto"/>
        </w:rPr>
        <w:t>In operations related to project financing and structured loans, BCP’s Corporate Finance area structured transactions during 2003 worth a total of US$372 million. Significant syndicated loan structuring projects included the financing of Electroandes for US$70 million, Petrobras Energía Perú for US$40 million, and Grupo Aguaytía for US$80 million. Funding for important Peruvian companies spanned different sectors such as cement, mining, food and education.</w:t>
      </w:r>
    </w:p>
    <w:p>
      <w:pPr>
        <w:spacing w:after="0" w:line="161" w:lineRule="exact"/>
        <w:rPr>
          <w:sz w:val="20"/>
          <w:szCs w:val="20"/>
          <w:color w:val="auto"/>
        </w:rPr>
      </w:pPr>
    </w:p>
    <w:p>
      <w:pPr>
        <w:jc w:val="both"/>
        <w:ind w:firstLine="334"/>
        <w:spacing w:after="0" w:line="268" w:lineRule="auto"/>
        <w:rPr>
          <w:sz w:val="20"/>
          <w:szCs w:val="20"/>
          <w:color w:val="auto"/>
        </w:rPr>
      </w:pPr>
      <w:r>
        <w:rPr>
          <w:rFonts w:ascii="Arial" w:cs="Arial" w:eastAsia="Arial" w:hAnsi="Arial"/>
          <w:sz w:val="18"/>
          <w:szCs w:val="18"/>
          <w:color w:val="auto"/>
        </w:rPr>
        <w:t>Additionally, BCP’s Corporate Finance area offered financial consultancy services focused on restructuring debt, appraisals and evaluations of payment capacity for companies from several sectors, such as paper, manufacturing, sugar, food, real estate and construction.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31" w:right="239" w:bottom="1440" w:gutter="0" w:footer="0" w:header="0"/>
        </w:sectPr>
      </w:pPr>
    </w:p>
    <w:bookmarkStart w:id="24" w:name="page25"/>
    <w:bookmarkEnd w:id="24"/>
    <w:p>
      <w:pPr>
        <w:ind w:left="220"/>
        <w:spacing w:after="0"/>
        <w:rPr>
          <w:sz w:val="20"/>
          <w:szCs w:val="20"/>
          <w:color w:val="auto"/>
        </w:rPr>
      </w:pPr>
      <w:r>
        <w:rPr>
          <w:rFonts w:ascii="Arial" w:cs="Arial" w:eastAsia="Arial" w:hAnsi="Arial"/>
          <w:sz w:val="18"/>
          <w:szCs w:val="18"/>
          <w:i w:val="1"/>
          <w:iCs w:val="1"/>
          <w:color w:val="auto"/>
        </w:rPr>
        <w:t>Business Finance</w:t>
      </w:r>
    </w:p>
    <w:p>
      <w:pPr>
        <w:spacing w:after="0" w:line="225" w:lineRule="exact"/>
        <w:rPr>
          <w:sz w:val="20"/>
          <w:szCs w:val="20"/>
          <w:color w:val="auto"/>
        </w:rPr>
      </w:pPr>
    </w:p>
    <w:p>
      <w:pPr>
        <w:jc w:val="both"/>
        <w:ind w:right="20" w:firstLine="301"/>
        <w:spacing w:after="0" w:line="259" w:lineRule="auto"/>
        <w:rPr>
          <w:sz w:val="20"/>
          <w:szCs w:val="20"/>
          <w:color w:val="auto"/>
        </w:rPr>
      </w:pPr>
      <w:r>
        <w:rPr>
          <w:rFonts w:ascii="Arial" w:cs="Arial" w:eastAsia="Arial" w:hAnsi="Arial"/>
          <w:sz w:val="18"/>
          <w:szCs w:val="18"/>
          <w:color w:val="auto"/>
        </w:rPr>
        <w:t>The Business Finance area specializes in funding investment projects, focusing its efforts on developing the financial leasing business. Thus, its principal activity is to structure, negotiate and disburse funds for leasing operations. It also carries out medium-term operations, principally for small and medium-sized companies.</w:t>
      </w:r>
    </w:p>
    <w:p>
      <w:pPr>
        <w:spacing w:after="0" w:line="194" w:lineRule="exact"/>
        <w:rPr>
          <w:sz w:val="20"/>
          <w:szCs w:val="20"/>
          <w:color w:val="auto"/>
        </w:rPr>
      </w:pPr>
    </w:p>
    <w:p>
      <w:pPr>
        <w:jc w:val="both"/>
        <w:ind w:firstLine="229"/>
        <w:spacing w:after="0" w:line="256" w:lineRule="auto"/>
        <w:rPr>
          <w:sz w:val="20"/>
          <w:szCs w:val="20"/>
          <w:color w:val="auto"/>
        </w:rPr>
      </w:pPr>
      <w:r>
        <w:rPr>
          <w:rFonts w:ascii="Arial" w:cs="Arial" w:eastAsia="Arial" w:hAnsi="Arial"/>
          <w:sz w:val="18"/>
          <w:szCs w:val="18"/>
          <w:color w:val="auto"/>
        </w:rPr>
        <w:t>In spite of a decrease in leasing loan balances, the financial leasing business recovered in 2003, after being affected in prior years by declining market demand due to an adverse environment for private investments and the co-existence of two tax systems applicable to leasing operations, which put BCP at a disadvantage in relation to certain competing banks. Changes in legislation implemented in 2003 ensure that the tax treatment applied to leasing operations by all banks will be uniform.</w:t>
      </w:r>
    </w:p>
    <w:p>
      <w:pPr>
        <w:spacing w:after="0" w:line="197" w:lineRule="exact"/>
        <w:rPr>
          <w:sz w:val="20"/>
          <w:szCs w:val="20"/>
          <w:color w:val="auto"/>
        </w:rPr>
      </w:pPr>
    </w:p>
    <w:p>
      <w:pPr>
        <w:jc w:val="both"/>
        <w:ind w:firstLine="335"/>
        <w:spacing w:after="0" w:line="259" w:lineRule="auto"/>
        <w:rPr>
          <w:sz w:val="20"/>
          <w:szCs w:val="20"/>
          <w:color w:val="auto"/>
        </w:rPr>
      </w:pPr>
      <w:r>
        <w:rPr>
          <w:rFonts w:ascii="Arial" w:cs="Arial" w:eastAsia="Arial" w:hAnsi="Arial"/>
          <w:sz w:val="18"/>
          <w:szCs w:val="18"/>
          <w:color w:val="auto"/>
        </w:rPr>
        <w:t>During 2003, consolidated loan disbursements were US$130 million, with a balance at the end of the year of US$372.4 million. Credicorp maintained leadership in the financial leasing market, with a market share of 45.2% at the end of 2003, increasing from 42.6% at the end of 2002, due in part to the integration of BSCH-Perú’s leasing operations.</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Business Services</w:t>
      </w:r>
    </w:p>
    <w:p>
      <w:pPr>
        <w:spacing w:after="0" w:line="225" w:lineRule="exact"/>
        <w:rPr>
          <w:sz w:val="20"/>
          <w:szCs w:val="20"/>
          <w:color w:val="auto"/>
        </w:rPr>
      </w:pPr>
    </w:p>
    <w:p>
      <w:pPr>
        <w:jc w:val="both"/>
        <w:ind w:firstLine="224"/>
        <w:spacing w:after="0" w:line="259" w:lineRule="auto"/>
        <w:rPr>
          <w:sz w:val="20"/>
          <w:szCs w:val="20"/>
          <w:color w:val="auto"/>
        </w:rPr>
      </w:pPr>
      <w:r>
        <w:rPr>
          <w:rFonts w:ascii="Arial" w:cs="Arial" w:eastAsia="Arial" w:hAnsi="Arial"/>
          <w:sz w:val="18"/>
          <w:szCs w:val="18"/>
          <w:color w:val="auto"/>
        </w:rPr>
        <w:t>This unit is responsible for both the development and marketing of transactional, or “cash management,” services for BCP’s corporate and institutional clients. Services offered, grouped into more than thirty products, are aimed at strengthening ties with clients, assuring their loyalty and reciprocity in the business carried out with BCP, as well as reducing costs using electronic channels and increasing fee income.</w:t>
      </w:r>
    </w:p>
    <w:p>
      <w:pPr>
        <w:spacing w:after="0" w:line="194" w:lineRule="exact"/>
        <w:rPr>
          <w:sz w:val="20"/>
          <w:szCs w:val="20"/>
          <w:color w:val="auto"/>
        </w:rPr>
      </w:pPr>
    </w:p>
    <w:p>
      <w:pPr>
        <w:jc w:val="both"/>
        <w:ind w:firstLine="273"/>
        <w:spacing w:after="0" w:line="255" w:lineRule="auto"/>
        <w:rPr>
          <w:sz w:val="20"/>
          <w:szCs w:val="20"/>
          <w:color w:val="auto"/>
        </w:rPr>
      </w:pPr>
      <w:r>
        <w:rPr>
          <w:rFonts w:ascii="Arial" w:cs="Arial" w:eastAsia="Arial" w:hAnsi="Arial"/>
          <w:sz w:val="18"/>
          <w:szCs w:val="18"/>
          <w:color w:val="auto"/>
        </w:rPr>
        <w:t xml:space="preserve">In 2003, the volume transacted using the electronic factoring system increased by over 170%, while fee income for collection of trade bills and transfers of funds increased by 11% and 29%, respectively. Likewise, the number of customers affiliated with the electronic banking service “Telecrédito” rose by 15%, which contributed to an increase in fee revenue by 19%. More than 1,800 companies transferred their </w:t>
      </w:r>
      <w:r>
        <w:rPr>
          <w:rFonts w:ascii="Arial" w:cs="Arial" w:eastAsia="Arial" w:hAnsi="Arial"/>
          <w:sz w:val="18"/>
          <w:szCs w:val="18"/>
          <w:i w:val="1"/>
          <w:iCs w:val="1"/>
          <w:color w:val="auto"/>
        </w:rPr>
        <w:t>Compensación por Tiempo de Servicio</w:t>
      </w:r>
      <w:r>
        <w:rPr>
          <w:rFonts w:ascii="Arial" w:cs="Arial" w:eastAsia="Arial" w:hAnsi="Arial"/>
          <w:sz w:val="18"/>
          <w:szCs w:val="18"/>
          <w:color w:val="auto"/>
        </w:rPr>
        <w:t xml:space="preserve"> (“CTS”) pension payments (deposits that employers must make by law on behalf of their employees as severance contributions) to electronic media, which increased the number of accounts from 400,000 to 460,000.</w:t>
      </w:r>
    </w:p>
    <w:p>
      <w:pPr>
        <w:spacing w:after="0" w:line="197" w:lineRule="exact"/>
        <w:rPr>
          <w:sz w:val="20"/>
          <w:szCs w:val="20"/>
          <w:color w:val="auto"/>
        </w:rPr>
      </w:pPr>
    </w:p>
    <w:p>
      <w:pPr>
        <w:jc w:val="both"/>
        <w:ind w:firstLine="275"/>
        <w:spacing w:after="0" w:line="268" w:lineRule="auto"/>
        <w:rPr>
          <w:sz w:val="20"/>
          <w:szCs w:val="20"/>
          <w:color w:val="auto"/>
        </w:rPr>
      </w:pPr>
      <w:r>
        <w:rPr>
          <w:rFonts w:ascii="Arial" w:cs="Arial" w:eastAsia="Arial" w:hAnsi="Arial"/>
          <w:sz w:val="18"/>
          <w:szCs w:val="18"/>
          <w:color w:val="auto"/>
        </w:rPr>
        <w:t>In 2003, BCP continued its efforts to learn the best practices in the transactional business in other countries and is currently focused in developing services modeled on Brazilian precedents, as well as in tailoring products to the specific needs of micro-businesses.</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(ii) Retail Banking</w:t>
      </w:r>
    </w:p>
    <w:p>
      <w:pPr>
        <w:spacing w:after="0" w:line="225" w:lineRule="exact"/>
        <w:rPr>
          <w:sz w:val="20"/>
          <w:szCs w:val="20"/>
          <w:color w:val="auto"/>
        </w:rPr>
      </w:pPr>
    </w:p>
    <w:p>
      <w:pPr>
        <w:jc w:val="both"/>
        <w:ind w:firstLine="220"/>
        <w:spacing w:after="0" w:line="294" w:lineRule="auto"/>
        <w:rPr>
          <w:sz w:val="20"/>
          <w:szCs w:val="20"/>
          <w:color w:val="auto"/>
        </w:rPr>
      </w:pPr>
      <w:r>
        <w:rPr>
          <w:rFonts w:ascii="Arial" w:cs="Arial" w:eastAsia="Arial" w:hAnsi="Arial"/>
          <w:sz w:val="16"/>
          <w:szCs w:val="16"/>
          <w:color w:val="auto"/>
        </w:rPr>
        <w:t>Credicorp’s retail banking activities are conducted by BCP and, to a much lesser extent, by BCB in Bolivia, and, since January 1997, by Banco Tequendama in Colombia. After several years of declining loan volumes by BCP’s retail units, such loan volumes grew in 2002, particularly in loans to small businesses and home mortgages, but decreased again in 2003. Retail banking-related loans accounted for approximately 32.0% of BCP’s total loans at the end of 2003 versus 30.3% and 28.0% at the end of 2002 and 2001, respectively. With the segmentation of its retail client base, BCP is able to focus on the cross-selling of products and improving per-client profitability. Credicorp expects the retail banking businesses to be one of the principal growth areas for BCP’s lending activities.</w:t>
      </w:r>
    </w:p>
    <w:p>
      <w:pPr>
        <w:spacing w:after="0" w:line="170" w:lineRule="exact"/>
        <w:rPr>
          <w:sz w:val="20"/>
          <w:szCs w:val="20"/>
          <w:color w:val="auto"/>
        </w:rPr>
      </w:pPr>
    </w:p>
    <w:p>
      <w:pPr>
        <w:jc w:val="both"/>
        <w:ind w:firstLine="336"/>
        <w:spacing w:after="0" w:line="268" w:lineRule="auto"/>
        <w:rPr>
          <w:sz w:val="20"/>
          <w:szCs w:val="20"/>
          <w:color w:val="auto"/>
        </w:rPr>
      </w:pPr>
      <w:r>
        <w:rPr>
          <w:rFonts w:ascii="Arial" w:cs="Arial" w:eastAsia="Arial" w:hAnsi="Arial"/>
          <w:sz w:val="18"/>
          <w:szCs w:val="18"/>
          <w:color w:val="auto"/>
        </w:rPr>
        <w:t>At BCP, retail banking operations are divided into two divisions, Service Banking and Personal Banking, the latter of which is further subdivided into Exclusive Banking, Business Banking, Consumer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3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Banking, Institutional Banking and Micro-business Banking, which was instituted after the merger of Solución in March 2004.</w:t>
      </w:r>
    </w:p>
    <w:p>
      <w:pPr>
        <w:spacing w:after="0" w:line="225" w:lineRule="exact"/>
        <w:rPr>
          <w:sz w:val="20"/>
          <w:szCs w:val="20"/>
          <w:color w:val="auto"/>
        </w:rPr>
      </w:pPr>
    </w:p>
    <w:p>
      <w:pPr>
        <w:jc w:val="both"/>
        <w:ind w:firstLine="327"/>
        <w:spacing w:after="0" w:line="259" w:lineRule="auto"/>
        <w:rPr>
          <w:sz w:val="20"/>
          <w:szCs w:val="20"/>
          <w:color w:val="auto"/>
        </w:rPr>
      </w:pPr>
      <w:r>
        <w:rPr>
          <w:rFonts w:ascii="Arial" w:cs="Arial" w:eastAsia="Arial" w:hAnsi="Arial"/>
          <w:sz w:val="18"/>
          <w:szCs w:val="18"/>
          <w:color w:val="auto"/>
        </w:rPr>
        <w:t>The Service Banking division carries out personal loan authorization and collection and has invested substantially during the past few years to improve delivery channels in order to provide better quality and more efficient service. It is also responsible for the development and sales of third-party processing services that generate fee income from transactions and mass processing to meet the needs of our clients.</w:t>
      </w:r>
    </w:p>
    <w:p>
      <w:pPr>
        <w:spacing w:after="0" w:line="194" w:lineRule="exact"/>
        <w:rPr>
          <w:sz w:val="20"/>
          <w:szCs w:val="20"/>
          <w:color w:val="auto"/>
        </w:rPr>
      </w:pPr>
    </w:p>
    <w:p>
      <w:pPr>
        <w:jc w:val="both"/>
        <w:ind w:firstLine="332"/>
        <w:spacing w:after="0" w:line="291" w:lineRule="auto"/>
        <w:rPr>
          <w:sz w:val="20"/>
          <w:szCs w:val="20"/>
          <w:color w:val="auto"/>
        </w:rPr>
      </w:pPr>
      <w:r>
        <w:rPr>
          <w:rFonts w:ascii="Arial" w:cs="Arial" w:eastAsia="Arial" w:hAnsi="Arial"/>
          <w:sz w:val="16"/>
          <w:szCs w:val="16"/>
          <w:color w:val="auto"/>
        </w:rPr>
        <w:t>The Exclusive Banking area principally serves a select number of high-income customers with the most profitable personal accounts and specializes in offering personalized service. Consumer Banking is in charge of servicing BCP’s traditional retail client base, and is also in charge of mortgage lending and credit cards. Business Banking manages small business banking, which targets companies with annual revenue of less than US$750,000 which are served primarily with sales and inventory financing and working capital loans, complemented by cash credits through overdrafts. The Micro-business Banking area primarily manages individuals who run small independent businesses, requiring small loans of up to US$20,000. Institutional Banking focuses principally on serving non-profit organizations, state-owned companies and other major institutions.</w:t>
      </w:r>
    </w:p>
    <w:p>
      <w:pPr>
        <w:spacing w:after="0" w:line="174" w:lineRule="exact"/>
        <w:rPr>
          <w:sz w:val="20"/>
          <w:szCs w:val="20"/>
          <w:color w:val="auto"/>
        </w:rPr>
      </w:pPr>
    </w:p>
    <w:p>
      <w:pPr>
        <w:jc w:val="both"/>
        <w:ind w:firstLine="336"/>
        <w:spacing w:after="0" w:line="255" w:lineRule="auto"/>
        <w:rPr>
          <w:sz w:val="20"/>
          <w:szCs w:val="20"/>
          <w:color w:val="auto"/>
        </w:rPr>
      </w:pPr>
      <w:r>
        <w:rPr>
          <w:rFonts w:ascii="Arial" w:cs="Arial" w:eastAsia="Arial" w:hAnsi="Arial"/>
          <w:sz w:val="18"/>
          <w:szCs w:val="18"/>
          <w:color w:val="auto"/>
        </w:rPr>
        <w:t>Each of the units offer clients diverse credit alternatives, transactional services and deposits. Products include Visa and American Express credit cards, mortgage loans, car loans, consumer credits, credits for small and medium-sized companies and payroll payment services, in addition to different types of deposits. The sale of processing services is offered through “Servicorp”, which is the brand name of Soluciones en Procesamiento S.A., a 99.98% owned subsidiary of Inversiones Crédito. Servicorp’s lines of business include the sale of processing solutions to third parties to increase the use of available capacity in distribution channels.</w:t>
      </w:r>
    </w:p>
    <w:p>
      <w:pPr>
        <w:spacing w:after="0" w:line="197" w:lineRule="exact"/>
        <w:rPr>
          <w:sz w:val="20"/>
          <w:szCs w:val="20"/>
          <w:color w:val="auto"/>
        </w:rPr>
      </w:pPr>
    </w:p>
    <w:p>
      <w:pPr>
        <w:jc w:val="both"/>
        <w:ind w:firstLine="301"/>
        <w:spacing w:after="0" w:line="306" w:lineRule="auto"/>
        <w:rPr>
          <w:sz w:val="20"/>
          <w:szCs w:val="20"/>
          <w:color w:val="auto"/>
        </w:rPr>
      </w:pPr>
      <w:r>
        <w:rPr>
          <w:rFonts w:ascii="Arial" w:cs="Arial" w:eastAsia="Arial" w:hAnsi="Arial"/>
          <w:sz w:val="16"/>
          <w:szCs w:val="16"/>
          <w:color w:val="auto"/>
        </w:rPr>
        <w:t>In 2003, the retail banking business of Banco Tequendama experienced significant growth. Banco Tequendama’s strategy of developing specialized credit products focusing on individuals and consumer loans has resulted in an increase in the share of Personal Banking loans in Banco Tequendama’s total loan portfolio from 12.2% as of December 2001, to 16.7% in December 2002, and further to 26.0% in December 2003.</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Exclusive Banking</w:t>
      </w:r>
    </w:p>
    <w:p>
      <w:pPr>
        <w:spacing w:after="0" w:line="225" w:lineRule="exact"/>
        <w:rPr>
          <w:sz w:val="20"/>
          <w:szCs w:val="20"/>
          <w:color w:val="auto"/>
        </w:rPr>
      </w:pPr>
    </w:p>
    <w:p>
      <w:pPr>
        <w:jc w:val="both"/>
        <w:ind w:firstLine="253"/>
        <w:spacing w:after="0" w:line="268" w:lineRule="auto"/>
        <w:rPr>
          <w:sz w:val="20"/>
          <w:szCs w:val="20"/>
          <w:color w:val="auto"/>
        </w:rPr>
      </w:pPr>
      <w:r>
        <w:rPr>
          <w:rFonts w:ascii="Arial" w:cs="Arial" w:eastAsia="Arial" w:hAnsi="Arial"/>
          <w:sz w:val="18"/>
          <w:szCs w:val="18"/>
          <w:color w:val="auto"/>
        </w:rPr>
        <w:t>Exclusive Banking is BCP’s private banking area, and manages a select number of individual customers who are key to BCP because of the high volume of loan and deposit business they generate, and their attractive profitability.</w:t>
      </w:r>
    </w:p>
    <w:p>
      <w:pPr>
        <w:spacing w:after="0" w:line="186" w:lineRule="exact"/>
        <w:rPr>
          <w:sz w:val="20"/>
          <w:szCs w:val="20"/>
          <w:color w:val="auto"/>
        </w:rPr>
      </w:pPr>
    </w:p>
    <w:p>
      <w:pPr>
        <w:jc w:val="both"/>
        <w:ind w:firstLine="345"/>
        <w:spacing w:after="0" w:line="306" w:lineRule="auto"/>
        <w:rPr>
          <w:sz w:val="20"/>
          <w:szCs w:val="20"/>
          <w:color w:val="auto"/>
        </w:rPr>
      </w:pPr>
      <w:r>
        <w:rPr>
          <w:rFonts w:ascii="Arial" w:cs="Arial" w:eastAsia="Arial" w:hAnsi="Arial"/>
          <w:sz w:val="16"/>
          <w:szCs w:val="16"/>
          <w:color w:val="auto"/>
        </w:rPr>
        <w:t>In 2003, this unit continued to retain and increase ties with its customers, as well as to add new ones, for which sophisticated commercial plans were developed. This segment has 48,000 customers, with total deposits of US$1.1 billion and US$470 million in loans. Belonging to this segment gives customers the advantage of preferential interest rates for loans and deposits and personalized service through an assigned official.</w:t>
      </w:r>
    </w:p>
    <w:p>
      <w:pPr>
        <w:spacing w:after="0" w:line="161" w:lineRule="exact"/>
        <w:rPr>
          <w:sz w:val="20"/>
          <w:szCs w:val="20"/>
          <w:color w:val="auto"/>
        </w:rPr>
      </w:pPr>
    </w:p>
    <w:p>
      <w:pPr>
        <w:jc w:val="both"/>
        <w:ind w:firstLine="220"/>
        <w:spacing w:after="0" w:line="268" w:lineRule="auto"/>
        <w:rPr>
          <w:sz w:val="20"/>
          <w:szCs w:val="20"/>
          <w:color w:val="auto"/>
        </w:rPr>
      </w:pPr>
      <w:r>
        <w:rPr>
          <w:rFonts w:ascii="Arial" w:cs="Arial" w:eastAsia="Arial" w:hAnsi="Arial"/>
          <w:sz w:val="18"/>
          <w:szCs w:val="18"/>
          <w:color w:val="auto"/>
        </w:rPr>
        <w:t>During 2003, as a savings alternative principally for Exclusive Banking customers, BCP encouraged investment in mutual funds. At the end of 2003, BCP was managing US$638 million in mutual funds on behalf of these customers, up from US$426 million at the end of 2002.</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31" w:right="239" w:bottom="1440" w:gutter="0" w:footer="0" w:header="0"/>
        </w:sectPr>
      </w:pPr>
    </w:p>
    <w:bookmarkStart w:id="26" w:name="page27"/>
    <w:bookmarkEnd w:id="26"/>
    <w:p>
      <w:pPr>
        <w:ind w:left="220"/>
        <w:spacing w:after="0"/>
        <w:rPr>
          <w:sz w:val="20"/>
          <w:szCs w:val="20"/>
          <w:color w:val="auto"/>
        </w:rPr>
      </w:pPr>
      <w:r>
        <w:rPr>
          <w:rFonts w:ascii="Arial" w:cs="Arial" w:eastAsia="Arial" w:hAnsi="Arial"/>
          <w:sz w:val="18"/>
          <w:szCs w:val="18"/>
          <w:i w:val="1"/>
          <w:iCs w:val="1"/>
          <w:color w:val="auto"/>
        </w:rPr>
        <w:t>Small Business Lending</w:t>
      </w:r>
    </w:p>
    <w:p>
      <w:pPr>
        <w:spacing w:after="0" w:line="225" w:lineRule="exact"/>
        <w:rPr>
          <w:sz w:val="20"/>
          <w:szCs w:val="20"/>
          <w:color w:val="auto"/>
        </w:rPr>
      </w:pPr>
    </w:p>
    <w:p>
      <w:pPr>
        <w:jc w:val="both"/>
        <w:ind w:firstLine="316"/>
        <w:spacing w:after="0" w:line="290" w:lineRule="auto"/>
        <w:rPr>
          <w:sz w:val="20"/>
          <w:szCs w:val="20"/>
          <w:color w:val="auto"/>
        </w:rPr>
      </w:pPr>
      <w:r>
        <w:rPr>
          <w:rFonts w:ascii="Arial" w:cs="Arial" w:eastAsia="Arial" w:hAnsi="Arial"/>
          <w:sz w:val="16"/>
          <w:szCs w:val="16"/>
          <w:color w:val="auto"/>
        </w:rPr>
        <w:t>Small business lending is the largest segment within BCP’s Personal Banking operations and is carried out by the Business Banking and Micro-business Banking areas. These areas serve 120,000 corporate and individual customers with annual sales of less than US$1 million. Approximately 90,000 of these customers were previously clients of Solución. During 2000 and 2001, loans to this segment contracted because of decreased demand for small business products and services due to the poor development of the Peruvian economy. In particular, lower consumer demand negatively affected this segment’s loan quality and loan growth. After several years of continuous growth, loans decreased 19.4% in 1999, again 17.7% in 2000, and a further 11.9% in 2001, but grew 38.4% in 2002, only to fall 21.9% in 2003 reaching US$398 million at year end. The decrease experienced in 2003 was mainly due to an increase in overdue loan charge-offs and the reclassification of loans acquired by subsidiaries in 2002 to other market segments.</w:t>
      </w:r>
    </w:p>
    <w:p>
      <w:pPr>
        <w:spacing w:after="0" w:line="172" w:lineRule="exact"/>
        <w:rPr>
          <w:sz w:val="20"/>
          <w:szCs w:val="20"/>
          <w:color w:val="auto"/>
        </w:rPr>
      </w:pPr>
    </w:p>
    <w:p>
      <w:pPr>
        <w:jc w:val="both"/>
        <w:ind w:firstLine="379"/>
        <w:spacing w:after="0" w:line="256" w:lineRule="auto"/>
        <w:rPr>
          <w:sz w:val="20"/>
          <w:szCs w:val="20"/>
          <w:color w:val="auto"/>
        </w:rPr>
      </w:pPr>
      <w:r>
        <w:rPr>
          <w:rFonts w:ascii="Arial" w:cs="Arial" w:eastAsia="Arial" w:hAnsi="Arial"/>
          <w:sz w:val="18"/>
          <w:szCs w:val="18"/>
          <w:color w:val="auto"/>
        </w:rPr>
        <w:t>Business Banking has divided its clients into different areas: Small Businesses, which have annual sales of less than US$300,000; and Consolidated Businesses, which have annual sales between US$300,000 and US$1 million. These businesses benefit from products specially designed for their needs, such as the Cash Credit for Businesses, a revolving credit line repaid in quotas, as well as the usual credit products: discounted notes, letters of credit, guarantees and stand-by credits.</w:t>
      </w:r>
    </w:p>
    <w:p>
      <w:pPr>
        <w:spacing w:after="0" w:line="197" w:lineRule="exact"/>
        <w:rPr>
          <w:sz w:val="20"/>
          <w:szCs w:val="20"/>
          <w:color w:val="auto"/>
        </w:rPr>
      </w:pPr>
    </w:p>
    <w:p>
      <w:pPr>
        <w:ind w:left="300"/>
        <w:spacing w:after="0"/>
        <w:rPr>
          <w:sz w:val="20"/>
          <w:szCs w:val="20"/>
          <w:color w:val="auto"/>
        </w:rPr>
      </w:pPr>
      <w:r>
        <w:rPr>
          <w:rFonts w:ascii="Arial" w:cs="Arial" w:eastAsia="Arial" w:hAnsi="Arial"/>
          <w:sz w:val="16"/>
          <w:szCs w:val="16"/>
          <w:color w:val="auto"/>
        </w:rPr>
        <w:t>Micro-business Banking concentrates its efforts in small loans to individuals who primarily derive their income from small family-run business activities.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Loans to micro-businesses as of December 31, 2003 amounted to S/.438.3 million (US$126.5 million), with a 19% estimated market share.</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Mortgage Lending</w:t>
      </w:r>
    </w:p>
    <w:p>
      <w:pPr>
        <w:spacing w:after="0" w:line="225" w:lineRule="exact"/>
        <w:rPr>
          <w:sz w:val="20"/>
          <w:szCs w:val="20"/>
          <w:color w:val="auto"/>
        </w:rPr>
      </w:pPr>
    </w:p>
    <w:p>
      <w:pPr>
        <w:jc w:val="both"/>
        <w:ind w:firstLine="265"/>
        <w:spacing w:after="0" w:line="259" w:lineRule="auto"/>
        <w:rPr>
          <w:sz w:val="20"/>
          <w:szCs w:val="20"/>
          <w:color w:val="auto"/>
        </w:rPr>
      </w:pPr>
      <w:r>
        <w:rPr>
          <w:rFonts w:ascii="Arial" w:cs="Arial" w:eastAsia="Arial" w:hAnsi="Arial"/>
          <w:sz w:val="18"/>
          <w:szCs w:val="18"/>
          <w:color w:val="auto"/>
        </w:rPr>
        <w:t>BCP was the largest mortgage lender in Perú with a market share of 37% of total mortgage loans in the Peruvian banking system as of December 31, 2003. This was to a large extent the result of campaigns aimed at clients with the highest demand for these types of loans and improvements in the quality of procedures followed in extending credit and establishing guarantees.</w:t>
      </w:r>
    </w:p>
    <w:p>
      <w:pPr>
        <w:spacing w:after="0" w:line="194" w:lineRule="exact"/>
        <w:rPr>
          <w:sz w:val="20"/>
          <w:szCs w:val="20"/>
          <w:color w:val="auto"/>
        </w:rPr>
      </w:pPr>
    </w:p>
    <w:p>
      <w:pPr>
        <w:jc w:val="both"/>
        <w:ind w:firstLine="232"/>
        <w:spacing w:after="0" w:line="256" w:lineRule="auto"/>
        <w:rPr>
          <w:sz w:val="20"/>
          <w:szCs w:val="20"/>
          <w:color w:val="auto"/>
        </w:rPr>
      </w:pPr>
      <w:r>
        <w:rPr>
          <w:rFonts w:ascii="Arial" w:cs="Arial" w:eastAsia="Arial" w:hAnsi="Arial"/>
          <w:sz w:val="18"/>
          <w:szCs w:val="18"/>
          <w:color w:val="auto"/>
        </w:rPr>
        <w:t xml:space="preserve">Credicorp expects BCP’s mortgage lending business to continue to grow given the low levels of penetration in the financial market, the increasing demand for housing, the availability of funds for the Peruvian government’s </w:t>
      </w:r>
      <w:r>
        <w:rPr>
          <w:rFonts w:ascii="Arial" w:cs="Arial" w:eastAsia="Arial" w:hAnsi="Arial"/>
          <w:sz w:val="18"/>
          <w:szCs w:val="18"/>
          <w:i w:val="1"/>
          <w:iCs w:val="1"/>
          <w:color w:val="auto"/>
        </w:rPr>
        <w:t>MiVivienda</w:t>
      </w:r>
      <w:r>
        <w:rPr>
          <w:rFonts w:ascii="Arial" w:cs="Arial" w:eastAsia="Arial" w:hAnsi="Arial"/>
          <w:sz w:val="18"/>
          <w:szCs w:val="18"/>
          <w:color w:val="auto"/>
        </w:rPr>
        <w:t>low-income housing program, and the current economic outlook for controlled inflation and renewed gross domestic product (“GDP”) growth in Perú. BCP had US$574.8 million of outstanding mortgage loans at December 31, 2003 compared to US$519.4 million at the end of 2002.</w:t>
      </w:r>
    </w:p>
    <w:p>
      <w:pPr>
        <w:spacing w:after="0" w:line="197" w:lineRule="exact"/>
        <w:rPr>
          <w:sz w:val="20"/>
          <w:szCs w:val="20"/>
          <w:color w:val="auto"/>
        </w:rPr>
      </w:pPr>
    </w:p>
    <w:p>
      <w:pPr>
        <w:jc w:val="both"/>
        <w:ind w:firstLine="224"/>
        <w:spacing w:after="0" w:line="294" w:lineRule="auto"/>
        <w:rPr>
          <w:sz w:val="20"/>
          <w:szCs w:val="20"/>
          <w:color w:val="auto"/>
        </w:rPr>
      </w:pPr>
      <w:r>
        <w:rPr>
          <w:rFonts w:ascii="Arial" w:cs="Arial" w:eastAsia="Arial" w:hAnsi="Arial"/>
          <w:sz w:val="16"/>
          <w:szCs w:val="16"/>
          <w:color w:val="auto"/>
        </w:rPr>
        <w:t xml:space="preserve">Mortgage financing is available only to customers with minimum monthly income in excess of US$900 and of US$400 in the case of the </w:t>
      </w:r>
      <w:r>
        <w:rPr>
          <w:rFonts w:ascii="Arial" w:cs="Arial" w:eastAsia="Arial" w:hAnsi="Arial"/>
          <w:sz w:val="16"/>
          <w:szCs w:val="16"/>
          <w:i w:val="1"/>
          <w:iCs w:val="1"/>
          <w:color w:val="auto"/>
        </w:rPr>
        <w:t>MiVivienda</w:t>
      </w:r>
      <w:r>
        <w:rPr>
          <w:rFonts w:ascii="Arial" w:cs="Arial" w:eastAsia="Arial" w:hAnsi="Arial"/>
          <w:sz w:val="16"/>
          <w:szCs w:val="16"/>
          <w:color w:val="auto"/>
        </w:rPr>
        <w:t xml:space="preserve"> program. The </w:t>
      </w:r>
      <w:r>
        <w:rPr>
          <w:rFonts w:ascii="Arial" w:cs="Arial" w:eastAsia="Arial" w:hAnsi="Arial"/>
          <w:sz w:val="16"/>
          <w:szCs w:val="16"/>
          <w:i w:val="1"/>
          <w:iCs w:val="1"/>
          <w:color w:val="auto"/>
        </w:rPr>
        <w:t>MiVivienda</w:t>
      </w:r>
      <w:r>
        <w:rPr>
          <w:rFonts w:ascii="Arial" w:cs="Arial" w:eastAsia="Arial" w:hAnsi="Arial"/>
          <w:sz w:val="16"/>
          <w:szCs w:val="16"/>
          <w:color w:val="auto"/>
        </w:rPr>
        <w:t xml:space="preserve"> program, however, limits the value of the house to be purchased to US$30,000. BCP will finance up to 75% of the appraised value of a property where monthly mortgage payments do not exceed 30% of the client’s stable net income. The maximum maturity of the mortgage loans BCP offers is 25 years. Within the mortgage lending business, BCP offers variable and fixed interest rates on home mortgage loans denominated in both U.S. Dollars and Nuevos Soles; however, BCP’s mortgage portfolio is almost exclusively variable rate and U.S. Dollar-denominated.</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Credit Cards</w:t>
      </w:r>
    </w:p>
    <w:p>
      <w:pPr>
        <w:spacing w:after="0" w:line="225" w:lineRule="exact"/>
        <w:rPr>
          <w:sz w:val="20"/>
          <w:szCs w:val="20"/>
          <w:color w:val="auto"/>
        </w:rPr>
      </w:pPr>
    </w:p>
    <w:p>
      <w:pPr>
        <w:jc w:val="both"/>
        <w:ind w:firstLine="284"/>
        <w:spacing w:after="0" w:line="268" w:lineRule="auto"/>
        <w:rPr>
          <w:sz w:val="20"/>
          <w:szCs w:val="20"/>
          <w:color w:val="auto"/>
        </w:rPr>
      </w:pPr>
      <w:r>
        <w:rPr>
          <w:rFonts w:ascii="Arial" w:cs="Arial" w:eastAsia="Arial" w:hAnsi="Arial"/>
          <w:sz w:val="18"/>
          <w:szCs w:val="18"/>
          <w:color w:val="auto"/>
        </w:rPr>
        <w:t>The market for credit cards in Perú has grown significantly as improving economic conditions have led to increased consumer spending, with credit cards increasingly being seen as a convenient way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31" w:right="239" w:bottom="1440" w:gutter="0" w:footer="0" w:header="0"/>
        </w:sectPr>
      </w:pPr>
    </w:p>
    <w:bookmarkStart w:id="27" w:name="page28"/>
    <w:bookmarkEnd w:id="27"/>
    <w:p>
      <w:pPr>
        <w:jc w:val="both"/>
        <w:spacing w:after="0" w:line="332" w:lineRule="auto"/>
        <w:rPr>
          <w:sz w:val="20"/>
          <w:szCs w:val="20"/>
          <w:color w:val="auto"/>
        </w:rPr>
      </w:pPr>
      <w:r>
        <w:rPr>
          <w:rFonts w:ascii="Arial" w:cs="Arial" w:eastAsia="Arial" w:hAnsi="Arial"/>
          <w:sz w:val="16"/>
          <w:szCs w:val="16"/>
          <w:color w:val="auto"/>
        </w:rPr>
        <w:t>to make payments. BCP expects strong demand for credit cards to continue. In addition to interest income, BCP derives fee income from customer application and maintenance fees, retailer transaction fees, merchant processing fees and finance and penalty charges on credit cards.</w:t>
      </w:r>
    </w:p>
    <w:p>
      <w:pPr>
        <w:spacing w:after="0" w:line="139" w:lineRule="exact"/>
        <w:rPr>
          <w:sz w:val="20"/>
          <w:szCs w:val="20"/>
          <w:color w:val="auto"/>
        </w:rPr>
      </w:pPr>
    </w:p>
    <w:p>
      <w:pPr>
        <w:jc w:val="both"/>
        <w:ind w:firstLine="252"/>
        <w:spacing w:after="0" w:line="268" w:lineRule="auto"/>
        <w:rPr>
          <w:sz w:val="20"/>
          <w:szCs w:val="20"/>
          <w:color w:val="auto"/>
        </w:rPr>
      </w:pPr>
      <w:r>
        <w:rPr>
          <w:rFonts w:ascii="Arial" w:cs="Arial" w:eastAsia="Arial" w:hAnsi="Arial"/>
          <w:sz w:val="18"/>
          <w:szCs w:val="18"/>
          <w:color w:val="auto"/>
        </w:rPr>
        <w:t>The number of active credit cards issued by BCP increased from 28,840 as of December 31, 1990 to 158,000 in 2001, to 186,000 in 2002, and to 249,000 at year-end 2003. BCB has issued approximately 20,000 credit cards in Bolivia.</w:t>
      </w:r>
    </w:p>
    <w:p>
      <w:pPr>
        <w:spacing w:after="0" w:line="186" w:lineRule="exact"/>
        <w:rPr>
          <w:sz w:val="20"/>
          <w:szCs w:val="20"/>
          <w:color w:val="auto"/>
        </w:rPr>
      </w:pPr>
    </w:p>
    <w:p>
      <w:pPr>
        <w:jc w:val="both"/>
        <w:ind w:firstLine="341"/>
        <w:spacing w:after="0" w:line="256" w:lineRule="auto"/>
        <w:rPr>
          <w:sz w:val="20"/>
          <w:szCs w:val="20"/>
          <w:color w:val="auto"/>
        </w:rPr>
      </w:pPr>
      <w:r>
        <w:rPr>
          <w:rFonts w:ascii="Arial" w:cs="Arial" w:eastAsia="Arial" w:hAnsi="Arial"/>
          <w:sz w:val="18"/>
          <w:szCs w:val="18"/>
          <w:color w:val="auto"/>
        </w:rPr>
        <w:t>BCP’s credit cards are primarily, and have been historically, issued through Visa, but in May 2000 BCP began offering American Express cards. BCP estimates that its credit cards account for 34% of the credit cards issued by the banking system in Perú as of December 31, 2003. The estimated total number of credit cards issued in Perúas of December 31, 2003 was approximately 3.0 million, of which approximately 68% were issued by non-banking entities or department stores.</w:t>
      </w:r>
    </w:p>
    <w:p>
      <w:pPr>
        <w:spacing w:after="0" w:line="197" w:lineRule="exact"/>
        <w:rPr>
          <w:sz w:val="20"/>
          <w:szCs w:val="20"/>
          <w:color w:val="auto"/>
        </w:rPr>
      </w:pPr>
    </w:p>
    <w:p>
      <w:pPr>
        <w:jc w:val="both"/>
        <w:ind w:firstLine="326"/>
        <w:spacing w:after="0" w:line="294" w:lineRule="auto"/>
        <w:rPr>
          <w:sz w:val="20"/>
          <w:szCs w:val="20"/>
          <w:color w:val="auto"/>
        </w:rPr>
      </w:pPr>
      <w:r>
        <w:rPr>
          <w:rFonts w:ascii="Arial" w:cs="Arial" w:eastAsia="Arial" w:hAnsi="Arial"/>
          <w:sz w:val="16"/>
          <w:szCs w:val="16"/>
          <w:color w:val="auto"/>
        </w:rPr>
        <w:t>In 1997, VISANET was established in Perú to process transactions involving credit and debit card transactions and to widen their acceptance, with the participation of major local banks and Visa International. BCP is the largest shareholder of VISANET, holding approximately 36% of its total shares. In 1997, the number of electronic payment terminals was approximately 1,500, increasing to 8,415 as of December 2001, to 11,645 at December 2002 and further to 14,031 terminals at year-end 2003. At the end of 2003, the number of Visa cards issued in Perú, including credit and debit cards, stood at approximately 4.0 million, while the number of transactions processed during the year grew 14.2% to 26.5 million, and purchases grew 11.2% to US$825 million.</w:t>
      </w:r>
    </w:p>
    <w:p>
      <w:pPr>
        <w:spacing w:after="0" w:line="170" w:lineRule="exact"/>
        <w:rPr>
          <w:sz w:val="20"/>
          <w:szCs w:val="20"/>
          <w:color w:val="auto"/>
        </w:rPr>
      </w:pPr>
    </w:p>
    <w:p>
      <w:pPr>
        <w:jc w:val="both"/>
        <w:ind w:firstLine="235"/>
        <w:spacing w:after="0" w:line="290" w:lineRule="auto"/>
        <w:rPr>
          <w:sz w:val="20"/>
          <w:szCs w:val="20"/>
          <w:color w:val="auto"/>
        </w:rPr>
      </w:pPr>
      <w:r>
        <w:rPr>
          <w:rFonts w:ascii="Arial" w:cs="Arial" w:eastAsia="Arial" w:hAnsi="Arial"/>
          <w:sz w:val="16"/>
          <w:szCs w:val="16"/>
          <w:color w:val="auto"/>
        </w:rPr>
        <w:t>BCP’s total credit card billings during 2003 were S/.1,220.8 million (US$351.2 million), and the credit balance as of December 31, 2003 was S/.574.8 million (US$141.9 million), representing 3.5% of total loans. In 2003, BCP’s market share of total purchases made with Visa credit cards was 40.0%, compared to 36.7% in 2002. These numbers reflect BCP’s strategy of seeking more widespread use of the cards at the lower end of the consumer market. As part of this strategy, financing with fixed installment payments using the Visa credit card has been offered since the last quarter of 2001. As of December 31, 2003, BCP’s credit card portfolio had balances past due of approximately 5.5%. BCP is taking steps to improve its card approval and collection process. These measures include issuing cards only to persons with stable net monthly incomes above US$400 and developing better methods for verifying applicants’ information and credit history. Additionally, BCP has developed a mathematical scoring system to better assess the risk-reward variables associated with consumer lending.</w:t>
      </w:r>
    </w:p>
    <w:p>
      <w:pPr>
        <w:spacing w:after="0" w:line="172" w:lineRule="exact"/>
        <w:rPr>
          <w:sz w:val="20"/>
          <w:szCs w:val="20"/>
          <w:color w:val="auto"/>
        </w:rPr>
      </w:pPr>
    </w:p>
    <w:p>
      <w:pPr>
        <w:jc w:val="both"/>
        <w:ind w:firstLine="220"/>
        <w:spacing w:after="0" w:line="259" w:lineRule="auto"/>
        <w:rPr>
          <w:sz w:val="20"/>
          <w:szCs w:val="20"/>
          <w:color w:val="auto"/>
        </w:rPr>
      </w:pPr>
      <w:r>
        <w:rPr>
          <w:rFonts w:ascii="Arial" w:cs="Arial" w:eastAsia="Arial" w:hAnsi="Arial"/>
          <w:sz w:val="18"/>
          <w:szCs w:val="18"/>
          <w:color w:val="auto"/>
        </w:rPr>
        <w:t>In the segment of clients who do not regularly have access to credit cards, campaigns were launched to increase the use of the Credimás debit card as a form of payment. This resulted in a year-on-year increase of 19% in the use of this card (13% in 2002), with total billings of US$167 million (US$141 million in 2002). See “-- (iii) Credit Policy and Review.”</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Consumer Finance</w:t>
      </w:r>
    </w:p>
    <w:p>
      <w:pPr>
        <w:spacing w:after="0" w:line="225" w:lineRule="exact"/>
        <w:rPr>
          <w:sz w:val="20"/>
          <w:szCs w:val="20"/>
          <w:color w:val="auto"/>
        </w:rPr>
      </w:pPr>
    </w:p>
    <w:p>
      <w:pPr>
        <w:jc w:val="both"/>
        <w:ind w:firstLine="220"/>
        <w:spacing w:after="0" w:line="259" w:lineRule="auto"/>
        <w:rPr>
          <w:sz w:val="20"/>
          <w:szCs w:val="20"/>
          <w:color w:val="auto"/>
        </w:rPr>
      </w:pPr>
      <w:r>
        <w:rPr>
          <w:rFonts w:ascii="Arial" w:cs="Arial" w:eastAsia="Arial" w:hAnsi="Arial"/>
          <w:sz w:val="18"/>
          <w:szCs w:val="18"/>
          <w:color w:val="auto"/>
        </w:rPr>
        <w:t>Consumer finance services offered by the Consumer Banking unit at BCP are currently provided to approximately 1.5 million customers, who account for 34% of total deposits and 14% of Retail Banking loans, and contribute 50% of non-interest revenue. Lending products offered include cash consumer loans, payroll loans and loans for specific purposes like automobile purchases, travel and education.</w:t>
      </w:r>
    </w:p>
    <w:p>
      <w:pPr>
        <w:spacing w:after="0" w:line="194" w:lineRule="exact"/>
        <w:rPr>
          <w:sz w:val="20"/>
          <w:szCs w:val="20"/>
          <w:color w:val="auto"/>
        </w:rPr>
      </w:pPr>
    </w:p>
    <w:p>
      <w:pPr>
        <w:jc w:val="both"/>
        <w:ind w:firstLine="224"/>
        <w:spacing w:after="0" w:line="268" w:lineRule="auto"/>
        <w:rPr>
          <w:sz w:val="20"/>
          <w:szCs w:val="20"/>
          <w:color w:val="auto"/>
        </w:rPr>
      </w:pPr>
      <w:r>
        <w:rPr>
          <w:rFonts w:ascii="Arial" w:cs="Arial" w:eastAsia="Arial" w:hAnsi="Arial"/>
          <w:sz w:val="18"/>
          <w:szCs w:val="18"/>
          <w:color w:val="auto"/>
        </w:rPr>
        <w:t>Solución, a mass consumer finance entity, 100% owned by BCP since the purchase in March 2003 of a 45% equity stake held by BCI, transferred substantially all of its assets and liabilities to BCP in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3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March 2004. Solución’s mass consumption segment was restructured and transferred to the Consumer Banking unit at BCP.</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Institutional Banking</w:t>
      </w:r>
    </w:p>
    <w:p>
      <w:pPr>
        <w:spacing w:after="0" w:line="225" w:lineRule="exact"/>
        <w:rPr>
          <w:sz w:val="20"/>
          <w:szCs w:val="20"/>
          <w:color w:val="auto"/>
        </w:rPr>
      </w:pPr>
    </w:p>
    <w:p>
      <w:pPr>
        <w:jc w:val="both"/>
        <w:ind w:firstLine="261"/>
        <w:spacing w:after="0" w:line="306" w:lineRule="auto"/>
        <w:rPr>
          <w:sz w:val="20"/>
          <w:szCs w:val="20"/>
          <w:color w:val="auto"/>
        </w:rPr>
      </w:pPr>
      <w:r>
        <w:rPr>
          <w:rFonts w:ascii="Arial" w:cs="Arial" w:eastAsia="Arial" w:hAnsi="Arial"/>
          <w:sz w:val="16"/>
          <w:szCs w:val="16"/>
          <w:color w:val="auto"/>
        </w:rPr>
        <w:t>The Institutional Banking area, which serves non-profit organizations, whether public or private, deals with approximately 4,800 institutions, including state and local government entities, international bodies, educational institutions and non-governmental organizations. The client base has grown significantly since 2002 due to a market re-segmentation effort. These clients are served by specialized teams in both the Middle Market Banking and Personal Banking divisions.</w:t>
      </w:r>
    </w:p>
    <w:p>
      <w:pPr>
        <w:spacing w:after="0" w:line="161" w:lineRule="exact"/>
        <w:rPr>
          <w:sz w:val="20"/>
          <w:szCs w:val="20"/>
          <w:color w:val="auto"/>
        </w:rPr>
      </w:pPr>
    </w:p>
    <w:p>
      <w:pPr>
        <w:jc w:val="both"/>
        <w:ind w:firstLine="248"/>
        <w:spacing w:after="0" w:line="318" w:lineRule="auto"/>
        <w:rPr>
          <w:sz w:val="20"/>
          <w:szCs w:val="20"/>
          <w:color w:val="auto"/>
        </w:rPr>
      </w:pPr>
      <w:r>
        <w:rPr>
          <w:rFonts w:ascii="Arial" w:cs="Arial" w:eastAsia="Arial" w:hAnsi="Arial"/>
          <w:sz w:val="15"/>
          <w:szCs w:val="15"/>
          <w:color w:val="auto"/>
        </w:rPr>
        <w:t>This area is strategically important because of the business potential that these clients represent, with their demand for diverse products and services, and the opportunities they present for generating income from fees and cross-selling of services. These clients are principally users of transactional products and require consultancy for investment management. At the end of 2003, their deposits and shares in Credicorp’s mutual funds reached US$788 million (US$614 million at the end of 2002), while their loans reached US$33 million (US$31 million at the end of 2002). During 2003, the Institutional Banking clients increased their use of services offered by BCP, among which are: office banking (34% increase); collections (63% increase); and automated payroll payment (43% increase).</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(iii) Credit Policy and Review</w:t>
      </w:r>
    </w:p>
    <w:p>
      <w:pPr>
        <w:spacing w:after="0" w:line="225" w:lineRule="exact"/>
        <w:rPr>
          <w:sz w:val="20"/>
          <w:szCs w:val="20"/>
          <w:color w:val="auto"/>
        </w:rPr>
      </w:pPr>
    </w:p>
    <w:p>
      <w:pPr>
        <w:jc w:val="both"/>
        <w:ind w:firstLine="366"/>
        <w:spacing w:after="0" w:line="256" w:lineRule="auto"/>
        <w:rPr>
          <w:sz w:val="20"/>
          <w:szCs w:val="20"/>
          <w:color w:val="auto"/>
        </w:rPr>
      </w:pPr>
      <w:r>
        <w:rPr>
          <w:rFonts w:ascii="Arial" w:cs="Arial" w:eastAsia="Arial" w:hAnsi="Arial"/>
          <w:sz w:val="18"/>
          <w:szCs w:val="18"/>
          <w:color w:val="auto"/>
        </w:rPr>
        <w:t>Credicorp applies uniform credit policies and approval and review procedures, which are based on conservative criteria adopted by BCP, to all of its subsidiaries. Credicorp’s General Manager is in charge of setting the general credit policies for the different business areas of Credicorp. These policies are set within the guidelines established by Peruvian financial sector laws and SBS regulations (see “—(11) Supervision and Regulation—(ii) BCP”), and the guidelines set forth by Credicorp’s Board of Directors.</w:t>
      </w:r>
    </w:p>
    <w:p>
      <w:pPr>
        <w:spacing w:after="0" w:line="197" w:lineRule="exact"/>
        <w:rPr>
          <w:sz w:val="20"/>
          <w:szCs w:val="20"/>
          <w:color w:val="auto"/>
        </w:rPr>
      </w:pPr>
    </w:p>
    <w:p>
      <w:pPr>
        <w:jc w:val="both"/>
        <w:ind w:firstLine="226"/>
        <w:spacing w:after="0" w:line="294" w:lineRule="auto"/>
        <w:rPr>
          <w:sz w:val="20"/>
          <w:szCs w:val="20"/>
          <w:color w:val="auto"/>
        </w:rPr>
      </w:pPr>
      <w:r>
        <w:rPr>
          <w:rFonts w:ascii="Arial" w:cs="Arial" w:eastAsia="Arial" w:hAnsi="Arial"/>
          <w:sz w:val="16"/>
          <w:szCs w:val="16"/>
          <w:color w:val="auto"/>
        </w:rPr>
        <w:t>The credit approval process is based primarily on an evaluation of the borrower’s repayment capacity and on commercial and banking references. A corporate borrower’s repayment capacity is determined by analyzing the historical and projected financial condition of the company and of the industry in which it operates. An analysis of the company’s current management, banking references and past experiences in similar transactions as well as the collateral to be provided, are other important factors in the credit approval process. For BCP’s individual borrowers, the information that is presented by the prospective borrower is evaluated by a credit officer and the application is passed through a scoring program for approval by a centralized credit unit.</w:t>
      </w:r>
    </w:p>
    <w:p>
      <w:pPr>
        <w:spacing w:after="0" w:line="170" w:lineRule="exact"/>
        <w:rPr>
          <w:sz w:val="20"/>
          <w:szCs w:val="20"/>
          <w:color w:val="auto"/>
        </w:rPr>
      </w:pPr>
    </w:p>
    <w:p>
      <w:pPr>
        <w:jc w:val="both"/>
        <w:ind w:firstLine="301"/>
        <w:spacing w:after="0" w:line="259" w:lineRule="auto"/>
        <w:rPr>
          <w:sz w:val="20"/>
          <w:szCs w:val="20"/>
          <w:color w:val="auto"/>
        </w:rPr>
      </w:pPr>
      <w:r>
        <w:rPr>
          <w:rFonts w:ascii="Arial" w:cs="Arial" w:eastAsia="Arial" w:hAnsi="Arial"/>
          <w:sz w:val="18"/>
          <w:szCs w:val="18"/>
          <w:color w:val="auto"/>
        </w:rPr>
        <w:t>Credit risk in retail banking involves the assessment of the client’s financial track record and other aspects in order to determine its ability to repay debt. Additionally, in each case, loan approval is subject to a number of credit scoring models, which assign loan-loss probabilities that relate to expected returns of each market segment.</w:t>
      </w:r>
    </w:p>
    <w:p>
      <w:pPr>
        <w:spacing w:after="0" w:line="194" w:lineRule="exact"/>
        <w:rPr>
          <w:sz w:val="20"/>
          <w:szCs w:val="20"/>
          <w:color w:val="auto"/>
        </w:rPr>
      </w:pPr>
    </w:p>
    <w:p>
      <w:pPr>
        <w:jc w:val="both"/>
        <w:ind w:firstLine="225"/>
        <w:spacing w:after="0" w:line="256" w:lineRule="auto"/>
        <w:rPr>
          <w:sz w:val="20"/>
          <w:szCs w:val="20"/>
          <w:color w:val="auto"/>
        </w:rPr>
      </w:pPr>
      <w:r>
        <w:rPr>
          <w:rFonts w:ascii="Arial" w:cs="Arial" w:eastAsia="Arial" w:hAnsi="Arial"/>
          <w:sz w:val="18"/>
          <w:szCs w:val="18"/>
          <w:color w:val="auto"/>
        </w:rPr>
        <w:t>Success in the small business and personal lending areas depends largely on BCP’s ability to obtain reliable credit information about prospective borrowers. In this regard, BCP, together with several partners, formed a credit research company called Infocorp in November 1995. In addition, the SBS has expanded its credit exposure database service to cover all businesses or individuals with any amount borrowed from a Peruvian financial institution, including information on the loan risk category in which the borrowers are classified.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31" w:right="239" w:bottom="1440" w:gutter="0" w:footer="0" w:header="0"/>
        </w:sectPr>
      </w:pPr>
    </w:p>
    <w:bookmarkStart w:id="29" w:name="page30"/>
    <w:bookmarkEnd w:id="29"/>
    <w:p>
      <w:pPr>
        <w:jc w:val="both"/>
        <w:ind w:firstLine="265"/>
        <w:spacing w:after="0" w:line="255" w:lineRule="auto"/>
        <w:rPr>
          <w:sz w:val="20"/>
          <w:szCs w:val="20"/>
          <w:color w:val="auto"/>
        </w:rPr>
      </w:pPr>
      <w:r>
        <w:rPr>
          <w:rFonts w:ascii="Arial" w:cs="Arial" w:eastAsia="Arial" w:hAnsi="Arial"/>
          <w:sz w:val="18"/>
          <w:szCs w:val="18"/>
          <w:color w:val="auto"/>
        </w:rPr>
        <w:t>Credicorp has a strictly enforced policy with respect to the lending authority of its loan officers and has in place procedures to ensure that these limits have been adhered to before a loan is disbursed. Under BCP’s new credit approval process, the lending authority for middle market and small business loans has been centralized into a specialized credit risk analysis unit, whose officers have been granted lending limits, thus allowing middle market and small business loan officers to concentrate on their client relations. To ensure that loan officers and credit analysis officers are complying with their lending authority, the credit department and BCP’s internal auditors regularly examine credit approvals.</w:t>
      </w:r>
    </w:p>
    <w:p>
      <w:pPr>
        <w:spacing w:after="0" w:line="197" w:lineRule="exact"/>
        <w:rPr>
          <w:sz w:val="20"/>
          <w:szCs w:val="20"/>
          <w:color w:val="auto"/>
        </w:rPr>
      </w:pPr>
    </w:p>
    <w:p>
      <w:pPr>
        <w:jc w:val="both"/>
        <w:ind w:firstLine="226"/>
        <w:spacing w:after="0" w:line="259" w:lineRule="auto"/>
        <w:rPr>
          <w:sz w:val="20"/>
          <w:szCs w:val="20"/>
          <w:color w:val="auto"/>
        </w:rPr>
      </w:pPr>
      <w:r>
        <w:rPr>
          <w:rFonts w:ascii="Arial" w:cs="Arial" w:eastAsia="Arial" w:hAnsi="Arial"/>
          <w:sz w:val="18"/>
          <w:szCs w:val="18"/>
          <w:color w:val="auto"/>
        </w:rPr>
        <w:t>The following table briefly summarizes BCP’s policy on lending limits for loan officers and credit risk analysis officers. Requests for credit facilities in excess of the limits set forth below are reviewed by Credicorp’s General Manager, Executive Committee or, if the amount of the proposed facility is sufficiently large, the Board of Directors.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40" w:type="dxa"/>
            <w:vAlign w:val="bottom"/>
          </w:tcPr>
          <w:p>
            <w:pPr>
              <w:jc w:val="right"/>
              <w:ind w:right="32"/>
              <w:spacing w:after="0"/>
              <w:rPr>
                <w:sz w:val="20"/>
                <w:szCs w:val="20"/>
                <w:color w:val="auto"/>
              </w:rPr>
            </w:pPr>
            <w:r>
              <w:rPr>
                <w:rFonts w:ascii="Arial" w:cs="Arial" w:eastAsia="Arial" w:hAnsi="Arial"/>
                <w:sz w:val="18"/>
                <w:szCs w:val="18"/>
                <w:b w:val="1"/>
                <w:bCs w:val="1"/>
                <w:color w:val="auto"/>
                <w:w w:val="90"/>
              </w:rPr>
              <w:t>Personal and Small</w:t>
            </w:r>
          </w:p>
        </w:tc>
      </w:tr>
      <w:tr>
        <w:trPr>
          <w:trHeight w:val="228"/>
        </w:trPr>
        <w:tc>
          <w:tcPr>
            <w:tcW w:w="8000" w:type="dxa"/>
            <w:vAlign w:val="bottom"/>
          </w:tcPr>
          <w:p>
            <w:pPr>
              <w:spacing w:after="0"/>
              <w:rPr>
                <w:sz w:val="19"/>
                <w:szCs w:val="19"/>
                <w:color w:val="auto"/>
              </w:rPr>
            </w:pPr>
          </w:p>
        </w:tc>
        <w:tc>
          <w:tcPr>
            <w:tcW w:w="1780" w:type="dxa"/>
            <w:vAlign w:val="bottom"/>
          </w:tcPr>
          <w:p>
            <w:pPr>
              <w:jc w:val="right"/>
              <w:ind w:right="452"/>
              <w:spacing w:after="0"/>
              <w:rPr>
                <w:sz w:val="20"/>
                <w:szCs w:val="20"/>
                <w:color w:val="auto"/>
              </w:rPr>
            </w:pPr>
            <w:r>
              <w:rPr>
                <w:rFonts w:ascii="Arial" w:cs="Arial" w:eastAsia="Arial" w:hAnsi="Arial"/>
                <w:sz w:val="18"/>
                <w:szCs w:val="18"/>
                <w:b w:val="1"/>
                <w:bCs w:val="1"/>
                <w:color w:val="auto"/>
              </w:rPr>
              <w:t>Wholesale</w:t>
            </w:r>
          </w:p>
        </w:tc>
        <w:tc>
          <w:tcPr>
            <w:tcW w:w="1640" w:type="dxa"/>
            <w:vAlign w:val="bottom"/>
          </w:tcPr>
          <w:p>
            <w:pPr>
              <w:jc w:val="right"/>
              <w:ind w:right="432"/>
              <w:spacing w:after="0"/>
              <w:rPr>
                <w:sz w:val="20"/>
                <w:szCs w:val="20"/>
                <w:color w:val="auto"/>
              </w:rPr>
            </w:pPr>
            <w:r>
              <w:rPr>
                <w:rFonts w:ascii="Arial" w:cs="Arial" w:eastAsia="Arial" w:hAnsi="Arial"/>
                <w:sz w:val="18"/>
                <w:szCs w:val="18"/>
                <w:b w:val="1"/>
                <w:bCs w:val="1"/>
                <w:color w:val="auto"/>
              </w:rPr>
              <w:t>Business</w:t>
            </w:r>
          </w:p>
        </w:tc>
      </w:tr>
      <w:tr>
        <w:trPr>
          <w:trHeight w:val="124"/>
        </w:trPr>
        <w:tc>
          <w:tcPr>
            <w:tcW w:w="8000" w:type="dxa"/>
            <w:vAlign w:val="bottom"/>
          </w:tcPr>
          <w:p>
            <w:pPr>
              <w:spacing w:after="0"/>
              <w:rPr>
                <w:sz w:val="10"/>
                <w:szCs w:val="10"/>
                <w:color w:val="auto"/>
              </w:rPr>
            </w:pPr>
          </w:p>
        </w:tc>
        <w:tc>
          <w:tcPr>
            <w:tcW w:w="3420" w:type="dxa"/>
            <w:vAlign w:val="bottom"/>
            <w:tcBorders>
              <w:bottom w:val="single" w:sz="8" w:color="9A9A9A"/>
            </w:tcBorders>
            <w:gridSpan w:val="2"/>
          </w:tcPr>
          <w:p>
            <w:pPr>
              <w:spacing w:after="0"/>
              <w:rPr>
                <w:sz w:val="10"/>
                <w:szCs w:val="10"/>
                <w:color w:val="auto"/>
              </w:rPr>
            </w:pPr>
          </w:p>
        </w:tc>
      </w:tr>
      <w:tr>
        <w:trPr>
          <w:trHeight w:val="316"/>
        </w:trPr>
        <w:tc>
          <w:tcPr>
            <w:tcW w:w="8000" w:type="dxa"/>
            <w:vAlign w:val="bottom"/>
          </w:tcPr>
          <w:p>
            <w:pPr>
              <w:spacing w:after="0"/>
              <w:rPr>
                <w:sz w:val="24"/>
                <w:szCs w:val="24"/>
                <w:color w:val="auto"/>
              </w:rPr>
            </w:pPr>
          </w:p>
        </w:tc>
        <w:tc>
          <w:tcPr>
            <w:tcW w:w="3420" w:type="dxa"/>
            <w:vAlign w:val="bottom"/>
            <w:gridSpan w:val="2"/>
          </w:tcPr>
          <w:p>
            <w:pPr>
              <w:jc w:val="right"/>
              <w:ind w:right="1112"/>
              <w:spacing w:after="0"/>
              <w:rPr>
                <w:sz w:val="20"/>
                <w:szCs w:val="20"/>
                <w:color w:val="auto"/>
              </w:rPr>
            </w:pPr>
            <w:r>
              <w:rPr>
                <w:rFonts w:ascii="Arial" w:cs="Arial" w:eastAsia="Arial" w:hAnsi="Arial"/>
                <w:sz w:val="18"/>
                <w:szCs w:val="18"/>
                <w:i w:val="1"/>
                <w:iCs w:val="1"/>
                <w:color w:val="auto"/>
              </w:rPr>
              <w:t>(U.S. Dollars)</w:t>
            </w:r>
          </w:p>
        </w:tc>
      </w:tr>
      <w:tr>
        <w:trPr>
          <w:trHeight w:val="696"/>
        </w:trPr>
        <w:tc>
          <w:tcPr>
            <w:tcW w:w="8000" w:type="dxa"/>
            <w:vAlign w:val="bottom"/>
          </w:tcPr>
          <w:p>
            <w:pPr>
              <w:spacing w:after="0"/>
              <w:rPr>
                <w:sz w:val="20"/>
                <w:szCs w:val="20"/>
                <w:color w:val="auto"/>
              </w:rPr>
            </w:pPr>
            <w:r>
              <w:rPr>
                <w:rFonts w:ascii="Arial" w:cs="Arial" w:eastAsia="Arial" w:hAnsi="Arial"/>
                <w:sz w:val="18"/>
                <w:szCs w:val="18"/>
                <w:b w:val="1"/>
                <w:bCs w:val="1"/>
                <w:color w:val="auto"/>
              </w:rPr>
              <w:t>Loans supported by liquid collateral or not exceeding two years</w:t>
            </w:r>
            <w:r>
              <w:rPr>
                <w:rFonts w:ascii="Arial" w:cs="Arial" w:eastAsia="Arial" w:hAnsi="Arial"/>
                <w:sz w:val="18"/>
                <w:szCs w:val="18"/>
                <w:color w:val="auto"/>
              </w:rPr>
              <w:t>(1)</w:t>
            </w:r>
          </w:p>
        </w:tc>
        <w:tc>
          <w:tcPr>
            <w:tcW w:w="17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Loan Officer and Credit Analysis Officer</w:t>
            </w:r>
          </w:p>
        </w:tc>
        <w:tc>
          <w:tcPr>
            <w:tcW w:w="1780" w:type="dxa"/>
            <w:vAlign w:val="bottom"/>
          </w:tcPr>
          <w:p>
            <w:pPr>
              <w:jc w:val="right"/>
              <w:spacing w:after="0"/>
              <w:rPr>
                <w:sz w:val="20"/>
                <w:szCs w:val="20"/>
                <w:color w:val="auto"/>
              </w:rPr>
            </w:pPr>
            <w:r>
              <w:rPr>
                <w:rFonts w:ascii="Arial" w:cs="Arial" w:eastAsia="Arial" w:hAnsi="Arial"/>
                <w:sz w:val="18"/>
                <w:szCs w:val="18"/>
                <w:color w:val="auto"/>
              </w:rPr>
              <w:t>US$ 210,000</w:t>
            </w:r>
          </w:p>
        </w:tc>
        <w:tc>
          <w:tcPr>
            <w:tcW w:w="1640" w:type="dxa"/>
            <w:vAlign w:val="bottom"/>
          </w:tcPr>
          <w:p>
            <w:pPr>
              <w:jc w:val="right"/>
              <w:spacing w:after="0"/>
              <w:rPr>
                <w:sz w:val="20"/>
                <w:szCs w:val="20"/>
                <w:color w:val="auto"/>
              </w:rPr>
            </w:pPr>
            <w:r>
              <w:rPr>
                <w:rFonts w:ascii="Arial" w:cs="Arial" w:eastAsia="Arial" w:hAnsi="Arial"/>
                <w:sz w:val="18"/>
                <w:szCs w:val="18"/>
                <w:color w:val="auto"/>
              </w:rPr>
              <w:t>US$ 50,000</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Chief Lending and Chief Credit Analysis Officer</w:t>
            </w: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1,500,000</w:t>
            </w:r>
          </w:p>
        </w:tc>
        <w:tc>
          <w:tcPr>
            <w:tcW w:w="1640" w:type="dxa"/>
            <w:vAlign w:val="bottom"/>
          </w:tcPr>
          <w:p>
            <w:pPr>
              <w:jc w:val="right"/>
              <w:spacing w:after="0"/>
              <w:rPr>
                <w:sz w:val="20"/>
                <w:szCs w:val="20"/>
                <w:color w:val="auto"/>
              </w:rPr>
            </w:pPr>
            <w:r>
              <w:rPr>
                <w:rFonts w:ascii="Arial" w:cs="Arial" w:eastAsia="Arial" w:hAnsi="Arial"/>
                <w:sz w:val="18"/>
                <w:szCs w:val="18"/>
                <w:color w:val="auto"/>
              </w:rPr>
              <w:t>100,000</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Area Manager</w:t>
            </w: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1,950,000</w:t>
            </w:r>
          </w:p>
        </w:tc>
        <w:tc>
          <w:tcPr>
            <w:tcW w:w="1640" w:type="dxa"/>
            <w:vAlign w:val="bottom"/>
          </w:tcPr>
          <w:p>
            <w:pPr>
              <w:jc w:val="right"/>
              <w:spacing w:after="0"/>
              <w:rPr>
                <w:sz w:val="20"/>
                <w:szCs w:val="20"/>
                <w:color w:val="auto"/>
              </w:rPr>
            </w:pPr>
            <w:r>
              <w:rPr>
                <w:rFonts w:ascii="Arial" w:cs="Arial" w:eastAsia="Arial" w:hAnsi="Arial"/>
                <w:sz w:val="18"/>
                <w:szCs w:val="18"/>
                <w:color w:val="auto"/>
              </w:rPr>
              <w:t>400,000</w:t>
            </w:r>
          </w:p>
        </w:tc>
      </w:tr>
      <w:tr>
        <w:trPr>
          <w:trHeight w:val="222"/>
        </w:trPr>
        <w:tc>
          <w:tcPr>
            <w:tcW w:w="8000" w:type="dxa"/>
            <w:vAlign w:val="bottom"/>
          </w:tcPr>
          <w:p>
            <w:pPr>
              <w:ind w:left="180"/>
              <w:spacing w:after="0"/>
              <w:rPr>
                <w:sz w:val="20"/>
                <w:szCs w:val="20"/>
                <w:color w:val="auto"/>
              </w:rPr>
            </w:pPr>
            <w:r>
              <w:rPr>
                <w:rFonts w:ascii="Arial" w:cs="Arial" w:eastAsia="Arial" w:hAnsi="Arial"/>
                <w:sz w:val="18"/>
                <w:szCs w:val="18"/>
                <w:color w:val="auto"/>
              </w:rPr>
              <w:t>Senior Credit Officer</w:t>
            </w: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4,500,000</w:t>
            </w:r>
          </w:p>
        </w:tc>
        <w:tc>
          <w:tcPr>
            <w:tcW w:w="1640" w:type="dxa"/>
            <w:vAlign w:val="bottom"/>
          </w:tcPr>
          <w:p>
            <w:pPr>
              <w:jc w:val="right"/>
              <w:spacing w:after="0"/>
              <w:rPr>
                <w:sz w:val="20"/>
                <w:szCs w:val="20"/>
                <w:color w:val="auto"/>
              </w:rPr>
            </w:pPr>
            <w:r>
              <w:rPr>
                <w:rFonts w:ascii="Arial" w:cs="Arial" w:eastAsia="Arial" w:hAnsi="Arial"/>
                <w:sz w:val="18"/>
                <w:szCs w:val="18"/>
                <w:color w:val="auto"/>
              </w:rPr>
              <w:t>1,000,000</w:t>
            </w:r>
          </w:p>
        </w:tc>
      </w:tr>
      <w:tr>
        <w:trPr>
          <w:trHeight w:val="696"/>
        </w:trPr>
        <w:tc>
          <w:tcPr>
            <w:tcW w:w="8000" w:type="dxa"/>
            <w:vAlign w:val="bottom"/>
          </w:tcPr>
          <w:p>
            <w:pPr>
              <w:spacing w:after="0"/>
              <w:rPr>
                <w:sz w:val="20"/>
                <w:szCs w:val="20"/>
                <w:color w:val="auto"/>
              </w:rPr>
            </w:pPr>
            <w:r>
              <w:rPr>
                <w:rFonts w:ascii="Arial" w:cs="Arial" w:eastAsia="Arial" w:hAnsi="Arial"/>
                <w:sz w:val="18"/>
                <w:szCs w:val="18"/>
                <w:b w:val="1"/>
                <w:bCs w:val="1"/>
                <w:color w:val="auto"/>
              </w:rPr>
              <w:t>Loans supported by other collateral or exceeding two years</w:t>
            </w:r>
            <w:r>
              <w:rPr>
                <w:rFonts w:ascii="Arial" w:cs="Arial" w:eastAsia="Arial" w:hAnsi="Arial"/>
                <w:sz w:val="18"/>
                <w:szCs w:val="18"/>
                <w:color w:val="auto"/>
              </w:rPr>
              <w:t>(2)</w:t>
            </w:r>
          </w:p>
        </w:tc>
        <w:tc>
          <w:tcPr>
            <w:tcW w:w="17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Loan Officer and Credit Analysis Officer</w:t>
            </w: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70,000</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Chief Lending and Chief Credit Analysis Officer</w:t>
            </w: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500,000</w:t>
            </w:r>
          </w:p>
        </w:tc>
        <w:tc>
          <w:tcPr>
            <w:tcW w:w="164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Area Manager</w:t>
            </w: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650,000</w:t>
            </w:r>
          </w:p>
        </w:tc>
        <w:tc>
          <w:tcPr>
            <w:tcW w:w="1640" w:type="dxa"/>
            <w:vAlign w:val="bottom"/>
          </w:tcPr>
          <w:p>
            <w:pPr>
              <w:jc w:val="right"/>
              <w:spacing w:after="0"/>
              <w:rPr>
                <w:sz w:val="20"/>
                <w:szCs w:val="20"/>
                <w:color w:val="auto"/>
              </w:rPr>
            </w:pPr>
            <w:r>
              <w:rPr>
                <w:rFonts w:ascii="Arial" w:cs="Arial" w:eastAsia="Arial" w:hAnsi="Arial"/>
                <w:sz w:val="18"/>
                <w:szCs w:val="18"/>
                <w:color w:val="auto"/>
              </w:rPr>
              <w:t>200,000</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Senior Credit Officer</w:t>
            </w: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1,500,000</w:t>
            </w:r>
          </w:p>
        </w:tc>
        <w:tc>
          <w:tcPr>
            <w:tcW w:w="1640" w:type="dxa"/>
            <w:vAlign w:val="bottom"/>
          </w:tcPr>
          <w:p>
            <w:pPr>
              <w:jc w:val="right"/>
              <w:spacing w:after="0"/>
              <w:rPr>
                <w:sz w:val="20"/>
                <w:szCs w:val="20"/>
                <w:color w:val="auto"/>
              </w:rPr>
            </w:pPr>
            <w:r>
              <w:rPr>
                <w:rFonts w:ascii="Arial" w:cs="Arial" w:eastAsia="Arial" w:hAnsi="Arial"/>
                <w:sz w:val="18"/>
                <w:szCs w:val="18"/>
                <w:color w:val="auto"/>
              </w:rPr>
              <w:t>400,000</w:t>
            </w:r>
          </w:p>
        </w:tc>
      </w:tr>
      <w:tr>
        <w:trPr>
          <w:trHeight w:val="222"/>
        </w:trPr>
        <w:tc>
          <w:tcPr>
            <w:tcW w:w="8000" w:type="dxa"/>
            <w:vAlign w:val="bottom"/>
          </w:tcPr>
          <w:p>
            <w:pPr>
              <w:spacing w:after="0"/>
              <w:rPr>
                <w:sz w:val="20"/>
                <w:szCs w:val="20"/>
                <w:color w:val="auto"/>
              </w:rPr>
            </w:pPr>
            <w:r>
              <w:rPr>
                <w:rFonts w:ascii="Arial" w:cs="Arial" w:eastAsia="Arial" w:hAnsi="Arial"/>
                <w:sz w:val="18"/>
                <w:szCs w:val="18"/>
                <w:color w:val="auto"/>
              </w:rPr>
              <w:t>____________</w:t>
            </w:r>
          </w:p>
        </w:tc>
        <w:tc>
          <w:tcPr>
            <w:tcW w:w="1780" w:type="dxa"/>
            <w:vAlign w:val="bottom"/>
          </w:tcPr>
          <w:p>
            <w:pPr>
              <w:spacing w:after="0"/>
              <w:rPr>
                <w:sz w:val="19"/>
                <w:szCs w:val="19"/>
                <w:color w:val="auto"/>
              </w:rPr>
            </w:pPr>
          </w:p>
        </w:tc>
        <w:tc>
          <w:tcPr>
            <w:tcW w:w="16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6149975</wp:posOffset>
            </wp:positionH>
            <wp:positionV relativeFrom="paragraph">
              <wp:posOffset>-2352040</wp:posOffset>
            </wp:positionV>
            <wp:extent cx="34290" cy="342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-2352040</wp:posOffset>
            </wp:positionV>
            <wp:extent cx="3429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600" w:hanging="592"/>
        <w:spacing w:after="0" w:line="226" w:lineRule="auto"/>
        <w:tabs>
          <w:tab w:leader="none" w:pos="600" w:val="left"/>
        </w:tabs>
        <w:numPr>
          <w:ilvl w:val="0"/>
          <w:numId w:val="9"/>
        </w:numPr>
        <w:rPr>
          <w:rFonts w:ascii="Arial" w:cs="Arial" w:eastAsia="Arial" w:hAnsi="Arial"/>
          <w:sz w:val="14"/>
          <w:szCs w:val="14"/>
          <w:color w:val="auto"/>
        </w:rPr>
      </w:pPr>
      <w:r>
        <w:rPr>
          <w:rFonts w:ascii="Arial" w:cs="Arial" w:eastAsia="Arial" w:hAnsi="Arial"/>
          <w:sz w:val="14"/>
          <w:szCs w:val="14"/>
          <w:color w:val="auto"/>
        </w:rPr>
        <w:t>Liquid collateral includes cash deposits, stand-by letters of credit, securities or other liquid assets with market price and accepted drafts.</w:t>
      </w:r>
    </w:p>
    <w:p>
      <w:pPr>
        <w:ind w:left="600" w:hanging="592"/>
        <w:spacing w:after="0"/>
        <w:tabs>
          <w:tab w:leader="none" w:pos="600" w:val="left"/>
        </w:tabs>
        <w:numPr>
          <w:ilvl w:val="0"/>
          <w:numId w:val="9"/>
        </w:numPr>
        <w:rPr>
          <w:rFonts w:ascii="Arial" w:cs="Arial" w:eastAsia="Arial" w:hAnsi="Arial"/>
          <w:sz w:val="12"/>
          <w:szCs w:val="12"/>
          <w:color w:val="auto"/>
        </w:rPr>
      </w:pPr>
      <w:r>
        <w:rPr>
          <w:rFonts w:ascii="Arial" w:cs="Arial" w:eastAsia="Arial" w:hAnsi="Arial"/>
          <w:sz w:val="12"/>
          <w:szCs w:val="12"/>
          <w:color w:val="auto"/>
        </w:rPr>
        <w:t>Other collateral includes securities with no market value, non-accepted drafts, real estate, mortgages, security interests on equipment or crops, and assets involved in leasing operations.</w:t>
      </w:r>
    </w:p>
    <w:p>
      <w:pPr>
        <w:spacing w:after="0" w:line="217" w:lineRule="exact"/>
        <w:rPr>
          <w:sz w:val="20"/>
          <w:szCs w:val="20"/>
          <w:color w:val="auto"/>
        </w:rPr>
      </w:pPr>
    </w:p>
    <w:p>
      <w:pPr>
        <w:jc w:val="both"/>
        <w:ind w:firstLine="242"/>
        <w:spacing w:after="0" w:line="294" w:lineRule="auto"/>
        <w:rPr>
          <w:sz w:val="20"/>
          <w:szCs w:val="20"/>
          <w:color w:val="auto"/>
        </w:rPr>
      </w:pPr>
      <w:r>
        <w:rPr>
          <w:rFonts w:ascii="Arial" w:cs="Arial" w:eastAsia="Arial" w:hAnsi="Arial"/>
          <w:sz w:val="16"/>
          <w:szCs w:val="16"/>
          <w:color w:val="auto"/>
        </w:rPr>
        <w:t>Credicorp believes that an important factor for maintaining the quality of its loan portfolio is the selection and training of its loan officers. Credicorp requires loan officers to have degrees in economics, accounting or business administration from competitive local or foreign universities. In addition, the training program consists of a six-month rotation through all of the business-related areas of Credicorp and the credit risk analysis area. After the training period is over, trainees are assigned as assistants to loan officers for a period of at least one year before they can be promoted to loan officers. Loan officers also receive additional training throughout their careers at Credicorp. Laterally hired officers are generally required to have held previous positions as loan officers.</w:t>
      </w:r>
    </w:p>
    <w:p>
      <w:pPr>
        <w:spacing w:after="0" w:line="170" w:lineRule="exact"/>
        <w:rPr>
          <w:sz w:val="20"/>
          <w:szCs w:val="20"/>
          <w:color w:val="auto"/>
        </w:rPr>
      </w:pPr>
    </w:p>
    <w:p>
      <w:pPr>
        <w:jc w:val="both"/>
        <w:ind w:firstLine="258"/>
        <w:spacing w:after="0" w:line="254" w:lineRule="auto"/>
        <w:rPr>
          <w:sz w:val="20"/>
          <w:szCs w:val="20"/>
          <w:color w:val="auto"/>
        </w:rPr>
      </w:pPr>
      <w:r>
        <w:rPr>
          <w:rFonts w:ascii="Arial" w:cs="Arial" w:eastAsia="Arial" w:hAnsi="Arial"/>
          <w:sz w:val="18"/>
          <w:szCs w:val="18"/>
          <w:color w:val="auto"/>
        </w:rPr>
        <w:t>In general, except for Corporate Banking loans, Credicorp is a secured lender. As of December 31, 2003, approximately US$2.1 billion of the loan portfolio and contingent credits were secured by “preferred” collateral. See “—(12) Selected Statistical Information—(iii) Loan Portfolio—Classification of the Loan Portfolio.” Liquid collateral is a small portion of the total collateral. In general, if Credicorp requires collateral for the extension of credit, it requires collateral valued at between 10% and 50% above the facilities granted. The appraisal of illiquid collateral, in particular real estate assets, machinery and equipment, is performed by independent experts when required for specific reasons. BCP’s policy generally is to require that the appraised value of illiquid collateral exceed the loan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31"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amount by at least 25%. In cases where a borrower encounters difficulties, Credicorp seeks to obtain additional collateral.</w:t>
      </w:r>
    </w:p>
    <w:p>
      <w:pPr>
        <w:spacing w:after="0" w:line="225"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 xml:space="preserve">The existence of collateral does not affect the loan classification process according to regulations in effect as of December 1998. Pursuant to the </w:t>
      </w:r>
      <w:r>
        <w:rPr>
          <w:rFonts w:ascii="Arial" w:cs="Arial" w:eastAsia="Arial" w:hAnsi="Arial"/>
          <w:sz w:val="18"/>
          <w:szCs w:val="18"/>
          <w:i w:val="1"/>
          <w:iCs w:val="1"/>
          <w:color w:val="auto"/>
        </w:rPr>
        <w:t>Ley General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del Sistema Financiero y del Sistema de Seguros y Orgánica de la Superintendencia de Banca y Seguros </w:t>
      </w:r>
      <w:r>
        <w:rPr>
          <w:rFonts w:ascii="Arial" w:cs="Arial" w:eastAsia="Arial" w:hAnsi="Arial"/>
          <w:sz w:val="18"/>
          <w:szCs w:val="18"/>
          <w:color w:val="auto"/>
        </w:rPr>
        <w:t>(the General Law of the Financial System, the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System and Organic Law of the Superintendency of Banking and Insurance, or “Law 26702”), secured loans, or the portion thereof covered by collateral, classified in Class “B,” “C,” or “D”risk categories have a lower loan loss provision requirement. If a borrower is classified as substandard or below, then Credicorp’s entire credit exposure to that borrower is so classified. See “—(12) Selected Statistical Information— (iii) Loan Portfolio—Classification of the Loan Portfolio.”</w:t>
      </w:r>
    </w:p>
    <w:p>
      <w:pPr>
        <w:spacing w:after="0" w:line="198" w:lineRule="exact"/>
        <w:rPr>
          <w:sz w:val="20"/>
          <w:szCs w:val="20"/>
          <w:color w:val="auto"/>
        </w:rPr>
      </w:pPr>
    </w:p>
    <w:p>
      <w:pPr>
        <w:jc w:val="both"/>
        <w:ind w:firstLine="276"/>
        <w:spacing w:after="0" w:line="268" w:lineRule="auto"/>
        <w:rPr>
          <w:sz w:val="20"/>
          <w:szCs w:val="20"/>
          <w:color w:val="auto"/>
        </w:rPr>
      </w:pPr>
      <w:r>
        <w:rPr>
          <w:rFonts w:ascii="Arial" w:cs="Arial" w:eastAsia="Arial" w:hAnsi="Arial"/>
          <w:sz w:val="18"/>
          <w:szCs w:val="18"/>
          <w:color w:val="auto"/>
        </w:rPr>
        <w:t>Credicorp conducts unannounced internal audits as well as an annual audit by external auditors on the financial statements, consistent with bank regulatory practice in the respective jurisdictions in which it operates.</w:t>
      </w:r>
    </w:p>
    <w:p>
      <w:pPr>
        <w:spacing w:after="0" w:line="186" w:lineRule="exact"/>
        <w:rPr>
          <w:sz w:val="20"/>
          <w:szCs w:val="20"/>
          <w:color w:val="auto"/>
        </w:rPr>
      </w:pPr>
    </w:p>
    <w:p>
      <w:pPr>
        <w:jc w:val="both"/>
        <w:ind w:firstLine="210"/>
        <w:spacing w:after="0" w:line="254" w:lineRule="auto"/>
        <w:rPr>
          <w:sz w:val="20"/>
          <w:szCs w:val="20"/>
          <w:color w:val="auto"/>
        </w:rPr>
      </w:pPr>
      <w:r>
        <w:rPr>
          <w:rFonts w:ascii="Arial" w:cs="Arial" w:eastAsia="Arial" w:hAnsi="Arial"/>
          <w:sz w:val="18"/>
          <w:szCs w:val="18"/>
          <w:color w:val="auto"/>
        </w:rPr>
        <w:t>ASHC’s policy is to provide funding to customers on the basis of approved lines of credit. ASHC’s Credit Committee meets weekly to discuss the entire credit risk inherent in the risk portfolio, composed by loans and trading securities, and to review facilities approved by the committee charged with overseeing extensions of credit by ASHC’s Panama branch. ASHC’s loan officers operate within established credit limits ranging from US$50,000 to US$500,000. Regardless of whether an approved facility exists for a client, any transaction in excess of US$500,000 requires the approval of senior management. In addition, all credit extensions are monitored by ASHC’s General Manager and reviewed and approved quarterly in their entirety by the Credit Committee of the Board of Directors of ASHC.</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(iv) Deposits</w:t>
      </w:r>
    </w:p>
    <w:p>
      <w:pPr>
        <w:spacing w:after="0" w:line="225" w:lineRule="exact"/>
        <w:rPr>
          <w:sz w:val="20"/>
          <w:szCs w:val="20"/>
          <w:color w:val="auto"/>
        </w:rPr>
      </w:pPr>
    </w:p>
    <w:p>
      <w:pPr>
        <w:jc w:val="both"/>
        <w:ind w:firstLine="253"/>
        <w:spacing w:after="0" w:line="268" w:lineRule="auto"/>
        <w:rPr>
          <w:sz w:val="20"/>
          <w:szCs w:val="20"/>
          <w:color w:val="auto"/>
        </w:rPr>
      </w:pPr>
      <w:r>
        <w:rPr>
          <w:rFonts w:ascii="Arial" w:cs="Arial" w:eastAsia="Arial" w:hAnsi="Arial"/>
          <w:sz w:val="18"/>
          <w:szCs w:val="18"/>
          <w:color w:val="auto"/>
        </w:rPr>
        <w:t>Credicorp’s deposit-taking operations are managed by BCP’s Consumer Banking and Personal Banking divisions and ASHC’s Private Banking division. See “—(12) Selected Statistical Information—(iv) Deposits.”</w:t>
      </w:r>
    </w:p>
    <w:p>
      <w:pPr>
        <w:spacing w:after="0" w:line="186" w:lineRule="exact"/>
        <w:rPr>
          <w:sz w:val="20"/>
          <w:szCs w:val="20"/>
          <w:color w:val="auto"/>
        </w:rPr>
      </w:pPr>
    </w:p>
    <w:p>
      <w:pPr>
        <w:jc w:val="both"/>
        <w:ind w:firstLine="284"/>
        <w:spacing w:after="0" w:line="289" w:lineRule="auto"/>
        <w:rPr>
          <w:sz w:val="20"/>
          <w:szCs w:val="20"/>
          <w:color w:val="auto"/>
        </w:rPr>
      </w:pPr>
      <w:r>
        <w:rPr>
          <w:rFonts w:ascii="Arial" w:cs="Arial" w:eastAsia="Arial" w:hAnsi="Arial"/>
          <w:sz w:val="16"/>
          <w:szCs w:val="16"/>
          <w:color w:val="auto"/>
        </w:rPr>
        <w:t>The main objective of BCP’s retail banking operations has historically been to develop a diversified and stable deposit base in order to provide a low cost source of funding. This deposit base has traditionally been one of BCP’s greatest strengths. At December 31, 2003, BCP’s deposits amounted to S/.18.5 billion (US$5.3 billion), 11.8% below the December 2002 balance. BCP has historically relied on the more traditional, low cost deposit sources such as demand deposits, savings and CTS deposits. At December 31, 2003, these core deposits represented 64.6% of BCP’s total deposits. BCP’s extensive branch network facilitates access to this type of stable and low cost source of funding. At the same time, market conditions led to continued excess liquid funds. Additionally, BCP’s corporate clients are an important source of funding for BCP. As of December 31, 2003, BCP’s Wholesale Banking division accounted for approximately 28.1% of total deposits, of which 35.9% were demand deposits, 55.8% time deposits, and 8.3% savings. Of all deposits from BCP’s Wholesale Banking division, most (76.4%) were foreign currency-denominated (almost entirely U.S. Dollars) and the balance (23.6%) were Nuevo Sol-denominated.</w:t>
      </w:r>
    </w:p>
    <w:p>
      <w:pPr>
        <w:spacing w:after="0" w:line="172" w:lineRule="exact"/>
        <w:rPr>
          <w:sz w:val="20"/>
          <w:szCs w:val="20"/>
          <w:color w:val="auto"/>
        </w:rPr>
      </w:pPr>
    </w:p>
    <w:p>
      <w:pPr>
        <w:jc w:val="both"/>
        <w:ind w:firstLine="266"/>
        <w:spacing w:after="0" w:line="256" w:lineRule="auto"/>
        <w:rPr>
          <w:sz w:val="20"/>
          <w:szCs w:val="20"/>
          <w:color w:val="auto"/>
        </w:rPr>
      </w:pPr>
      <w:r>
        <w:rPr>
          <w:rFonts w:ascii="Arial" w:cs="Arial" w:eastAsia="Arial" w:hAnsi="Arial"/>
          <w:sz w:val="18"/>
          <w:szCs w:val="18"/>
          <w:color w:val="auto"/>
        </w:rPr>
        <w:t>ASHC’s Private Banking division’s clients have traditionally provided a stable funding source for ASHC, as many are long-time clients who maintain their deposits with ASHC. As of December 31, 2003, ASHC had approximately 3,000 customers. Currently, about 95% of ASHC’s private banking clients are Peruvian. In the future, the Private Banking division intends to diversify its customer base geographically. During 2003, ASHC’s core deposit base increased to US$629.4 million from US$544.3 million as of December 31, 2002.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31" w:right="239" w:bottom="1440" w:gutter="0" w:footer="0" w:header="0"/>
        </w:sectPr>
      </w:pPr>
    </w:p>
    <w:bookmarkStart w:id="31" w:name="page32"/>
    <w:bookmarkEnd w:id="31"/>
    <w:p>
      <w:pPr>
        <w:jc w:val="both"/>
        <w:ind w:firstLine="229"/>
        <w:spacing w:after="0" w:line="290" w:lineRule="auto"/>
        <w:rPr>
          <w:sz w:val="20"/>
          <w:szCs w:val="20"/>
          <w:color w:val="auto"/>
        </w:rPr>
      </w:pPr>
      <w:r>
        <w:rPr>
          <w:rFonts w:ascii="Arial" w:cs="Arial" w:eastAsia="Arial" w:hAnsi="Arial"/>
          <w:sz w:val="16"/>
          <w:szCs w:val="16"/>
          <w:color w:val="auto"/>
        </w:rPr>
        <w:t>All Credicorp subsidiaries have programs in place to comply with the “know your customer” regulations in place in the countries in which they operate. Perú has long-standing laws criminalizing money laundering activities, and such laws were further strengthened in 1996 with the adoption of Law 26702, which incorporated the guidelines of the Organization of American States directly into Peruvian law. Under Law 26702, the SBS has the authority to request detailed reports with respect to the movement of funds and the identity of depositors. According to recently enacted regulations, financial institutions must adopt internal mechanisms, special personnel training programs and procedures to detect and report unusual or suspicious transactions as defined therein. In addition to the provisions under Peruvian law, BCP established an internal “know your customer” policy in 1995. As an additional precaution, ASHC will open accounts only for individuals or entities that are recommended by senior officers of ASHC or BCP. See “—(iii) Credit Policy and Review.”</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(4). Investment Banking</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Credicorp’s investment banking businesses include:</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trading and brokerage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treasury, foreign exchange and proprietary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asset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trust, custody and securitization services;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investments by PPS.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5" w:lineRule="exact"/>
        <w:rPr>
          <w:sz w:val="20"/>
          <w:szCs w:val="20"/>
          <w:color w:val="auto"/>
        </w:rPr>
      </w:pPr>
    </w:p>
    <w:p>
      <w:pPr>
        <w:jc w:val="both"/>
        <w:ind w:firstLine="267"/>
        <w:spacing w:after="0" w:line="294" w:lineRule="auto"/>
        <w:rPr>
          <w:sz w:val="20"/>
          <w:szCs w:val="20"/>
          <w:color w:val="auto"/>
        </w:rPr>
      </w:pPr>
      <w:r>
        <w:rPr>
          <w:rFonts w:ascii="Arial" w:cs="Arial" w:eastAsia="Arial" w:hAnsi="Arial"/>
          <w:sz w:val="16"/>
          <w:szCs w:val="16"/>
          <w:color w:val="auto"/>
        </w:rPr>
        <w:t>BCP has the largest capital markets/brokerage distribution system in Perú, offering such services through 14 of its branches, all of which are interconnected with its brokerage subsidiary and have access to current market information. Trading and brokerage services are relatively new in Perú; however, management estimates that, with the expected growth and restructuring of the Peruvian business sector, the market for these services will increase significantly. The majority of Credicorp’s trading and brokerage activities are conducted through BCP, ASHC and, since January 2003, through Credicorp Securities Inc. (“Credicorp Securities”), a wholly-owned subsidiary of Credicorp. Credicorp Securities is a U.S. registered broker-dealer with its offices in Miami.</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 Trading and Brokerage Services</w:t>
      </w:r>
    </w:p>
    <w:p>
      <w:pPr>
        <w:spacing w:after="0" w:line="225"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8"/>
          <w:szCs w:val="18"/>
          <w:color w:val="auto"/>
        </w:rPr>
        <w:t>The majority of Credicorp’s trading and brokerage activities are conducted primarily through BCP and, to a lesser extent, through ASHC and Credicorp Securities.</w:t>
      </w:r>
    </w:p>
    <w:p>
      <w:pPr>
        <w:spacing w:after="0" w:line="186" w:lineRule="exact"/>
        <w:rPr>
          <w:sz w:val="20"/>
          <w:szCs w:val="20"/>
          <w:color w:val="auto"/>
        </w:rPr>
      </w:pPr>
    </w:p>
    <w:p>
      <w:pPr>
        <w:jc w:val="both"/>
        <w:ind w:firstLine="316"/>
        <w:spacing w:after="0" w:line="255" w:lineRule="auto"/>
        <w:rPr>
          <w:sz w:val="20"/>
          <w:szCs w:val="20"/>
          <w:color w:val="auto"/>
        </w:rPr>
      </w:pPr>
      <w:r>
        <w:rPr>
          <w:rFonts w:ascii="Arial" w:cs="Arial" w:eastAsia="Arial" w:hAnsi="Arial"/>
          <w:sz w:val="18"/>
          <w:szCs w:val="18"/>
          <w:color w:val="auto"/>
        </w:rPr>
        <w:t>BCP’s subsidiary, Credibolsa Sociedad Agente de Bolsa S.A. (“Credibolsa”), is the leading brokerage house on the Lima Stock Exchange. During 2003, Credibolsa had a total trading volume of US$1.6 billion, increasing from US$1.4 billion in 2002. Credibolsa had 15% of the total trading volume in variable return instruments and 53% of the volume in trading of fixed income instruments on the Lima Stock Exchange in 2003, compared to 18% and 31% in 2002, respectively. Credibolsa’s trading volume was generated by domestic customers, both retail and institutional, and by foreign institutional clients as well as by Credicorp’s proprietary trading.</w:t>
      </w:r>
    </w:p>
    <w:p>
      <w:pPr>
        <w:spacing w:after="0" w:line="197" w:lineRule="exact"/>
        <w:rPr>
          <w:sz w:val="20"/>
          <w:szCs w:val="20"/>
          <w:color w:val="auto"/>
        </w:rPr>
      </w:pPr>
    </w:p>
    <w:p>
      <w:pPr>
        <w:jc w:val="both"/>
        <w:ind w:firstLine="287"/>
        <w:spacing w:after="0" w:line="332" w:lineRule="auto"/>
        <w:rPr>
          <w:sz w:val="20"/>
          <w:szCs w:val="20"/>
          <w:color w:val="auto"/>
        </w:rPr>
      </w:pPr>
      <w:r>
        <w:rPr>
          <w:rFonts w:ascii="Arial" w:cs="Arial" w:eastAsia="Arial" w:hAnsi="Arial"/>
          <w:sz w:val="16"/>
          <w:szCs w:val="16"/>
          <w:color w:val="auto"/>
        </w:rPr>
        <w:t>In an environment of low profitability and high competition over the past few years, Credibolsa has been able to increase its profitability by expanding its sources of revenue. In addition to providing basic brokerage services, Credibolsa serves as a local market advisor for specialized stock market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31" w:right="239" w:bottom="1440" w:gutter="0" w:footer="0" w:header="0"/>
        </w:sectPr>
      </w:pPr>
    </w:p>
    <w:bookmarkStart w:id="32" w:name="page33"/>
    <w:bookmarkEnd w:id="32"/>
    <w:p>
      <w:pPr>
        <w:jc w:val="both"/>
        <w:spacing w:after="0" w:line="259" w:lineRule="auto"/>
        <w:rPr>
          <w:sz w:val="20"/>
          <w:szCs w:val="20"/>
          <w:color w:val="auto"/>
        </w:rPr>
      </w:pPr>
      <w:r>
        <w:rPr>
          <w:rFonts w:ascii="Arial" w:cs="Arial" w:eastAsia="Arial" w:hAnsi="Arial"/>
          <w:sz w:val="18"/>
          <w:szCs w:val="18"/>
          <w:color w:val="auto"/>
        </w:rPr>
        <w:t>transactions and is one of the principal agents in the equity offerings of recently privatized companies in Perú. Credibolsa was second in the Commodities Market with 13.3% of the total and a traded volume of US$31.1 million in 2003 (US$27.3 million in 2002). See “—(3) Commercial Banking—(i) Wholesale Banking-- Corporate Finance.”</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(ii) Treasury, Foreign Exchange and Proprietary Trading</w:t>
      </w:r>
    </w:p>
    <w:p>
      <w:pPr>
        <w:spacing w:after="0" w:line="225" w:lineRule="exact"/>
        <w:rPr>
          <w:sz w:val="20"/>
          <w:szCs w:val="20"/>
          <w:color w:val="auto"/>
        </w:rPr>
      </w:pPr>
    </w:p>
    <w:p>
      <w:pPr>
        <w:jc w:val="both"/>
        <w:ind w:firstLine="310"/>
        <w:spacing w:after="0" w:line="254" w:lineRule="auto"/>
        <w:rPr>
          <w:sz w:val="20"/>
          <w:szCs w:val="20"/>
          <w:color w:val="auto"/>
        </w:rPr>
      </w:pPr>
      <w:r>
        <w:rPr>
          <w:rFonts w:ascii="Arial" w:cs="Arial" w:eastAsia="Arial" w:hAnsi="Arial"/>
          <w:sz w:val="18"/>
          <w:szCs w:val="18"/>
          <w:color w:val="auto"/>
        </w:rPr>
        <w:t>BCP’s treasury and foreign exchange groups are active participants in money market and foreign exchange trading. These groups manage BCP’s foreign exchange positions and reserves and are also involved in analyzing liquidity and other asset/liability matters. The trading desk plays an important role in short-term money markets in Nuevos Soles and in foreign currencies and has been active in the auctions of certificates of deposit by Perú’s Central Bank and in financings through certificates of deposit, interbank transactions and guaranteed negotiable notes, among other instruments. Its foreign exchange transaction volume was US$16.6 billion in 2003, increasing from US$14.9 billion in 2002, while its foreign exchange trading services market share was approximately 23% (24% in 2002).</w:t>
      </w:r>
    </w:p>
    <w:p>
      <w:pPr>
        <w:spacing w:after="0" w:line="198"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BCP’s proprietary trading consists of trading and short-term investments in securities, which are primarily Peruvian instruments. These short-term investments are primarily made to facilitate its corporate finance efforts. This has become an increasingly important part of BCP’s business, as BCP seeks returns on excess liquidity pending improved lending conditions.</w:t>
      </w:r>
    </w:p>
    <w:p>
      <w:pPr>
        <w:spacing w:after="0" w:line="194" w:lineRule="exact"/>
        <w:rPr>
          <w:sz w:val="20"/>
          <w:szCs w:val="20"/>
          <w:color w:val="auto"/>
        </w:rPr>
      </w:pPr>
    </w:p>
    <w:p>
      <w:pPr>
        <w:jc w:val="both"/>
        <w:ind w:firstLine="216"/>
        <w:spacing w:after="0" w:line="287" w:lineRule="auto"/>
        <w:rPr>
          <w:sz w:val="20"/>
          <w:szCs w:val="20"/>
          <w:color w:val="auto"/>
        </w:rPr>
      </w:pPr>
      <w:r>
        <w:rPr>
          <w:rFonts w:ascii="Arial" w:cs="Arial" w:eastAsia="Arial" w:hAnsi="Arial"/>
          <w:sz w:val="16"/>
          <w:szCs w:val="16"/>
          <w:color w:val="auto"/>
        </w:rPr>
        <w:t>ASHC trades on its own account primarily by making medium-term investments in fixed income securities, equity securities and sovereign debt. The portfolio includes investment grade and non-investment grade debt securities of U.S. public companies and, to a much lesser extent, private U.S. debt and equity issues. Such securities are subject to substantial volatility and there can be no assurance as to their future performance. As of December 31, 2003, ASHC had approximately US$307.0 million invested in these types of securities (US$299.6 million in 2002). ASHC generally utilizes its own funds for these activities rather than borrowings. ASHC also holds an equity investment in Credicorp and an affiliate with a fair value of approximately US$153.4 million at December 31, 2003 (US$97.7 million at December 31, 2002), increasing during 2003 due to the transfer of shares held by BCP. ASHC’s investment portfolio, as well as future purchases, sales, overall investment strategy and the general profile of the trading portfolio are reviewed on a monthly basis by an investment committee comprised of members of its senior management. The Board of Directors of ASHC reviews and approves exposure limits for countries with transfer risk on a quarterly basis. The credit risk by counterparty is evaluated on a consolidated basis, including direct and indirect risk, such as interbank placements, loans, commitments, guarantees received, and trading securities purchased in the secondary market.</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(iii) Asset Management</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Credicorp’s asset management business is carried out by BCP in Perú and to a lesser extent in Bolivia, Banco Tequendama and by ASHC.</w:t>
      </w:r>
    </w:p>
    <w:p>
      <w:pPr>
        <w:spacing w:after="0" w:line="225" w:lineRule="exact"/>
        <w:rPr>
          <w:sz w:val="20"/>
          <w:szCs w:val="20"/>
          <w:color w:val="auto"/>
        </w:rPr>
      </w:pPr>
    </w:p>
    <w:p>
      <w:pPr>
        <w:jc w:val="both"/>
        <w:ind w:firstLine="236"/>
        <w:spacing w:after="0" w:line="255" w:lineRule="auto"/>
        <w:rPr>
          <w:sz w:val="20"/>
          <w:szCs w:val="20"/>
          <w:color w:val="auto"/>
        </w:rPr>
      </w:pPr>
      <w:r>
        <w:rPr>
          <w:rFonts w:ascii="Arial" w:cs="Arial" w:eastAsia="Arial" w:hAnsi="Arial"/>
          <w:sz w:val="18"/>
          <w:szCs w:val="18"/>
          <w:color w:val="auto"/>
        </w:rPr>
        <w:t>In June 1994, BCP created Credifondo S.A., Sociedad Administradora de Fondos Mutuos de Inversión en Valores (“Credifondo”) to establish, provide advice to and operate mutual funds in Perú. In 2003 it continued to be the largest mutual fund manager in Perú with 50.3% of the market at year-end, as compared to 51.6% in 2002 (which included a 13.2% market share from BSCH-Perú’s fund administrator). At December 31, 2003, total Peruvian funds in the mutual funds system amounted to US$2.0 billion, increasing 34% from US$1.5 billion in 2002. Since 2001 volumes have grown substantially due in part to decreased interest paid on banking deposits.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31" w:right="239" w:bottom="1440" w:gutter="0" w:footer="0" w:header="0"/>
        </w:sectPr>
      </w:pPr>
    </w:p>
    <w:bookmarkStart w:id="33" w:name="page34"/>
    <w:bookmarkEnd w:id="33"/>
    <w:p>
      <w:pPr>
        <w:jc w:val="both"/>
        <w:ind w:firstLine="268"/>
        <w:spacing w:after="0" w:line="298" w:lineRule="auto"/>
        <w:rPr>
          <w:sz w:val="20"/>
          <w:szCs w:val="20"/>
          <w:color w:val="auto"/>
        </w:rPr>
      </w:pPr>
      <w:r>
        <w:rPr>
          <w:rFonts w:ascii="Arial" w:cs="Arial" w:eastAsia="Arial" w:hAnsi="Arial"/>
          <w:sz w:val="16"/>
          <w:szCs w:val="16"/>
          <w:color w:val="auto"/>
        </w:rPr>
        <w:t>As of December 31, 2003, Credifondo managed six separate funds, with a total of 36,867 participants, decreasing from twelve funds in the prior year after consolidating funds transferred from BSCH-Perú’s fund administrator. Among the securities in which the different funds specialize are: equities, U.S. Dollar-denominated bonds, Nuevo Sol-denominated bonds, U.S. Dollar-denominated short-term securities and U.S. Dollar-denominated real estate securities. As of December 31, 2003, the total amount of funds managed by Credifondo was US$1.0 billion, increasing from US$787.1 million at December 31, 2002.</w:t>
      </w:r>
    </w:p>
    <w:p>
      <w:pPr>
        <w:spacing w:after="0" w:line="167" w:lineRule="exact"/>
        <w:rPr>
          <w:sz w:val="20"/>
          <w:szCs w:val="20"/>
          <w:color w:val="auto"/>
        </w:rPr>
      </w:pPr>
    </w:p>
    <w:p>
      <w:pPr>
        <w:jc w:val="both"/>
        <w:ind w:firstLine="210"/>
        <w:spacing w:after="0" w:line="268" w:lineRule="auto"/>
        <w:rPr>
          <w:sz w:val="20"/>
          <w:szCs w:val="20"/>
          <w:color w:val="auto"/>
        </w:rPr>
      </w:pPr>
      <w:r>
        <w:rPr>
          <w:rFonts w:ascii="Arial" w:cs="Arial" w:eastAsia="Arial" w:hAnsi="Arial"/>
          <w:sz w:val="18"/>
          <w:szCs w:val="18"/>
          <w:color w:val="auto"/>
        </w:rPr>
        <w:t>As of December 31, 2003, the Bolivian fund administrator managed a total of US$25.1 million of third-party funds, and Banco Tequendama managed a total of US$25.5 million of third-party funds.</w:t>
      </w:r>
    </w:p>
    <w:p>
      <w:pPr>
        <w:spacing w:after="0" w:line="186" w:lineRule="exact"/>
        <w:rPr>
          <w:sz w:val="20"/>
          <w:szCs w:val="20"/>
          <w:color w:val="auto"/>
        </w:rPr>
      </w:pPr>
    </w:p>
    <w:p>
      <w:pPr>
        <w:jc w:val="both"/>
        <w:ind w:firstLine="255"/>
        <w:spacing w:after="0" w:line="294" w:lineRule="auto"/>
        <w:rPr>
          <w:sz w:val="20"/>
          <w:szCs w:val="20"/>
          <w:color w:val="auto"/>
        </w:rPr>
      </w:pPr>
      <w:r>
        <w:rPr>
          <w:rFonts w:ascii="Arial" w:cs="Arial" w:eastAsia="Arial" w:hAnsi="Arial"/>
          <w:sz w:val="16"/>
          <w:szCs w:val="16"/>
          <w:color w:val="auto"/>
        </w:rPr>
        <w:t>ASHC’s Asset Management group, created in 1989, conducts ASHC’s management of third-party funds which, including the aggregate of third-party assets, had total assets under management of US$664.1 million as of December 31, 2003, compared to US$545.3 million as of December 31, 2002. This increase was principally due to the decline of interest rates paid on banking deposits, which led clients to transfer their funds from deposits to investment products, and the introduction of new products, including outsourced mutual funds managed by specialized fund administrators. Investment decisions for funds, except for outsourced funds, are made by senior officers within ASHC, in accordance with guidelines of the Investment Committee.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(iv) Trust, Custody and Securitization Services</w:t>
      </w:r>
    </w:p>
    <w:p>
      <w:pPr>
        <w:spacing w:after="0" w:line="225" w:lineRule="exact"/>
        <w:rPr>
          <w:sz w:val="20"/>
          <w:szCs w:val="20"/>
          <w:color w:val="auto"/>
        </w:rPr>
      </w:pPr>
    </w:p>
    <w:p>
      <w:pPr>
        <w:jc w:val="both"/>
        <w:ind w:firstLine="248"/>
        <w:spacing w:after="0" w:line="288" w:lineRule="auto"/>
        <w:rPr>
          <w:sz w:val="20"/>
          <w:szCs w:val="20"/>
          <w:color w:val="auto"/>
        </w:rPr>
      </w:pPr>
      <w:r>
        <w:rPr>
          <w:rFonts w:ascii="Arial" w:cs="Arial" w:eastAsia="Arial" w:hAnsi="Arial"/>
          <w:sz w:val="16"/>
          <w:szCs w:val="16"/>
          <w:color w:val="auto"/>
        </w:rPr>
        <w:t>BCP’s Trust and Custody unit holds US$6.6 billion in securities for over 98,000 domestic and foreign clients. Custody services provided by BCP include the physical keeping of securities and the payment of dividends and interest. In addition, BCP acts as paying agent for securities of which it does not keep custody. BCP is one of the few banks in Perú qualified to serve as a foreign custodian for U.S. mutual funds. Trust services include escrow, administration and representation services, supervision of transactions done for its clients and transfer settlement and payment services for local securities issues, allowing clients to be adequately represented in their activities in the local and international securities markets. During 2000, BCP formed La Fiduciaria S.A. (“Fiduciaria”), the first specialized trust services company in Perú, in which Credicorp holds a 45% interest. In its third year of existence, Fiduciaria manages trusts for a majority of institutions in the national financial system, putting itself at the forefront of fiduciary services in the country. Operations encompassed sectors including energy, communications, mining, tourism, fishing, education and construction. Fiduciaria ended 2003 with 70 outstanding operations (43 in 2002) and a book value of managed equity of more than US$1.8 billion (US$230 million in 2002).</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(v) Investments by PPS</w:t>
      </w:r>
    </w:p>
    <w:p>
      <w:pPr>
        <w:spacing w:after="0" w:line="225" w:lineRule="exact"/>
        <w:rPr>
          <w:sz w:val="20"/>
          <w:szCs w:val="20"/>
          <w:color w:val="auto"/>
        </w:rPr>
      </w:pPr>
    </w:p>
    <w:p>
      <w:pPr>
        <w:jc w:val="both"/>
        <w:ind w:firstLine="276"/>
        <w:spacing w:after="0" w:line="253" w:lineRule="auto"/>
        <w:rPr>
          <w:sz w:val="20"/>
          <w:szCs w:val="20"/>
          <w:color w:val="auto"/>
        </w:rPr>
      </w:pPr>
      <w:r>
        <w:rPr>
          <w:rFonts w:ascii="Arial" w:cs="Arial" w:eastAsia="Arial" w:hAnsi="Arial"/>
          <w:sz w:val="18"/>
          <w:szCs w:val="18"/>
          <w:color w:val="auto"/>
        </w:rPr>
        <w:t>PPS’s investments are made primarily to meet its solvency equity ratio and to provide reserves for claims. PPS manages its investments under two distinct portfolios. The first portfolio is designed to match the liabilities of property, automobile and health lines, and the second portfolio is designed to match the liabilities of life and annuities lines. Each portfolio is managed under the authority of its own committee, which reviews portfolio strategy on a monthly basis. PPS invests in foreign markets, emphasizing investments in U.S. and European sovereign debt. PPS has adopted strict policies related to investment decisions. PPS’s investment strategies and portfolio generally are reviewed and approved monthly by its Board of Directors. Senior management does have investment authority, however, with respect to temporary investments using cash surpluses. For a discussion of PPS’s investment activities, see “—(5) Insurance— (iii) Investment Portfolio.”</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31" w:right="239" w:bottom="1440" w:gutter="0" w:footer="0" w:header="0"/>
        </w:sectPr>
      </w:pPr>
    </w:p>
    <w:bookmarkStart w:id="34" w:name="page35"/>
    <w:bookmarkEnd w:id="34"/>
    <w:p>
      <w:pPr>
        <w:ind w:left="220"/>
        <w:spacing w:after="0"/>
        <w:rPr>
          <w:sz w:val="20"/>
          <w:szCs w:val="20"/>
          <w:color w:val="auto"/>
        </w:rPr>
      </w:pPr>
      <w:r>
        <w:rPr>
          <w:rFonts w:ascii="Arial" w:cs="Arial" w:eastAsia="Arial" w:hAnsi="Arial"/>
          <w:sz w:val="18"/>
          <w:szCs w:val="18"/>
          <w:b w:val="1"/>
          <w:bCs w:val="1"/>
          <w:color w:val="auto"/>
        </w:rPr>
        <w:t>(5) Insurance</w:t>
      </w:r>
    </w:p>
    <w:p>
      <w:pPr>
        <w:spacing w:after="0" w:line="231" w:lineRule="exact"/>
        <w:rPr>
          <w:sz w:val="20"/>
          <w:szCs w:val="20"/>
          <w:color w:val="auto"/>
        </w:rPr>
      </w:pPr>
    </w:p>
    <w:p>
      <w:pPr>
        <w:jc w:val="both"/>
        <w:ind w:firstLine="267"/>
        <w:spacing w:after="0" w:line="298" w:lineRule="auto"/>
        <w:rPr>
          <w:sz w:val="20"/>
          <w:szCs w:val="20"/>
          <w:color w:val="auto"/>
        </w:rPr>
      </w:pPr>
      <w:r>
        <w:rPr>
          <w:rFonts w:ascii="Arial" w:cs="Arial" w:eastAsia="Arial" w:hAnsi="Arial"/>
          <w:sz w:val="16"/>
          <w:szCs w:val="16"/>
          <w:color w:val="auto"/>
        </w:rPr>
        <w:t>Credicorp conducts its insurance operations exclusively through PPS, which provides a broad range of insurance products. In 2003, the six most significant lines together constituted 80.8% of total premiums written by PPS. These are commercial property damage (including fire, earthquake and related coverage but not personal injury, tort or other liability risk), automobile, health, life and pension fund underwriting and life annuities. PPS is the leading Peruvian insurance company, with a market share of 29.9% based on gross insurance premiums and 29.5% based on net premiums earned in 2003.</w:t>
      </w:r>
    </w:p>
    <w:p>
      <w:pPr>
        <w:spacing w:after="0" w:line="167" w:lineRule="exact"/>
        <w:rPr>
          <w:sz w:val="20"/>
          <w:szCs w:val="20"/>
          <w:color w:val="auto"/>
        </w:rPr>
      </w:pPr>
    </w:p>
    <w:p>
      <w:pPr>
        <w:jc w:val="both"/>
        <w:ind w:firstLine="231"/>
        <w:spacing w:after="0" w:line="268" w:lineRule="auto"/>
        <w:rPr>
          <w:sz w:val="20"/>
          <w:szCs w:val="20"/>
          <w:color w:val="auto"/>
        </w:rPr>
      </w:pPr>
      <w:r>
        <w:rPr>
          <w:rFonts w:ascii="Arial" w:cs="Arial" w:eastAsia="Arial" w:hAnsi="Arial"/>
          <w:sz w:val="18"/>
          <w:szCs w:val="18"/>
          <w:color w:val="auto"/>
        </w:rPr>
        <w:t>PPS’s consolidated net income in 2003 was S/.38.4 million (US$11.1 million), an increase of 6.1% from S/.36.2 million (US$10.5 million) in 2002. Operating expenses during 2003 were 16.5% of net premiums written, lower than 18.2% in 2002 and 18.4% in 2001.</w:t>
      </w:r>
    </w:p>
    <w:p>
      <w:pPr>
        <w:spacing w:after="0" w:line="186" w:lineRule="exact"/>
        <w:rPr>
          <w:sz w:val="20"/>
          <w:szCs w:val="20"/>
          <w:color w:val="auto"/>
        </w:rPr>
      </w:pPr>
    </w:p>
    <w:p>
      <w:pPr>
        <w:jc w:val="both"/>
        <w:ind w:firstLine="355"/>
        <w:spacing w:after="0" w:line="255" w:lineRule="auto"/>
        <w:rPr>
          <w:sz w:val="20"/>
          <w:szCs w:val="20"/>
          <w:color w:val="auto"/>
        </w:rPr>
      </w:pPr>
      <w:r>
        <w:rPr>
          <w:rFonts w:ascii="Arial" w:cs="Arial" w:eastAsia="Arial" w:hAnsi="Arial"/>
          <w:sz w:val="18"/>
          <w:szCs w:val="18"/>
          <w:color w:val="auto"/>
        </w:rPr>
        <w:t>PPS’s net underwriting results decreased 9.8% to S/.66.5 million (US$19.2 million) in 2003 mainly due to higher technical reserves. The ratio of net underwriting results to net premiums decreased from 8.4% during 2002 to 6.6% in 2003, also mainly due to the higher technical reserves. Total premiums increased 14.3% to S/.1,001.7 million (US$289.2 million) during 2003 from S/.876.2 million (US$253.0 million) in 2002. Net premiums earned, net of reinsured premiums and of technical reserves (as defined below in “—(ii) Claims and Reserves”), were S/.482.7 million (US$139.4 million) in 2003, decreasing 2.0% as compared to the previous year.</w:t>
      </w:r>
    </w:p>
    <w:p>
      <w:pPr>
        <w:spacing w:after="0" w:line="197" w:lineRule="exact"/>
        <w:rPr>
          <w:sz w:val="20"/>
          <w:szCs w:val="20"/>
          <w:color w:val="auto"/>
        </w:rPr>
      </w:pPr>
    </w:p>
    <w:p>
      <w:pPr>
        <w:jc w:val="both"/>
        <w:ind w:firstLine="235"/>
        <w:spacing w:after="0" w:line="289" w:lineRule="auto"/>
        <w:rPr>
          <w:sz w:val="20"/>
          <w:szCs w:val="20"/>
          <w:color w:val="auto"/>
        </w:rPr>
      </w:pPr>
      <w:r>
        <w:rPr>
          <w:rFonts w:ascii="Arial" w:cs="Arial" w:eastAsia="Arial" w:hAnsi="Arial"/>
          <w:sz w:val="16"/>
          <w:szCs w:val="16"/>
          <w:color w:val="auto"/>
        </w:rPr>
        <w:t>PPS’s business is highly concentrated: its client base consists of over 16,000 companies and over 87,000 individuals, not including those affiliated with group health insurance programs through the companies by which they are employed. PPS’s property lines are distributed through agents and brokers, while life insurance is sold by PPS’s own sales force. Revenues from policies written for the three largest and twenty largest customers represented 12.8% and 27.3% of total premiums, respectively, as of December 31, 2003, and 15.0% and 30.7%, respectively, as of December 31, 2002. The ten largest brokers accounted for approximately 25.1% of total premiums as of December 31, 2003. This concentration is attributable primarily to the relatively low premium levels of its personal insurance products compared to that of the commercial property line (where PPS traditionally has ceded to reinsurers substantially all premiums written). Accordingly, although PPS cedes to reinsurers a substantial portion of its commercial property-casualty premiums, significant losses by one or more major customers could result in significant claims for PPS.</w:t>
      </w:r>
    </w:p>
    <w:p>
      <w:pPr>
        <w:spacing w:after="0" w:line="172" w:lineRule="exact"/>
        <w:rPr>
          <w:sz w:val="20"/>
          <w:szCs w:val="20"/>
          <w:color w:val="auto"/>
        </w:rPr>
      </w:pPr>
    </w:p>
    <w:p>
      <w:pPr>
        <w:jc w:val="both"/>
        <w:ind w:firstLine="314"/>
        <w:spacing w:after="0" w:line="290" w:lineRule="auto"/>
        <w:rPr>
          <w:sz w:val="20"/>
          <w:szCs w:val="20"/>
          <w:color w:val="auto"/>
        </w:rPr>
      </w:pPr>
      <w:r>
        <w:rPr>
          <w:rFonts w:ascii="Arial" w:cs="Arial" w:eastAsia="Arial" w:hAnsi="Arial"/>
          <w:sz w:val="16"/>
          <w:szCs w:val="16"/>
          <w:color w:val="auto"/>
        </w:rPr>
        <w:t>El Pacífico Vida (“Pacífico Vida”), PPS’s life insurance subsidiary since 1997, is 38%-owned by a subsidiary of American International Group (“AIG”). Pacífico Vida had total premiums of S/.342.9 million (US$99.0 million) in 2003, 42.3% over premiums in 2002, which in turn increased 7.5% over 2001. Growth in 2003 was primarily driven by a 136.6% increase in premiums in the life annuity business line in such year to S/.155.2 million (US$44.8 million), which represented a 25.2% market share. PPS expects to increase its life insurance sales in Perú in the next few years and believes that AIG’s participation in Pacífico Vida will provide the company with an advantage in competing for market share, which stood at 31.3% of the individual life and at 30.4% of the legal life segments in 2003, compared to 30.9% and 26.5% in 2002, respectively. The individual life insurance and the life annuities markets are expected to have the highest growth rates. Credicorp, through BCP’s branch network, during 2003 sold 21,000 term life insurance policies covering accident and natural causes.</w:t>
      </w:r>
    </w:p>
    <w:p>
      <w:pPr>
        <w:spacing w:after="0" w:line="172" w:lineRule="exact"/>
        <w:rPr>
          <w:sz w:val="20"/>
          <w:szCs w:val="20"/>
          <w:color w:val="auto"/>
        </w:rPr>
      </w:pPr>
    </w:p>
    <w:p>
      <w:pPr>
        <w:jc w:val="both"/>
        <w:ind w:firstLine="242"/>
        <w:spacing w:after="0" w:line="259" w:lineRule="auto"/>
        <w:rPr>
          <w:sz w:val="20"/>
          <w:szCs w:val="20"/>
          <w:color w:val="auto"/>
        </w:rPr>
      </w:pPr>
      <w:r>
        <w:rPr>
          <w:rFonts w:ascii="Arial" w:cs="Arial" w:eastAsia="Arial" w:hAnsi="Arial"/>
          <w:sz w:val="18"/>
          <w:szCs w:val="18"/>
          <w:color w:val="auto"/>
        </w:rPr>
        <w:t>In 1999, PPS formed a new subsidiary called Pacífico S.A. Entidad Prestadora de Salud (“Pacífico Salud”), becoming one of only three private health service providers that offer an alternative to public social security. Pacífico Salud had total revenue of US$23.9 million in 2003 and US$24.8 million in 2002, with net income of US$0.7 million in 2003 and of US$1.4 million in 2002. In March 2004, PPS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5" w:name="page36"/>
    <w:bookmarkEnd w:id="35"/>
    <w:p>
      <w:pPr>
        <w:jc w:val="both"/>
        <w:spacing w:after="0" w:line="268" w:lineRule="auto"/>
        <w:rPr>
          <w:sz w:val="20"/>
          <w:szCs w:val="20"/>
          <w:color w:val="auto"/>
        </w:rPr>
      </w:pPr>
      <w:r>
        <w:rPr>
          <w:rFonts w:ascii="Arial" w:cs="Arial" w:eastAsia="Arial" w:hAnsi="Arial"/>
          <w:sz w:val="18"/>
          <w:szCs w:val="18"/>
          <w:color w:val="auto"/>
        </w:rPr>
        <w:t>acquired Novasalud EPS, for US$6.5 million, which is expected to merge with Pacífico Salud in the second quarter of 2004. During fiscal year 2003 Novasalud EPS reported total fees of US$36.6 million.</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 Underwriting, Clients and Reinsurance</w:t>
      </w:r>
    </w:p>
    <w:p>
      <w:pPr>
        <w:spacing w:after="0" w:line="225" w:lineRule="exact"/>
        <w:rPr>
          <w:sz w:val="20"/>
          <w:szCs w:val="20"/>
          <w:color w:val="auto"/>
        </w:rPr>
      </w:pPr>
    </w:p>
    <w:p>
      <w:pPr>
        <w:jc w:val="both"/>
        <w:ind w:firstLine="253"/>
        <w:spacing w:after="0" w:line="259" w:lineRule="auto"/>
        <w:rPr>
          <w:sz w:val="20"/>
          <w:szCs w:val="20"/>
          <w:color w:val="auto"/>
        </w:rPr>
      </w:pPr>
      <w:r>
        <w:rPr>
          <w:rFonts w:ascii="Arial" w:cs="Arial" w:eastAsia="Arial" w:hAnsi="Arial"/>
          <w:sz w:val="18"/>
          <w:szCs w:val="18"/>
          <w:color w:val="auto"/>
        </w:rPr>
        <w:t>Underwriting decisions for substantially all of PPS’s insurance risks are made through its central underwriting office, although certain smaller local risks are underwritten at PPS’s two regional offices. PPS’s own underwriting staff inspects all larger commercial properties prior to the underwriting of commercial property or other risks related thereto with agents and brokers inspecting properties for smaller risks.</w:t>
      </w:r>
    </w:p>
    <w:p>
      <w:pPr>
        <w:spacing w:after="0" w:line="194" w:lineRule="exact"/>
        <w:rPr>
          <w:sz w:val="20"/>
          <w:szCs w:val="20"/>
          <w:color w:val="auto"/>
        </w:rPr>
      </w:pPr>
    </w:p>
    <w:p>
      <w:pPr>
        <w:jc w:val="both"/>
        <w:ind w:firstLine="229"/>
        <w:spacing w:after="0" w:line="254" w:lineRule="auto"/>
        <w:rPr>
          <w:sz w:val="20"/>
          <w:szCs w:val="20"/>
          <w:color w:val="auto"/>
        </w:rPr>
      </w:pPr>
      <w:r>
        <w:rPr>
          <w:rFonts w:ascii="Arial" w:cs="Arial" w:eastAsia="Arial" w:hAnsi="Arial"/>
          <w:sz w:val="18"/>
          <w:szCs w:val="18"/>
          <w:color w:val="auto"/>
        </w:rPr>
        <w:t>PPS utilizes reinsurance to limit its maximum aggregate losses and minimize exposure on large risks. Reinsurance is placed with reinsurance companies based on evaluation of the financial security of the reinsurer, terms of coverage and price. PPS’s principal reinsurers in 2003 were Lloyd’s, New Hampshire (an AIG company), Munchener Ruck, Swiss Re, Everest Re, Converium AG, QBE Re, and Hannover AG. Premiums ceded to reinsurers represented 24.8%, 26.2% and 25.0% of premiums written in 2001, 2002 and 2003, respectively. PPS acts as a reinsurer on a very limited basis, providing its excess reinsurance capacity to other Peruvian insurers who are unable to satisfy their reinsurance requirements. As of December 31, 2003, premiums for reinsurance written by PPS totaled S/.12.9 million (US$3.7 million).</w:t>
      </w:r>
    </w:p>
    <w:p>
      <w:pPr>
        <w:spacing w:after="0" w:line="198" w:lineRule="exact"/>
        <w:rPr>
          <w:sz w:val="20"/>
          <w:szCs w:val="20"/>
          <w:color w:val="auto"/>
        </w:rPr>
      </w:pPr>
    </w:p>
    <w:p>
      <w:pPr>
        <w:jc w:val="both"/>
        <w:ind w:right="20" w:firstLine="229"/>
        <w:spacing w:after="0" w:line="332" w:lineRule="auto"/>
        <w:rPr>
          <w:sz w:val="20"/>
          <w:szCs w:val="20"/>
          <w:color w:val="auto"/>
        </w:rPr>
      </w:pPr>
      <w:r>
        <w:rPr>
          <w:rFonts w:ascii="Arial" w:cs="Arial" w:eastAsia="Arial" w:hAnsi="Arial"/>
          <w:sz w:val="16"/>
          <w:szCs w:val="16"/>
          <w:color w:val="auto"/>
        </w:rPr>
        <w:t>Although PPS historically has obtained reinsurance for a substantial portion of its earthquake-related risks and maintains catastrophe reserves, there can be no assurance that a major catastrophe would not have a material adverse impact on its results of operations or financial condition.</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(ii) Claims and Reserves</w:t>
      </w:r>
    </w:p>
    <w:p>
      <w:pPr>
        <w:spacing w:after="0" w:line="225" w:lineRule="exact"/>
        <w:rPr>
          <w:sz w:val="20"/>
          <w:szCs w:val="20"/>
          <w:color w:val="auto"/>
        </w:rPr>
      </w:pPr>
    </w:p>
    <w:p>
      <w:pPr>
        <w:jc w:val="both"/>
        <w:ind w:firstLine="234"/>
        <w:spacing w:after="0" w:line="254" w:lineRule="auto"/>
        <w:rPr>
          <w:sz w:val="20"/>
          <w:szCs w:val="20"/>
          <w:color w:val="auto"/>
        </w:rPr>
      </w:pPr>
      <w:r>
        <w:rPr>
          <w:rFonts w:ascii="Arial" w:cs="Arial" w:eastAsia="Arial" w:hAnsi="Arial"/>
          <w:sz w:val="18"/>
          <w:szCs w:val="18"/>
          <w:color w:val="auto"/>
        </w:rPr>
        <w:t>Net claims paid as a percent of net premiums written (i.e., the net loss ratio) decreased to 48.7% in 2003 from 58.6% in 2002 and 63.9% in 2001. The net loss ratio from the health and medical assistance insurance line, which represented 18.0% and 21.8% of total premiums in 2003 and 2002, respectively, decreased to 83.5% from 85.2% in 2002. Automobile risks, 5.6% of PPS’s premiums in 2003 (7.1% in 2002), increased to 60.7% in 2003 from 59.5% in 2002. The property casualty line, 23.5% of total premiums in 2003 (22.6% in 2002), decreased to 13.4% from 15.9% in 2002. Marine hull insurance claims, 3.1% of premiums, increased to 71.1% from 60.3% in 2002. The net loss ratio from private pension fund insurance, 7.7% of total premiums in 2003 (9.2% in 2002), decreased from 110.4% in 2002 to 109.8% in 2003.</w:t>
      </w:r>
    </w:p>
    <w:p>
      <w:pPr>
        <w:spacing w:after="0" w:line="198"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8"/>
          <w:szCs w:val="18"/>
          <w:color w:val="auto"/>
        </w:rPr>
        <w:t>PPS is required to establish claims reserves in respect of pending claims in its property-casualty business, reserves for future benefit obligations under its in-force life and accident insurance policies, and unearned premium reserves in respect of that portion of premiums written that is allocable to the unexpired portion of the related policy periods (collectively, “Technical Reserves”).</w:t>
      </w:r>
    </w:p>
    <w:p>
      <w:pPr>
        <w:spacing w:after="0" w:line="194" w:lineRule="exact"/>
        <w:rPr>
          <w:sz w:val="20"/>
          <w:szCs w:val="20"/>
          <w:color w:val="auto"/>
        </w:rPr>
      </w:pPr>
    </w:p>
    <w:p>
      <w:pPr>
        <w:jc w:val="both"/>
        <w:ind w:firstLine="231"/>
        <w:spacing w:after="0" w:line="298" w:lineRule="auto"/>
        <w:rPr>
          <w:sz w:val="20"/>
          <w:szCs w:val="20"/>
          <w:color w:val="auto"/>
        </w:rPr>
      </w:pPr>
      <w:r>
        <w:rPr>
          <w:rFonts w:ascii="Arial" w:cs="Arial" w:eastAsia="Arial" w:hAnsi="Arial"/>
          <w:sz w:val="16"/>
          <w:szCs w:val="16"/>
          <w:color w:val="auto"/>
        </w:rPr>
        <w:t>PPS establishes claims reserves with respect to claims that have been reported and for which loss amounts have been estimated. Such reserves are reflected as liabilities in PPS’s financial statements, net of any related reinsurance recoverables. Reserves for incurred but not reported (“IBNR”) claims are estimated and provisioned, net of reinsurances and possible recoveries, considering actual amounts in the last seven years. Pursuant to internal policies, however, PPS sets aside approximately 35% of its monthly health insurance premiums as IBNR reserves.</w:t>
      </w:r>
    </w:p>
    <w:p>
      <w:pPr>
        <w:spacing w:after="0" w:line="167" w:lineRule="exact"/>
        <w:rPr>
          <w:sz w:val="20"/>
          <w:szCs w:val="20"/>
          <w:color w:val="auto"/>
        </w:rPr>
      </w:pPr>
    </w:p>
    <w:p>
      <w:pPr>
        <w:jc w:val="both"/>
        <w:ind w:firstLine="295"/>
        <w:spacing w:after="0" w:line="268" w:lineRule="auto"/>
        <w:rPr>
          <w:sz w:val="20"/>
          <w:szCs w:val="20"/>
          <w:color w:val="auto"/>
        </w:rPr>
      </w:pPr>
      <w:r>
        <w:rPr>
          <w:rFonts w:ascii="Arial" w:cs="Arial" w:eastAsia="Arial" w:hAnsi="Arial"/>
          <w:sz w:val="18"/>
          <w:szCs w:val="18"/>
          <w:color w:val="auto"/>
        </w:rPr>
        <w:t>Pursuant to SBS regulations, PPS establishes pre-event reserves for catastrophic risks with respect to earthquake coverage, including since 2003 unearned premiums, in the commercial property,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31" w:right="239" w:bottom="1440" w:gutter="0" w:footer="0" w:header="0"/>
        </w:sectPr>
      </w:pPr>
    </w:p>
    <w:bookmarkStart w:id="36" w:name="page37"/>
    <w:bookmarkEnd w:id="36"/>
    <w:p>
      <w:pPr>
        <w:jc w:val="both"/>
        <w:spacing w:after="0" w:line="268" w:lineRule="auto"/>
        <w:rPr>
          <w:sz w:val="20"/>
          <w:szCs w:val="20"/>
          <w:color w:val="auto"/>
        </w:rPr>
      </w:pPr>
      <w:r>
        <w:rPr>
          <w:rFonts w:ascii="Arial" w:cs="Arial" w:eastAsia="Arial" w:hAnsi="Arial"/>
          <w:sz w:val="18"/>
          <w:szCs w:val="18"/>
          <w:color w:val="auto"/>
        </w:rPr>
        <w:t>business interruption, and engineering lines. According to IFRS principles, income charges for catastrophic reserves are reversed for Credicorp’s financial statements.</w:t>
      </w:r>
    </w:p>
    <w:p>
      <w:pPr>
        <w:spacing w:after="0" w:line="186" w:lineRule="exact"/>
        <w:rPr>
          <w:sz w:val="20"/>
          <w:szCs w:val="20"/>
          <w:color w:val="auto"/>
        </w:rPr>
      </w:pPr>
    </w:p>
    <w:p>
      <w:pPr>
        <w:jc w:val="both"/>
        <w:ind w:firstLine="231"/>
        <w:spacing w:after="0" w:line="256" w:lineRule="auto"/>
        <w:rPr>
          <w:sz w:val="20"/>
          <w:szCs w:val="20"/>
          <w:color w:val="auto"/>
        </w:rPr>
      </w:pPr>
      <w:r>
        <w:rPr>
          <w:rFonts w:ascii="Arial" w:cs="Arial" w:eastAsia="Arial" w:hAnsi="Arial"/>
          <w:sz w:val="18"/>
          <w:szCs w:val="18"/>
          <w:color w:val="auto"/>
        </w:rPr>
        <w:t>PPS records as liabilities in its financial statements actuarially determined reserves calculated to meet its obligations under its life and accident policies and its pension fund underwriting business. These reserves are determined using mortality tables, morbidity assumptions, interest rates and methods of calculation in accordance with international practice. PPS also establishes unearned premium reserves to cover the risks, in future periods, of policy lapse or termination prior to the end of the policy period.</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There can be no assurance that ultimate claims will not exceed PPS’s reserves.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(iii) Investment Portfolio</w:t>
      </w:r>
    </w:p>
    <w:p>
      <w:pPr>
        <w:spacing w:after="0" w:line="225" w:lineRule="exact"/>
        <w:rPr>
          <w:sz w:val="20"/>
          <w:szCs w:val="20"/>
          <w:color w:val="auto"/>
        </w:rPr>
      </w:pPr>
    </w:p>
    <w:p>
      <w:pPr>
        <w:jc w:val="both"/>
        <w:ind w:firstLine="279"/>
        <w:spacing w:after="0" w:line="268" w:lineRule="auto"/>
        <w:rPr>
          <w:sz w:val="20"/>
          <w:szCs w:val="20"/>
          <w:color w:val="auto"/>
        </w:rPr>
      </w:pPr>
      <w:r>
        <w:rPr>
          <w:rFonts w:ascii="Arial" w:cs="Arial" w:eastAsia="Arial" w:hAnsi="Arial"/>
          <w:sz w:val="18"/>
          <w:szCs w:val="18"/>
          <w:color w:val="auto"/>
        </w:rPr>
        <w:t>PPS’s net investment income and realized capital gains on invested assets together accounted for 13.9% and 13.6% of PPS’s revenues for the years ending December 31, 2003 and 2002, respectively.</w:t>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As of December 31, 2003, the book value of PPS’s trading securities was S/.75.8 million (US$21.9 million) while the investment portfolio, after the sale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Backus and including Credicorp as discussed below, was S/.1,213.9 million (US$350.5 million), which included:</w:t>
      </w:r>
    </w:p>
    <w:p>
      <w:pPr>
        <w:spacing w:after="0" w:line="24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S/.1,193.9 million (US$344.8 million) invested primarily in bonds and net of S/.40.5 million (US$11.7 million) of provisions for lower market value;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-80645</wp:posOffset>
            </wp:positionV>
            <wp:extent cx="68580" cy="685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5"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S/.27.5 million (US$7.9 million) invested in real estate and other assets, net of S/.32.2 million (US$9.3 million) in depreciation charges and provisions for lower market value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-257175</wp:posOffset>
            </wp:positionV>
            <wp:extent cx="68580" cy="685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6" w:lineRule="exact"/>
        <w:rPr>
          <w:sz w:val="20"/>
          <w:szCs w:val="20"/>
          <w:color w:val="auto"/>
        </w:rPr>
      </w:pPr>
    </w:p>
    <w:p>
      <w:pPr>
        <w:jc w:val="both"/>
        <w:ind w:firstLine="277"/>
        <w:spacing w:after="0" w:line="259" w:lineRule="auto"/>
        <w:rPr>
          <w:sz w:val="20"/>
          <w:szCs w:val="20"/>
          <w:color w:val="auto"/>
        </w:rPr>
      </w:pPr>
      <w:r>
        <w:rPr>
          <w:rFonts w:ascii="Arial" w:cs="Arial" w:eastAsia="Arial" w:hAnsi="Arial"/>
          <w:sz w:val="18"/>
          <w:szCs w:val="18"/>
          <w:color w:val="auto"/>
        </w:rPr>
        <w:t>As of December 31, 2003, the market value of the listed equity securities portfolio was S/.116.2 million (US$33.5 million), which includes Credicorp Ltd. shares for S/.89.1 million (US$25.7 million), compared to S/.133.3 million (US$39.2 million) in December 2002. See “—(12) Selected Statistical Information— (iii) Loan Portfolio—Concentrations of Loan Portfolio and Lending Limits.”</w:t>
      </w:r>
    </w:p>
    <w:p>
      <w:pPr>
        <w:spacing w:after="0" w:line="194" w:lineRule="exact"/>
        <w:rPr>
          <w:sz w:val="20"/>
          <w:szCs w:val="20"/>
          <w:color w:val="auto"/>
        </w:rPr>
      </w:pPr>
    </w:p>
    <w:p>
      <w:pPr>
        <w:jc w:val="both"/>
        <w:ind w:firstLine="229"/>
        <w:spacing w:after="0" w:line="294" w:lineRule="auto"/>
        <w:rPr>
          <w:sz w:val="20"/>
          <w:szCs w:val="20"/>
          <w:color w:val="auto"/>
        </w:rPr>
      </w:pPr>
      <w:r>
        <w:rPr>
          <w:rFonts w:ascii="Arial" w:cs="Arial" w:eastAsia="Arial" w:hAnsi="Arial"/>
          <w:sz w:val="16"/>
          <w:szCs w:val="16"/>
          <w:color w:val="auto"/>
        </w:rPr>
        <w:t>PPS’s investment portfolio, before the sale of Backus in 2001, was highly concentrated in equity securities which, combined with limited investments in fixed income securities, made both the value and the income of the investment portfolio vulnerable to extreme volatility. With part of the proceeds from the Backus sale, additional investments have been primarily made in fixed income securities. Because the investments in specific securities are large, there can be no assurance that PPS could readily dispose of significant portions of its securities portfolio at market values. Accordingly, there are risks associated with the potential illiquidity of PPS’s securities holdings in the event that significant claims give rise to the need to liquidate rapidly a portion of such holdings.</w:t>
      </w:r>
    </w:p>
    <w:p>
      <w:pPr>
        <w:spacing w:after="0" w:line="170" w:lineRule="exact"/>
        <w:rPr>
          <w:sz w:val="20"/>
          <w:szCs w:val="20"/>
          <w:color w:val="auto"/>
        </w:rPr>
      </w:pPr>
    </w:p>
    <w:p>
      <w:pPr>
        <w:jc w:val="both"/>
        <w:ind w:firstLine="257"/>
        <w:spacing w:after="0" w:line="256" w:lineRule="auto"/>
        <w:rPr>
          <w:sz w:val="20"/>
          <w:szCs w:val="20"/>
          <w:color w:val="auto"/>
        </w:rPr>
      </w:pPr>
      <w:r>
        <w:rPr>
          <w:rFonts w:ascii="Arial" w:cs="Arial" w:eastAsia="Arial" w:hAnsi="Arial"/>
          <w:sz w:val="18"/>
          <w:szCs w:val="18"/>
          <w:color w:val="auto"/>
        </w:rPr>
        <w:t>Part of PPS’s strategy is to maintain an adequate foreign exchange position in U.S. Dollars, since a significant portion of its premiums are denominated, and much of its operations are conducted, in U.S. Dollars. In 2003, 71.0% of the gross premiums received by PPS were denominated in U.S. Dollars (74.1% in 2002). As of December 31, 2003, PPS had US$39.2 million in short and medium-term U.S. Dollar-denominated deposits and U.S. Dollar-denominated bonds (primarily issued by Peruvian companies) (US$56.6 million as of December 2002).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31" w:right="239" w:bottom="1440" w:gutter="0" w:footer="0" w:header="0"/>
        </w:sectPr>
      </w:pPr>
    </w:p>
    <w:bookmarkStart w:id="37" w:name="page38"/>
    <w:bookmarkEnd w:id="37"/>
    <w:p>
      <w:pPr>
        <w:ind w:left="220"/>
        <w:spacing w:after="0"/>
        <w:rPr>
          <w:sz w:val="20"/>
          <w:szCs w:val="20"/>
          <w:color w:val="auto"/>
        </w:rPr>
      </w:pPr>
      <w:r>
        <w:rPr>
          <w:rFonts w:ascii="Arial" w:cs="Arial" w:eastAsia="Arial" w:hAnsi="Arial"/>
          <w:sz w:val="18"/>
          <w:szCs w:val="18"/>
          <w:b w:val="1"/>
          <w:bCs w:val="1"/>
          <w:color w:val="auto"/>
        </w:rPr>
        <w:t>(6) Distribution Network</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 Commercial Banking</w:t>
      </w:r>
    </w:p>
    <w:p>
      <w:pPr>
        <w:spacing w:after="0" w:line="225" w:lineRule="exact"/>
        <w:rPr>
          <w:sz w:val="20"/>
          <w:szCs w:val="20"/>
          <w:color w:val="auto"/>
        </w:rPr>
      </w:pPr>
    </w:p>
    <w:p>
      <w:pPr>
        <w:jc w:val="both"/>
        <w:ind w:firstLine="240"/>
        <w:spacing w:after="0" w:line="290" w:lineRule="auto"/>
        <w:rPr>
          <w:sz w:val="20"/>
          <w:szCs w:val="20"/>
          <w:color w:val="auto"/>
        </w:rPr>
      </w:pPr>
      <w:r>
        <w:rPr>
          <w:rFonts w:ascii="Arial" w:cs="Arial" w:eastAsia="Arial" w:hAnsi="Arial"/>
          <w:sz w:val="16"/>
          <w:szCs w:val="16"/>
          <w:color w:val="auto"/>
        </w:rPr>
        <w:t>As of December 31, 2003, BCP’s branch network consisted of 116 branches in Greater Lima and 87 branches in the provinces of Perú, the largest number of branches, with the most extensive country coverage, of any privately held bank in Perú. Credicorp believes that BCP’s branch network has been largely responsible for BCP’s success in attracting stable, relatively low-cost deposits. BCP has installed the most extensive network of ATMs in Perú, currently consisting of 506 ATMs, increasing from 397 at year-end 2002, in addition to other electronic channels, including the Internet, that provide clients with a wider array of services and reduce congestion in the branches. During 2002, BCP began operations of an agency in Miami and a branch in Panama, and closed its branches in Nassau and New York. During 2003, BCP converted BCOL, its offshore bank in the Bahamas, into a vehicle to conduct investments and sold it to ASHC, which expects to dissolve BCOL’s operations during 2004.</w:t>
      </w:r>
    </w:p>
    <w:p>
      <w:pPr>
        <w:spacing w:after="0" w:line="172" w:lineRule="exact"/>
        <w:rPr>
          <w:sz w:val="20"/>
          <w:szCs w:val="20"/>
          <w:color w:val="auto"/>
        </w:rPr>
      </w:pPr>
    </w:p>
    <w:p>
      <w:pPr>
        <w:jc w:val="both"/>
        <w:ind w:firstLine="246"/>
        <w:spacing w:after="0" w:line="268" w:lineRule="auto"/>
        <w:rPr>
          <w:sz w:val="20"/>
          <w:szCs w:val="20"/>
          <w:color w:val="auto"/>
        </w:rPr>
      </w:pPr>
      <w:r>
        <w:rPr>
          <w:rFonts w:ascii="Arial" w:cs="Arial" w:eastAsia="Arial" w:hAnsi="Arial"/>
          <w:sz w:val="18"/>
          <w:szCs w:val="18"/>
          <w:color w:val="auto"/>
        </w:rPr>
        <w:t>ASHC keeps an office in Panama and a representative office in Lima. Banco Tequendama operates 15 branches in Colombia, after the sale of its branches in Venezuela in 2002. BCB has 46 branches located throughout Bolivia.</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(ii) Investment Banking</w:t>
      </w:r>
    </w:p>
    <w:p>
      <w:pPr>
        <w:spacing w:after="0" w:line="225" w:lineRule="exact"/>
        <w:rPr>
          <w:sz w:val="20"/>
          <w:szCs w:val="20"/>
          <w:color w:val="auto"/>
        </w:rPr>
      </w:pPr>
    </w:p>
    <w:p>
      <w:pPr>
        <w:jc w:val="both"/>
        <w:ind w:firstLine="265"/>
        <w:spacing w:after="0" w:line="259" w:lineRule="auto"/>
        <w:rPr>
          <w:sz w:val="20"/>
          <w:szCs w:val="20"/>
          <w:color w:val="auto"/>
        </w:rPr>
      </w:pPr>
      <w:r>
        <w:rPr>
          <w:rFonts w:ascii="Arial" w:cs="Arial" w:eastAsia="Arial" w:hAnsi="Arial"/>
          <w:sz w:val="18"/>
          <w:szCs w:val="18"/>
          <w:color w:val="auto"/>
        </w:rPr>
        <w:t>Credicorp offers investment banking products and services through BCP and ASHC. BCP offers clients a wide range of such products and services, such as brokerage, mutual fund and custody services through its branch network in Lima and, on a more limited basis, throughout the rest of Perú. In addition, Credicorp also distributes such products through ASHC.</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(iii) Insurance</w:t>
      </w:r>
    </w:p>
    <w:p>
      <w:pPr>
        <w:spacing w:after="0" w:line="225" w:lineRule="exact"/>
        <w:rPr>
          <w:sz w:val="20"/>
          <w:szCs w:val="20"/>
          <w:color w:val="auto"/>
        </w:rPr>
      </w:pPr>
    </w:p>
    <w:p>
      <w:pPr>
        <w:jc w:val="both"/>
        <w:ind w:firstLine="220"/>
        <w:spacing w:after="0" w:line="268" w:lineRule="auto"/>
        <w:rPr>
          <w:sz w:val="20"/>
          <w:szCs w:val="20"/>
          <w:color w:val="auto"/>
        </w:rPr>
      </w:pPr>
      <w:r>
        <w:rPr>
          <w:rFonts w:ascii="Arial" w:cs="Arial" w:eastAsia="Arial" w:hAnsi="Arial"/>
          <w:sz w:val="18"/>
          <w:szCs w:val="18"/>
          <w:color w:val="auto"/>
        </w:rPr>
        <w:t>PPS, like other major Peruvian insurance companies, sells its products both directly and through independent brokers and agents. Directly written policies tend to be for large commercial clients, as well as for life and health insurance lines.</w:t>
      </w:r>
    </w:p>
    <w:p>
      <w:pPr>
        <w:spacing w:after="0" w:line="186" w:lineRule="exact"/>
        <w:rPr>
          <w:sz w:val="20"/>
          <w:szCs w:val="20"/>
          <w:color w:val="auto"/>
        </w:rPr>
      </w:pPr>
    </w:p>
    <w:p>
      <w:pPr>
        <w:jc w:val="both"/>
        <w:ind w:firstLine="256"/>
        <w:spacing w:after="0" w:line="259" w:lineRule="auto"/>
        <w:rPr>
          <w:sz w:val="20"/>
          <w:szCs w:val="20"/>
          <w:color w:val="auto"/>
        </w:rPr>
      </w:pPr>
      <w:r>
        <w:rPr>
          <w:rFonts w:ascii="Arial" w:cs="Arial" w:eastAsia="Arial" w:hAnsi="Arial"/>
          <w:sz w:val="18"/>
          <w:szCs w:val="18"/>
          <w:color w:val="auto"/>
        </w:rPr>
        <w:t>Credicorp is attempting to expand PPS’s sales network, which currently has 23 offices throughout Perú, by selling certain insurance products through BCP’s branch network. PPS offers, in collaboration with BCP, a life and health insurance product called Segurimax as well as a personal life insurance product that combines accidental death coverage with renewable term life insurance.</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(7) Operations Support</w:t>
      </w:r>
    </w:p>
    <w:p>
      <w:pPr>
        <w:spacing w:after="0" w:line="231" w:lineRule="exact"/>
        <w:rPr>
          <w:sz w:val="20"/>
          <w:szCs w:val="20"/>
          <w:color w:val="auto"/>
        </w:rPr>
      </w:pPr>
    </w:p>
    <w:p>
      <w:pPr>
        <w:jc w:val="both"/>
        <w:ind w:firstLine="220"/>
        <w:spacing w:after="0" w:line="254" w:lineRule="auto"/>
        <w:rPr>
          <w:sz w:val="20"/>
          <w:szCs w:val="20"/>
          <w:color w:val="auto"/>
        </w:rPr>
      </w:pPr>
      <w:r>
        <w:rPr>
          <w:rFonts w:ascii="Arial" w:cs="Arial" w:eastAsia="Arial" w:hAnsi="Arial"/>
          <w:sz w:val="18"/>
          <w:szCs w:val="18"/>
          <w:color w:val="auto"/>
        </w:rPr>
        <w:t>Credicorp’s operations are primarily conducted by BCP’s support departments. Commercial Banking operations are supported by BCP’s Credit division, which evaluates and helps administer credit relationships, establishes credit policies and monitors credit risk. See “—(3) Commercial Banking—(iii) Credit Policy and Review.”BCP’s Planning and Finance division is responsible for planning, accounting and investor relations functions. Planning and Finance is also responsible for analyzing the economic, business and competitive environment in order to provide the necessary feedback for senior management’s decision-making. BCP’s Administration division has responsibility for systems, institutional and public relations, human resources, the legal department, security, maintenance and supplies.</w:t>
      </w:r>
    </w:p>
    <w:p>
      <w:pPr>
        <w:spacing w:after="0" w:line="198" w:lineRule="exact"/>
        <w:rPr>
          <w:sz w:val="20"/>
          <w:szCs w:val="20"/>
          <w:color w:val="auto"/>
        </w:rPr>
      </w:pPr>
    </w:p>
    <w:p>
      <w:pPr>
        <w:jc w:val="both"/>
        <w:ind w:firstLine="243"/>
        <w:spacing w:after="0" w:line="332" w:lineRule="auto"/>
        <w:rPr>
          <w:sz w:val="20"/>
          <w:szCs w:val="20"/>
          <w:color w:val="auto"/>
        </w:rPr>
      </w:pPr>
      <w:r>
        <w:rPr>
          <w:rFonts w:ascii="Arial" w:cs="Arial" w:eastAsia="Arial" w:hAnsi="Arial"/>
          <w:sz w:val="16"/>
          <w:szCs w:val="16"/>
          <w:color w:val="auto"/>
        </w:rPr>
        <w:t>The Banking Services division is in charge of managing distribution channels, as well as procedures aimed at satisfying requirements of retail banking, while the Systems and Organization division is responsible for processes and information regarding technological and organizational matters.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8" w:name="page39"/>
    <w:bookmarkEnd w:id="38"/>
    <w:p>
      <w:pPr>
        <w:jc w:val="both"/>
        <w:ind w:right="20"/>
        <w:spacing w:after="0" w:line="268" w:lineRule="auto"/>
        <w:rPr>
          <w:sz w:val="20"/>
          <w:szCs w:val="20"/>
          <w:color w:val="auto"/>
        </w:rPr>
      </w:pPr>
      <w:r>
        <w:rPr>
          <w:rFonts w:ascii="Arial" w:cs="Arial" w:eastAsia="Arial" w:hAnsi="Arial"/>
          <w:sz w:val="18"/>
          <w:szCs w:val="18"/>
          <w:color w:val="auto"/>
        </w:rPr>
        <w:t>The Distribution Channels unit operates BCP’s branch network. BCP continually evaluates its branch network to monitor branch profitability in order to improve operating efficiency.</w:t>
      </w:r>
    </w:p>
    <w:p>
      <w:pPr>
        <w:spacing w:after="0" w:line="186" w:lineRule="exact"/>
        <w:rPr>
          <w:sz w:val="20"/>
          <w:szCs w:val="20"/>
          <w:color w:val="auto"/>
        </w:rPr>
      </w:pPr>
    </w:p>
    <w:p>
      <w:pPr>
        <w:jc w:val="both"/>
        <w:ind w:right="20" w:firstLine="227"/>
        <w:spacing w:after="0" w:line="256" w:lineRule="auto"/>
        <w:rPr>
          <w:sz w:val="20"/>
          <w:szCs w:val="20"/>
          <w:color w:val="auto"/>
        </w:rPr>
      </w:pPr>
      <w:r>
        <w:rPr>
          <w:rFonts w:ascii="Arial" w:cs="Arial" w:eastAsia="Arial" w:hAnsi="Arial"/>
          <w:sz w:val="18"/>
          <w:szCs w:val="18"/>
          <w:color w:val="auto"/>
        </w:rPr>
        <w:t>During 2003, the Banking Services division’s goals included increasing income, reducing expenses and increasing the number of customers. As to income, the Banking Services division contributed 47% of products sold by Personal Banking (40% in 2002). To reach the goal of expanding into new areas, seven out of ten new branches opened during 2003 were on the outskirts of Lima where population is dense and there are many small and micro businesses. The number of transactions nationally grew 19.4% in 2003, after a 2.5% increase in 2002.</w:t>
      </w:r>
    </w:p>
    <w:p>
      <w:pPr>
        <w:spacing w:after="0" w:line="197" w:lineRule="exact"/>
        <w:rPr>
          <w:sz w:val="20"/>
          <w:szCs w:val="20"/>
          <w:color w:val="auto"/>
        </w:rPr>
      </w:pPr>
    </w:p>
    <w:p>
      <w:pPr>
        <w:jc w:val="both"/>
        <w:ind w:firstLine="251"/>
        <w:spacing w:after="0" w:line="294" w:lineRule="auto"/>
        <w:rPr>
          <w:sz w:val="20"/>
          <w:szCs w:val="20"/>
          <w:color w:val="auto"/>
        </w:rPr>
      </w:pPr>
      <w:r>
        <w:rPr>
          <w:rFonts w:ascii="Arial" w:cs="Arial" w:eastAsia="Arial" w:hAnsi="Arial"/>
          <w:sz w:val="16"/>
          <w:szCs w:val="16"/>
          <w:color w:val="auto"/>
        </w:rPr>
        <w:t>In 2003, BCP continued to introduce important technological developments, expanding its service to customers who engage in a high number of transactions as well as making improvements in quality and lowering costs. BCP has 1.5 million customers who carried out 17.2 million transactions per month in 2003, increasing from 14.5 million per month in 2002, and have access to the largest and most varied distribution network in Perú. Towards the end of 2003, 61% of customer transactions were carried out via self-service, having increased from only 25% in 1996. Of total customer transactions, 17% were performed in ATMs, 14% by the “call center” and self-service terminals, 12% on the Internet and 8% through remote banking at companies.</w:t>
      </w:r>
    </w:p>
    <w:p>
      <w:pPr>
        <w:spacing w:after="0" w:line="170" w:lineRule="exact"/>
        <w:rPr>
          <w:sz w:val="20"/>
          <w:szCs w:val="20"/>
          <w:color w:val="auto"/>
        </w:rPr>
      </w:pPr>
    </w:p>
    <w:p>
      <w:pPr>
        <w:jc w:val="both"/>
        <w:ind w:firstLine="246"/>
        <w:spacing w:after="0" w:line="294" w:lineRule="auto"/>
        <w:rPr>
          <w:sz w:val="20"/>
          <w:szCs w:val="20"/>
          <w:color w:val="auto"/>
        </w:rPr>
      </w:pPr>
      <w:r>
        <w:rPr>
          <w:rFonts w:ascii="Arial" w:cs="Arial" w:eastAsia="Arial" w:hAnsi="Arial"/>
          <w:sz w:val="16"/>
          <w:szCs w:val="16"/>
          <w:color w:val="auto"/>
        </w:rPr>
        <w:t>This level of self-service activity reflects an increase in BCP’s use of new technologies to improve its services to its customers. These technologies include a network of 506 ATMs available to 1.3 million bank card holders, the phone banking service Comunica-T, which has increased the capacity of its automated “Call Center,”receiving up to 600,000 calls per month, Saldomatic terminals, which are specialized devices placed in the branches for self-service access to account balances and transactions, and Internet banking. To improve the efficiency of these processes, BCP maintained the policy of encouraging the use of electronic distribution channels by applying more attractive rates than those charged at its branch offices.</w:t>
      </w:r>
    </w:p>
    <w:p>
      <w:pPr>
        <w:spacing w:after="0" w:line="170" w:lineRule="exact"/>
        <w:rPr>
          <w:sz w:val="20"/>
          <w:szCs w:val="20"/>
          <w:color w:val="auto"/>
        </w:rPr>
      </w:pPr>
    </w:p>
    <w:p>
      <w:pPr>
        <w:jc w:val="both"/>
        <w:ind w:firstLine="280"/>
        <w:spacing w:after="0" w:line="255" w:lineRule="auto"/>
        <w:rPr>
          <w:sz w:val="20"/>
          <w:szCs w:val="20"/>
          <w:color w:val="auto"/>
        </w:rPr>
      </w:pPr>
      <w:r>
        <w:rPr>
          <w:rFonts w:ascii="Arial" w:cs="Arial" w:eastAsia="Arial" w:hAnsi="Arial"/>
          <w:sz w:val="18"/>
          <w:szCs w:val="18"/>
          <w:color w:val="auto"/>
        </w:rPr>
        <w:t>During 2003, investment in technology, information systems, equipment and programs reached US$13 million, decreasing from US$15 million in 2002. In 2003, major stages of development of the “umbrella” T-3 project of technological transformation were completed, including the implementation of applications specific to operations in Bolivia. The T-3 project involves the implementation of modern versions of several critical systems, adopting a new systems architecture that uses “middleware” and installing a set of components that allow services to assure their uninterrupted availability. The T-3 project is expected to be completed in its entirety during 2004.</w:t>
      </w:r>
    </w:p>
    <w:p>
      <w:pPr>
        <w:spacing w:after="0" w:line="197" w:lineRule="exact"/>
        <w:rPr>
          <w:sz w:val="20"/>
          <w:szCs w:val="20"/>
          <w:color w:val="auto"/>
        </w:rPr>
      </w:pPr>
    </w:p>
    <w:p>
      <w:pPr>
        <w:jc w:val="both"/>
        <w:ind w:firstLine="248"/>
        <w:spacing w:after="0" w:line="294" w:lineRule="auto"/>
        <w:rPr>
          <w:sz w:val="20"/>
          <w:szCs w:val="20"/>
          <w:color w:val="auto"/>
        </w:rPr>
      </w:pPr>
      <w:r>
        <w:rPr>
          <w:rFonts w:ascii="Arial" w:cs="Arial" w:eastAsia="Arial" w:hAnsi="Arial"/>
          <w:sz w:val="16"/>
          <w:szCs w:val="16"/>
          <w:color w:val="auto"/>
        </w:rPr>
        <w:t>During 2003, Credicorp continued its strategy of simplifying its systems and reducing costs. Through the T-3 project, the number and complexity of systems and suppliers is being reduced, with several applications being handled by a single supplier. In addition, the use of automatic testing environments will be expanded, as well as the use of the Dedicated Development Center in the city of Arequipa, Perú, for the production of computing programs designed to improve the allocation of installed capacity. In 2003, significant gains in efficiency were also obtained through the application of new budget procedures which improved the allocation of available resources to further the goals of each business unit in accordance with company-wide priorities.</w:t>
      </w:r>
    </w:p>
    <w:p>
      <w:pPr>
        <w:spacing w:after="0" w:line="170" w:lineRule="exact"/>
        <w:rPr>
          <w:sz w:val="20"/>
          <w:szCs w:val="20"/>
          <w:color w:val="auto"/>
        </w:rPr>
      </w:pPr>
    </w:p>
    <w:p>
      <w:pPr>
        <w:jc w:val="both"/>
        <w:ind w:firstLine="227"/>
        <w:spacing w:after="0" w:line="256" w:lineRule="auto"/>
        <w:rPr>
          <w:sz w:val="20"/>
          <w:szCs w:val="20"/>
          <w:color w:val="auto"/>
        </w:rPr>
      </w:pPr>
      <w:r>
        <w:rPr>
          <w:rFonts w:ascii="Arial" w:cs="Arial" w:eastAsia="Arial" w:hAnsi="Arial"/>
          <w:sz w:val="18"/>
          <w:szCs w:val="18"/>
          <w:color w:val="auto"/>
        </w:rPr>
        <w:t>Following the merger of BSCH-Perú into BCP in February 2003, the systems of BSCH-Perú, including information on approximately 100,000 customers, was effectively incorporated into BCP’s databases. Also during 2003, operations in Miami and Panama were significantly restructured as a result of the move of the offices of Atlantic Security Bank (“ASB”) from Miami to Panama and the implementation of systems for BCP’s offices in Miami and for Credicorp Securities’ broker-dealer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31" w:right="239" w:bottom="1440" w:gutter="0" w:footer="0" w:header="0"/>
        </w:sectPr>
      </w:pPr>
    </w:p>
    <w:bookmarkStart w:id="39" w:name="page40"/>
    <w:bookmarkEnd w:id="39"/>
    <w:p>
      <w:pPr>
        <w:jc w:val="both"/>
        <w:spacing w:after="0" w:line="268" w:lineRule="auto"/>
        <w:rPr>
          <w:sz w:val="20"/>
          <w:szCs w:val="20"/>
          <w:color w:val="auto"/>
        </w:rPr>
      </w:pPr>
      <w:r>
        <w:rPr>
          <w:rFonts w:ascii="Arial" w:cs="Arial" w:eastAsia="Arial" w:hAnsi="Arial"/>
          <w:sz w:val="18"/>
          <w:szCs w:val="18"/>
          <w:color w:val="auto"/>
        </w:rPr>
        <w:t>operations. The COBIS system, already in place at Banco Tequendama, was also implemented in BCP’s offices in Miami and Panama and at ASHC’s Panama and Grand Cayman offices.</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PPS has an independent operations support department. Credicorp’s current strategy is to integrate the operations support departments of its subsidiaries.</w:t>
      </w:r>
    </w:p>
    <w:p>
      <w:pPr>
        <w:spacing w:after="0" w:line="248" w:lineRule="exact"/>
        <w:rPr>
          <w:sz w:val="20"/>
          <w:szCs w:val="20"/>
          <w:color w:val="auto"/>
        </w:rPr>
      </w:pPr>
    </w:p>
    <w:p>
      <w:pPr>
        <w:jc w:val="both"/>
        <w:ind w:firstLine="239"/>
        <w:spacing w:after="0" w:line="259" w:lineRule="auto"/>
        <w:rPr>
          <w:sz w:val="20"/>
          <w:szCs w:val="20"/>
          <w:color w:val="auto"/>
        </w:rPr>
      </w:pPr>
      <w:r>
        <w:rPr>
          <w:rFonts w:ascii="Arial" w:cs="Arial" w:eastAsia="Arial" w:hAnsi="Arial"/>
          <w:sz w:val="18"/>
          <w:szCs w:val="18"/>
          <w:color w:val="auto"/>
        </w:rPr>
        <w:t>In 2003, Banco Tequendama completed system applications designed to improve personal loan products and treasury operations. The applications focused on increasing operating efficiency through improvement in the procedures applied in the loan disbursement phases and in the management of client data, and also through the restructuring of the operations and technology areas.</w:t>
      </w:r>
    </w:p>
    <w:p>
      <w:pPr>
        <w:spacing w:after="0" w:line="194" w:lineRule="exact"/>
        <w:rPr>
          <w:sz w:val="20"/>
          <w:szCs w:val="20"/>
          <w:color w:val="auto"/>
        </w:rPr>
      </w:pPr>
    </w:p>
    <w:p>
      <w:pPr>
        <w:jc w:val="both"/>
        <w:ind w:firstLine="333"/>
        <w:spacing w:after="0" w:line="268" w:lineRule="auto"/>
        <w:rPr>
          <w:sz w:val="20"/>
          <w:szCs w:val="20"/>
          <w:color w:val="auto"/>
        </w:rPr>
      </w:pPr>
      <w:r>
        <w:rPr>
          <w:rFonts w:ascii="Arial" w:cs="Arial" w:eastAsia="Arial" w:hAnsi="Arial"/>
          <w:sz w:val="18"/>
          <w:szCs w:val="18"/>
          <w:color w:val="auto"/>
        </w:rPr>
        <w:t>In 2004, the Systems division will concentrate on applying the advances accomplished through the T-3 project, adding new components to increase the availability and stability of services and widening the application of “middleware.”</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(8) Competition</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 Banking</w:t>
      </w:r>
    </w:p>
    <w:p>
      <w:pPr>
        <w:spacing w:after="0" w:line="225" w:lineRule="exact"/>
        <w:rPr>
          <w:sz w:val="20"/>
          <w:szCs w:val="20"/>
          <w:color w:val="auto"/>
        </w:rPr>
      </w:pPr>
    </w:p>
    <w:p>
      <w:pPr>
        <w:jc w:val="both"/>
        <w:ind w:firstLine="265"/>
        <w:spacing w:after="0" w:line="294" w:lineRule="auto"/>
        <w:rPr>
          <w:sz w:val="20"/>
          <w:szCs w:val="20"/>
          <w:color w:val="auto"/>
        </w:rPr>
      </w:pPr>
      <w:r>
        <w:rPr>
          <w:rFonts w:ascii="Arial" w:cs="Arial" w:eastAsia="Arial" w:hAnsi="Arial"/>
          <w:sz w:val="16"/>
          <w:szCs w:val="16"/>
          <w:color w:val="auto"/>
        </w:rPr>
        <w:t>The Peruvian banking sector is currently comprised of 14 commercial banking institutions. As of December 31, 2003, BCP ranked first among all Peruvian banks in terms of assets, deposits and loans, representing approximately 34.4%, 36.1% and 34.4%, respectively, of the total of all Peruvian banks, compared to market shares of 37.0%, 38.6% and 36.3%, respectively, at December 31, 2002. As of December 31, 2003, the next four largest banks in terms of deposits (Banco Continental, Banco Wiese Sudameris, Interbank and Sudamericano) had deposits representing 23.4%, 15.7%, 8.9% and 3.5%, respectively, and loans representing 18.1%, 14.8%, 9.5%, and 4.7%, respectively, of the total of all Peruvian banks.</w:t>
      </w:r>
    </w:p>
    <w:p>
      <w:pPr>
        <w:spacing w:after="0" w:line="170" w:lineRule="exact"/>
        <w:rPr>
          <w:sz w:val="20"/>
          <w:szCs w:val="20"/>
          <w:color w:val="auto"/>
        </w:rPr>
      </w:pPr>
    </w:p>
    <w:p>
      <w:pPr>
        <w:jc w:val="both"/>
        <w:ind w:firstLine="226"/>
        <w:spacing w:after="0" w:line="287" w:lineRule="auto"/>
        <w:rPr>
          <w:sz w:val="20"/>
          <w:szCs w:val="20"/>
          <w:color w:val="auto"/>
        </w:rPr>
      </w:pPr>
      <w:r>
        <w:rPr>
          <w:rFonts w:ascii="Arial" w:cs="Arial" w:eastAsia="Arial" w:hAnsi="Arial"/>
          <w:sz w:val="16"/>
          <w:szCs w:val="16"/>
          <w:color w:val="auto"/>
        </w:rPr>
        <w:t>The Peruvian banking industry experienced consolidation and increased foreign entry following the passage of Legislative Decree 637 in 1991 and Legislative Decree 770 in 1993, which liberalized the banking industry and removed all restrictions on foreign ownership of Peruvian financial institutions. See “—(10) The Peruvian Financial System—(i) General.” Banks new to Perú in the last several years include BNP-Andes, Banco del Trabajo, Solventa and Serbanco. Some of these banks initially focused on satisfying demand for consumer loans but sold part of their loan portfolio in 1998 to Solución and now serve other sectors or have merged into other banks. Banks that have undergone privatization include: Banco Continental, the country’s third largest bank, which was acquired by Banco Bilbao Vizcaya of Spain, which is associated with Perú’s Grupo Brescia; and Interbank, purchased in July 1994 by IFH Perú S.A., which is associated with Banco Osorno y La Union of Chile. Acquisitions of Peruvian banks by non-Peruvian companies include: (i) Banco Interandino and Banco Mercantil, purchased by Banco Santander of Spain, (ii) Banco de Lima, acquired by Banco Sudameris of France, (iii) Banco del Sur, acquired in early 1996 by a group composed of the Luksic group of Chile, Banco Central Hispano of Spain and HSBC Holdings of the UK, and (iv) Extebandes, acquired in January 1998 by Standard Chartered Bank of the UK.</w:t>
      </w:r>
    </w:p>
    <w:p>
      <w:pPr>
        <w:spacing w:after="0" w:line="177" w:lineRule="exact"/>
        <w:rPr>
          <w:sz w:val="20"/>
          <w:szCs w:val="20"/>
          <w:color w:val="auto"/>
        </w:rPr>
      </w:pPr>
    </w:p>
    <w:p>
      <w:pPr>
        <w:jc w:val="both"/>
        <w:ind w:firstLine="229"/>
        <w:spacing w:after="0" w:line="306" w:lineRule="auto"/>
        <w:rPr>
          <w:sz w:val="20"/>
          <w:szCs w:val="20"/>
          <w:color w:val="auto"/>
        </w:rPr>
      </w:pPr>
      <w:r>
        <w:rPr>
          <w:rFonts w:ascii="Arial" w:cs="Arial" w:eastAsia="Arial" w:hAnsi="Arial"/>
          <w:sz w:val="16"/>
          <w:szCs w:val="16"/>
          <w:color w:val="auto"/>
        </w:rPr>
        <w:t>During 1999, Banco de Lima merged with Wiese, Banco Sur merged with BSCH-Perú, Banco del País merged with Nuevo Mundo and Progreso merged with Norbank, while Banex was liquidated and Solventa was turned into a finance company. During 2000, Orion and Serbanco were liquidated. In 2001, Interbank and Latino agreed to merge, NBK Bank merged with Banco Financiero and Nuevo Mundo was liquidated. In December 2002, BCP acquired BSCH-Perú.</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31" w:right="239" w:bottom="1440" w:gutter="0" w:footer="0" w:header="0"/>
        </w:sectPr>
      </w:pPr>
    </w:p>
    <w:bookmarkStart w:id="40" w:name="page41"/>
    <w:bookmarkEnd w:id="40"/>
    <w:p>
      <w:pPr>
        <w:jc w:val="both"/>
        <w:ind w:firstLine="298"/>
        <w:spacing w:after="0" w:line="256" w:lineRule="auto"/>
        <w:rPr>
          <w:sz w:val="20"/>
          <w:szCs w:val="20"/>
          <w:color w:val="auto"/>
        </w:rPr>
      </w:pPr>
      <w:r>
        <w:rPr>
          <w:rFonts w:ascii="Arial" w:cs="Arial" w:eastAsia="Arial" w:hAnsi="Arial"/>
          <w:sz w:val="18"/>
          <w:szCs w:val="18"/>
          <w:color w:val="auto"/>
        </w:rPr>
        <w:t>Credicorp believes that the Peruvian banking industry will continue to face an increasingly competitive environment within a generalized excess liquidity situation. Such increased competition may in the future affect Credicorp’s loan growth and reduce the average interest rates that it may charge its customers, as well as reduce fee income. Certain foreign banks have either reduced or liquidated their Peruvian operations in recent years, reducing competition to some extent from such competitors.</w:t>
      </w:r>
    </w:p>
    <w:p>
      <w:pPr>
        <w:spacing w:after="0" w:line="197" w:lineRule="exact"/>
        <w:rPr>
          <w:sz w:val="20"/>
          <w:szCs w:val="20"/>
          <w:color w:val="auto"/>
        </w:rPr>
      </w:pPr>
    </w:p>
    <w:p>
      <w:pPr>
        <w:jc w:val="both"/>
        <w:ind w:firstLine="229"/>
        <w:spacing w:after="0" w:line="254" w:lineRule="auto"/>
        <w:rPr>
          <w:sz w:val="20"/>
          <w:szCs w:val="20"/>
          <w:color w:val="auto"/>
        </w:rPr>
      </w:pPr>
      <w:r>
        <w:rPr>
          <w:rFonts w:ascii="Arial" w:cs="Arial" w:eastAsia="Arial" w:hAnsi="Arial"/>
          <w:sz w:val="18"/>
          <w:szCs w:val="18"/>
          <w:color w:val="auto"/>
        </w:rPr>
        <w:t>Since 1999, excess liquidity at major Peruvian banks has put pressure on margins. Credicorp does not intend to pursue corporate lending opportunities that are unprofitable solely in order to maintain market share. As a result, Credicorp does not expect Corporate Banking to grow at levels experienced in the past. However, Credicorp will seek to maintain its close relationships with corporate customers, focusing on providing prompt responses to their requirements and setting competitive prices. To this end, Credicorp is currently updating its information systems to improve customer service and to allow management to obtain information on customer and business profitability more efficiently. Credicorp also intends to expand the range of BCP’s investment banking and cash management products.</w:t>
      </w:r>
    </w:p>
    <w:p>
      <w:pPr>
        <w:spacing w:after="0" w:line="198" w:lineRule="exact"/>
        <w:rPr>
          <w:sz w:val="20"/>
          <w:szCs w:val="20"/>
          <w:color w:val="auto"/>
        </w:rPr>
      </w:pPr>
    </w:p>
    <w:p>
      <w:pPr>
        <w:jc w:val="both"/>
        <w:ind w:firstLine="244"/>
        <w:spacing w:after="0" w:line="306" w:lineRule="auto"/>
        <w:rPr>
          <w:sz w:val="20"/>
          <w:szCs w:val="20"/>
          <w:color w:val="auto"/>
        </w:rPr>
      </w:pPr>
      <w:r>
        <w:rPr>
          <w:rFonts w:ascii="Arial" w:cs="Arial" w:eastAsia="Arial" w:hAnsi="Arial"/>
          <w:sz w:val="16"/>
          <w:szCs w:val="16"/>
          <w:color w:val="auto"/>
        </w:rPr>
        <w:t>In its core corporate lending and trade finance businesses, ASHC principally competes with larger institutions such as Citibank. ASHC attributes its ability to compete effectively with larger lending institutions to its aggressive marketing efforts, its ability as a smaller, more flexible institution, to make decisions quickly and respond rapidly to customer needs, its association with BCP, and its superior knowledge of the region, particularly the Peruvian market.</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(ii) Capital Markets</w:t>
      </w:r>
    </w:p>
    <w:p>
      <w:pPr>
        <w:spacing w:after="0" w:line="225" w:lineRule="exact"/>
        <w:rPr>
          <w:sz w:val="20"/>
          <w:szCs w:val="20"/>
          <w:color w:val="auto"/>
        </w:rPr>
      </w:pPr>
    </w:p>
    <w:p>
      <w:pPr>
        <w:jc w:val="both"/>
        <w:ind w:firstLine="280"/>
        <w:spacing w:after="0" w:line="306" w:lineRule="auto"/>
        <w:rPr>
          <w:sz w:val="20"/>
          <w:szCs w:val="20"/>
          <w:color w:val="auto"/>
        </w:rPr>
      </w:pPr>
      <w:r>
        <w:rPr>
          <w:rFonts w:ascii="Arial" w:cs="Arial" w:eastAsia="Arial" w:hAnsi="Arial"/>
          <w:sz w:val="16"/>
          <w:szCs w:val="16"/>
          <w:color w:val="auto"/>
        </w:rPr>
        <w:t>In the Wholesale Banking division, BCP’s Corporate Banking area has experienced increased competition and pressure on margins over the last few years. This is primarily the result of new entrants into the market, including foreign and recently privatized commercial banks as well as local and foreign investment banks and non-bank credit providers, such as pension fund administrators (“AFP”) and mutual fund companies.</w:t>
      </w:r>
    </w:p>
    <w:p>
      <w:pPr>
        <w:spacing w:after="0" w:line="161" w:lineRule="exact"/>
        <w:rPr>
          <w:sz w:val="20"/>
          <w:szCs w:val="20"/>
          <w:color w:val="auto"/>
        </w:rPr>
      </w:pPr>
    </w:p>
    <w:p>
      <w:pPr>
        <w:jc w:val="both"/>
        <w:ind w:firstLine="220"/>
        <w:spacing w:after="0" w:line="298" w:lineRule="auto"/>
        <w:rPr>
          <w:sz w:val="20"/>
          <w:szCs w:val="20"/>
          <w:color w:val="auto"/>
        </w:rPr>
      </w:pPr>
      <w:r>
        <w:rPr>
          <w:rFonts w:ascii="Arial" w:cs="Arial" w:eastAsia="Arial" w:hAnsi="Arial"/>
          <w:sz w:val="16"/>
          <w:szCs w:val="16"/>
          <w:color w:val="auto"/>
        </w:rPr>
        <w:t>In addition, Peruvian companies have gained access to new sources of capital through the local and international capital markets. In recent years the AFP’s and mutual funds-managed assets have increased at rates over those experienced by the banking system. The private pension fund assets reached US$6.4 billion as of December 31, 2003, increasing 42.0% since December 31, 2002, with a return of 21.2% in real terms in the year. Total mutual funds amounted to US$2.0 billion, after growing 33.7% since December 31, 2002, with a 2.9% return (in U.S. Dollar terms) in year 2003.</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(iii) Other Financial Institutions</w:t>
      </w:r>
    </w:p>
    <w:p>
      <w:pPr>
        <w:spacing w:after="0" w:line="225" w:lineRule="exact"/>
        <w:rPr>
          <w:sz w:val="20"/>
          <w:szCs w:val="20"/>
          <w:color w:val="auto"/>
        </w:rPr>
      </w:pPr>
    </w:p>
    <w:p>
      <w:pPr>
        <w:jc w:val="both"/>
        <w:ind w:firstLine="265"/>
        <w:spacing w:after="0" w:line="291" w:lineRule="auto"/>
        <w:rPr>
          <w:sz w:val="20"/>
          <w:szCs w:val="20"/>
          <w:color w:val="auto"/>
        </w:rPr>
      </w:pPr>
      <w:r>
        <w:rPr>
          <w:rFonts w:ascii="Arial" w:cs="Arial" w:eastAsia="Arial" w:hAnsi="Arial"/>
          <w:sz w:val="16"/>
          <w:szCs w:val="16"/>
          <w:color w:val="auto"/>
        </w:rPr>
        <w:t>Other institutions in the Peruvian financial system tend to specialize in a given market segment. Such institutions include finance companies, municipal and rural savings and credit associations, municipal public credit associations and savings and credit cooperatives that mainly issue retail loans to small and micro-businesses and consumer and mortgage loans to individuals, markets which have shown substantial increases in recent years. BCP is facing strong competition from these credit providers, primarily in respect of micro-business loans, where such providers lent US$425.7 million as of December 31, 2003, or 58.9% of the total in the financial system, and in consumer loans, where such providers lent US$406.3 million, or 25.4% of the total in the financial system. BCP also faces strong competition in its credit card operations from credit cards issued by retail stores.</w:t>
      </w:r>
    </w:p>
    <w:p>
      <w:pPr>
        <w:spacing w:after="0" w:line="174" w:lineRule="exact"/>
        <w:rPr>
          <w:sz w:val="20"/>
          <w:szCs w:val="20"/>
          <w:color w:val="auto"/>
        </w:rPr>
      </w:pPr>
    </w:p>
    <w:p>
      <w:pPr>
        <w:jc w:val="both"/>
        <w:ind w:firstLine="262"/>
        <w:spacing w:after="0" w:line="268" w:lineRule="auto"/>
        <w:rPr>
          <w:sz w:val="20"/>
          <w:szCs w:val="20"/>
          <w:color w:val="auto"/>
        </w:rPr>
      </w:pPr>
      <w:r>
        <w:rPr>
          <w:rFonts w:ascii="Arial" w:cs="Arial" w:eastAsia="Arial" w:hAnsi="Arial"/>
          <w:sz w:val="18"/>
          <w:szCs w:val="18"/>
          <w:color w:val="auto"/>
        </w:rPr>
        <w:t>In retail banking, Credicorp has found that small businesses are able to borrow from banks at better rates than those provided by suppliers and that the rates offered by BCP are competitive with those of other banks and other types of financial institutions.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31" w:right="239" w:bottom="1440" w:gutter="0" w:footer="0" w:header="0"/>
        </w:sectPr>
      </w:pPr>
    </w:p>
    <w:bookmarkStart w:id="41" w:name="page42"/>
    <w:bookmarkEnd w:id="41"/>
    <w:p>
      <w:pPr>
        <w:jc w:val="both"/>
        <w:ind w:firstLine="253"/>
        <w:spacing w:after="0" w:line="268" w:lineRule="auto"/>
        <w:rPr>
          <w:sz w:val="20"/>
          <w:szCs w:val="20"/>
          <w:color w:val="auto"/>
        </w:rPr>
      </w:pPr>
      <w:r>
        <w:rPr>
          <w:rFonts w:ascii="Arial" w:cs="Arial" w:eastAsia="Arial" w:hAnsi="Arial"/>
          <w:sz w:val="18"/>
          <w:szCs w:val="18"/>
          <w:color w:val="auto"/>
        </w:rPr>
        <w:t>Credicorp believes that BCP’s reputation as a sound institution, together with its nationwide branch network coverage, provides it with an advantage over its principal competitors.</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(iv) Insurance</w:t>
      </w:r>
    </w:p>
    <w:p>
      <w:pPr>
        <w:spacing w:after="0" w:line="225" w:lineRule="exact"/>
        <w:rPr>
          <w:sz w:val="20"/>
          <w:szCs w:val="20"/>
          <w:color w:val="auto"/>
        </w:rPr>
      </w:pPr>
    </w:p>
    <w:p>
      <w:pPr>
        <w:jc w:val="both"/>
        <w:ind w:firstLine="231"/>
        <w:spacing w:after="0" w:line="291" w:lineRule="auto"/>
        <w:rPr>
          <w:sz w:val="20"/>
          <w:szCs w:val="20"/>
          <w:color w:val="auto"/>
        </w:rPr>
      </w:pPr>
      <w:r>
        <w:rPr>
          <w:rFonts w:ascii="Arial" w:cs="Arial" w:eastAsia="Arial" w:hAnsi="Arial"/>
          <w:sz w:val="16"/>
          <w:szCs w:val="16"/>
          <w:color w:val="auto"/>
        </w:rPr>
        <w:t>Peruvian insurance companies compete principally on the basis of price and also on the basis of name recognition, customer service and product features. PPS believes that its competitive pricing, solid image, and quality of customer service are significant aspects of its overall competitiveness. In addition, PPS believes that its long relationship with AIG provides PPS with competitive advantages through access to AIG’s expertise in underwriting, claims management and other business areas. While increased foreign entry into the Peruvian insurance market may put additional pressure on premium rates, particularly for commercial coverage, PPS believes that in the long term foreign competition will increase the quality and strength of the industry. PPS believes that its size and its extensive experience in the Peruvian insurance market provide it with a competitive advantage over foreign competitors.</w:t>
      </w:r>
    </w:p>
    <w:p>
      <w:pPr>
        <w:spacing w:after="0" w:line="174" w:lineRule="exact"/>
        <w:rPr>
          <w:sz w:val="20"/>
          <w:szCs w:val="20"/>
          <w:color w:val="auto"/>
        </w:rPr>
      </w:pPr>
    </w:p>
    <w:p>
      <w:pPr>
        <w:jc w:val="both"/>
        <w:ind w:right="20" w:firstLine="321"/>
        <w:spacing w:after="0" w:line="306" w:lineRule="auto"/>
        <w:rPr>
          <w:sz w:val="20"/>
          <w:szCs w:val="20"/>
          <w:color w:val="auto"/>
        </w:rPr>
      </w:pPr>
      <w:r>
        <w:rPr>
          <w:rFonts w:ascii="Arial" w:cs="Arial" w:eastAsia="Arial" w:hAnsi="Arial"/>
          <w:sz w:val="16"/>
          <w:szCs w:val="16"/>
          <w:color w:val="auto"/>
        </w:rPr>
        <w:t>However, competition in the Peruvian insurance industry has increased substantially since the industry was deregulated in 1991, with particularly strong competition in the area of large commercial policies, for which rates and coverages typically are negotiated individually. The loss by PPS to competitors of even a small number of major customers or brokers could have a material impact on PPS’s premium levels and market share.</w:t>
      </w:r>
    </w:p>
    <w:p>
      <w:pPr>
        <w:spacing w:after="0" w:line="15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(9) Peruvian Government and Economy</w:t>
      </w:r>
    </w:p>
    <w:p>
      <w:pPr>
        <w:spacing w:after="0" w:line="231" w:lineRule="exact"/>
        <w:rPr>
          <w:sz w:val="20"/>
          <w:szCs w:val="20"/>
          <w:color w:val="auto"/>
        </w:rPr>
      </w:pPr>
    </w:p>
    <w:p>
      <w:pPr>
        <w:jc w:val="both"/>
        <w:ind w:firstLine="284"/>
        <w:spacing w:after="0" w:line="291" w:lineRule="auto"/>
        <w:rPr>
          <w:sz w:val="20"/>
          <w:szCs w:val="20"/>
          <w:color w:val="auto"/>
        </w:rPr>
      </w:pPr>
      <w:r>
        <w:rPr>
          <w:rFonts w:ascii="Arial" w:cs="Arial" w:eastAsia="Arial" w:hAnsi="Arial"/>
          <w:sz w:val="16"/>
          <w:szCs w:val="16"/>
          <w:color w:val="auto"/>
        </w:rPr>
        <w:t>While Credicorp is incorporated in Bermuda, substantially all of BCP’s and PPS’s operations and customers are located in Perú. Although ASHC is based outside of Perú, a substantial number of its customers are also located in Perú. Accordingly, the results of operations and financial condition of Credicorp could be affected by changes in economic or other policies of the Peruvian government (which has exercised and continues to exercise a substantial influence over many aspects of the private sector) or other political or economic developments in Perú, including a devaluation of the Nuevo Sol relative to the U.S. Dollar or the imposition of exchange controls by the Peruvian government. See “Item 10. Additional Information—(D) Exchange Controls.” Credicorp’s results of operations and financial condition are dependent on the level of economic activity in Perú.</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 Peruvian Government</w:t>
      </w:r>
    </w:p>
    <w:p>
      <w:pPr>
        <w:spacing w:after="0" w:line="225" w:lineRule="exact"/>
        <w:rPr>
          <w:sz w:val="20"/>
          <w:szCs w:val="20"/>
          <w:color w:val="auto"/>
        </w:rPr>
      </w:pPr>
    </w:p>
    <w:p>
      <w:pPr>
        <w:jc w:val="both"/>
        <w:ind w:firstLine="238"/>
        <w:spacing w:after="0" w:line="291" w:lineRule="auto"/>
        <w:rPr>
          <w:sz w:val="20"/>
          <w:szCs w:val="20"/>
          <w:color w:val="auto"/>
        </w:rPr>
      </w:pPr>
      <w:r>
        <w:rPr>
          <w:rFonts w:ascii="Arial" w:cs="Arial" w:eastAsia="Arial" w:hAnsi="Arial"/>
          <w:sz w:val="16"/>
          <w:szCs w:val="16"/>
          <w:color w:val="auto"/>
        </w:rPr>
        <w:t xml:space="preserve">During the past several decades, Perú has had a history of political instability that has included military </w:t>
      </w:r>
      <w:r>
        <w:rPr>
          <w:rFonts w:ascii="Arial" w:cs="Arial" w:eastAsia="Arial" w:hAnsi="Arial"/>
          <w:sz w:val="16"/>
          <w:szCs w:val="16"/>
          <w:i w:val="1"/>
          <w:iCs w:val="1"/>
          <w:color w:val="auto"/>
        </w:rPr>
        <w:t>coups d’état</w:t>
      </w:r>
      <w:r>
        <w:rPr>
          <w:rFonts w:ascii="Arial" w:cs="Arial" w:eastAsia="Arial" w:hAnsi="Arial"/>
          <w:sz w:val="16"/>
          <w:szCs w:val="16"/>
          <w:color w:val="auto"/>
        </w:rPr>
        <w:t xml:space="preserve"> and different governmental regimes. Past governments have frequently intervened in the nation’s economy and social structure. Among other things, past governments have imposed controls on prices, exchange rates, local and foreign investment, and international trade; have restricted the ability of companies to dismiss employees; and have expropriated private sector assets. In 1987, the administration of President Alan García attempted to nationalize the banking system. Facing an attempt by the state to control BCP, the majority shareholders of BCP at that time sold a controlling interest in BCP to its employees, which prevented the government from gaining control of BCP. See “—(C) Organizational Structure.”</w:t>
      </w:r>
    </w:p>
    <w:p>
      <w:pPr>
        <w:spacing w:after="0" w:line="174" w:lineRule="exact"/>
        <w:rPr>
          <w:sz w:val="20"/>
          <w:szCs w:val="20"/>
          <w:color w:val="auto"/>
        </w:rPr>
      </w:pPr>
    </w:p>
    <w:p>
      <w:pPr>
        <w:jc w:val="both"/>
        <w:ind w:firstLine="279"/>
        <w:spacing w:after="0" w:line="298" w:lineRule="auto"/>
        <w:rPr>
          <w:sz w:val="20"/>
          <w:szCs w:val="20"/>
          <w:color w:val="auto"/>
        </w:rPr>
      </w:pPr>
      <w:r>
        <w:rPr>
          <w:rFonts w:ascii="Arial" w:cs="Arial" w:eastAsia="Arial" w:hAnsi="Arial"/>
          <w:sz w:val="16"/>
          <w:szCs w:val="16"/>
          <w:color w:val="auto"/>
        </w:rPr>
        <w:t xml:space="preserve">In the past, Perú experienced significant levels of terrorist activity, with </w:t>
      </w:r>
      <w:r>
        <w:rPr>
          <w:rFonts w:ascii="Arial" w:cs="Arial" w:eastAsia="Arial" w:hAnsi="Arial"/>
          <w:sz w:val="16"/>
          <w:szCs w:val="16"/>
          <w:i w:val="1"/>
          <w:iCs w:val="1"/>
          <w:color w:val="auto"/>
        </w:rPr>
        <w:t>Sendero Luminoso</w:t>
      </w:r>
      <w:r>
        <w:rPr>
          <w:rFonts w:ascii="Arial" w:cs="Arial" w:eastAsia="Arial" w:hAnsi="Arial"/>
          <w:sz w:val="16"/>
          <w:szCs w:val="16"/>
          <w:color w:val="auto"/>
        </w:rPr>
        <w:t xml:space="preserve"> (the “Shining Path”) and the </w:t>
      </w:r>
      <w:r>
        <w:rPr>
          <w:rFonts w:ascii="Arial" w:cs="Arial" w:eastAsia="Arial" w:hAnsi="Arial"/>
          <w:sz w:val="16"/>
          <w:szCs w:val="16"/>
          <w:i w:val="1"/>
          <w:iCs w:val="1"/>
          <w:color w:val="auto"/>
        </w:rPr>
        <w:t>Movimiento Revolucionario Tupac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Amaru </w:t>
      </w:r>
      <w:r>
        <w:rPr>
          <w:rFonts w:ascii="Arial" w:cs="Arial" w:eastAsia="Arial" w:hAnsi="Arial"/>
          <w:sz w:val="16"/>
          <w:szCs w:val="16"/>
          <w:color w:val="auto"/>
        </w:rPr>
        <w:t>(the “MRTA”) having escalated their acts of violence against the government and the private sector in the late 1980s and early 1990s. Upon being elected</w:t>
      </w:r>
      <w:r>
        <w:rPr>
          <w:rFonts w:ascii="Arial" w:cs="Arial" w:eastAsia="Arial" w:hAnsi="Arial"/>
          <w:sz w:val="16"/>
          <w:szCs w:val="16"/>
          <w:i w:val="1"/>
          <w:iCs w:val="1"/>
          <w:color w:val="auto"/>
        </w:rPr>
        <w:t xml:space="preserve"> </w:t>
      </w:r>
      <w:r>
        <w:rPr>
          <w:rFonts w:ascii="Arial" w:cs="Arial" w:eastAsia="Arial" w:hAnsi="Arial"/>
          <w:sz w:val="16"/>
          <w:szCs w:val="16"/>
          <w:color w:val="auto"/>
        </w:rPr>
        <w:t>to office in 1990, President Alberto Fujimori’s government made substantial progress in suppressing Shining Path and MRTA terrorist activity, including the arrest of the leader and the principal second level of leadership in each terrorist group and approximately 2,000 others. In addition,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31" w:right="239" w:bottom="1440" w:gutter="0" w:footer="0" w:header="0"/>
        </w:sectPr>
      </w:pPr>
    </w:p>
    <w:bookmarkStart w:id="42" w:name="page43"/>
    <w:bookmarkEnd w:id="42"/>
    <w:p>
      <w:pPr>
        <w:jc w:val="both"/>
        <w:spacing w:after="0" w:line="332" w:lineRule="auto"/>
        <w:rPr>
          <w:sz w:val="20"/>
          <w:szCs w:val="20"/>
          <w:color w:val="auto"/>
        </w:rPr>
      </w:pPr>
      <w:r>
        <w:rPr>
          <w:rFonts w:ascii="Arial" w:cs="Arial" w:eastAsia="Arial" w:hAnsi="Arial"/>
          <w:sz w:val="16"/>
          <w:szCs w:val="16"/>
          <w:color w:val="auto"/>
        </w:rPr>
        <w:t>approximately 3,000 additional persons surrendered to and aided the government under an amnesty law. Despite the success achieved, some isolated incidents of terrorist activity continue to occur, such as the seizure in December 1996 by the MRTA of the Japanese ambassador’s residence in Lima.</w:t>
      </w:r>
    </w:p>
    <w:p>
      <w:pPr>
        <w:spacing w:after="0" w:line="139" w:lineRule="exact"/>
        <w:rPr>
          <w:sz w:val="20"/>
          <w:szCs w:val="20"/>
          <w:color w:val="auto"/>
        </w:rPr>
      </w:pPr>
    </w:p>
    <w:p>
      <w:pPr>
        <w:jc w:val="both"/>
        <w:ind w:firstLine="232"/>
        <w:spacing w:after="0" w:line="290" w:lineRule="auto"/>
        <w:rPr>
          <w:sz w:val="20"/>
          <w:szCs w:val="20"/>
          <w:color w:val="auto"/>
        </w:rPr>
      </w:pPr>
      <w:r>
        <w:rPr>
          <w:rFonts w:ascii="Arial" w:cs="Arial" w:eastAsia="Arial" w:hAnsi="Arial"/>
          <w:sz w:val="16"/>
          <w:szCs w:val="16"/>
          <w:color w:val="auto"/>
        </w:rPr>
        <w:t>Over the course of his government, President Fujimori implemented a broad-based reform of Perú’s political system, economy and social conditions, aimed at stabilizing the economy, reducing bureaucracy, eradicating corruption and bribery in the judicial system, promoting private investment, developing and strengthening free markets, strengthening education, health, housing and infrastructure and suppressing terrorism. In 2000, President Fujimori won a third five-year term in a controversial two round election. In the April 2000 presidential election, Fujimori’s 49.9% victory was short of gaining a first round majority vote, forcing a second round election in May which was boycotted by the opposition candidate. After taking office for his third term in July 2000 under extreme protest, President Fujimori was forced to call for general elections due to the outbreak of corruption scandals, and later resigned in favor of a transitory government headed by the president of Congress, Valentín Paniagua.</w:t>
      </w:r>
    </w:p>
    <w:p>
      <w:pPr>
        <w:spacing w:after="0" w:line="172" w:lineRule="exact"/>
        <w:rPr>
          <w:sz w:val="20"/>
          <w:szCs w:val="20"/>
          <w:color w:val="auto"/>
        </w:rPr>
      </w:pPr>
    </w:p>
    <w:p>
      <w:pPr>
        <w:jc w:val="both"/>
        <w:ind w:firstLine="298"/>
        <w:spacing w:after="0" w:line="256" w:lineRule="auto"/>
        <w:rPr>
          <w:sz w:val="20"/>
          <w:szCs w:val="20"/>
          <w:color w:val="auto"/>
        </w:rPr>
      </w:pPr>
      <w:r>
        <w:rPr>
          <w:rFonts w:ascii="Arial" w:cs="Arial" w:eastAsia="Arial" w:hAnsi="Arial"/>
          <w:sz w:val="18"/>
          <w:szCs w:val="18"/>
          <w:color w:val="auto"/>
        </w:rPr>
        <w:t>Mr. Paniagua took office in November 2000 and in July 2001 handed over the presidency to Alejandro Toledo, the winner of the elections decided in the second round held on June 3, 2001, ending two years of political turmoil. However, return of investor and consumer confidence has been slow after the prolonged recession and there are lingering doubts about whether the government of President Toledo will be able to achieve the consensus needed to govern and promote sustained growth.</w:t>
      </w:r>
    </w:p>
    <w:p>
      <w:pPr>
        <w:spacing w:after="0" w:line="197" w:lineRule="exact"/>
        <w:rPr>
          <w:sz w:val="20"/>
          <w:szCs w:val="20"/>
          <w:color w:val="auto"/>
        </w:rPr>
      </w:pPr>
    </w:p>
    <w:p>
      <w:pPr>
        <w:jc w:val="both"/>
        <w:ind w:firstLine="246"/>
        <w:spacing w:after="0" w:line="256" w:lineRule="auto"/>
        <w:rPr>
          <w:sz w:val="20"/>
          <w:szCs w:val="20"/>
          <w:color w:val="auto"/>
        </w:rPr>
      </w:pPr>
      <w:r>
        <w:rPr>
          <w:rFonts w:ascii="Arial" w:cs="Arial" w:eastAsia="Arial" w:hAnsi="Arial"/>
          <w:sz w:val="18"/>
          <w:szCs w:val="18"/>
          <w:color w:val="auto"/>
        </w:rPr>
        <w:t>Toledo assumed the presidency against a backdrop of high unemployment and underemployment, economic recession and social need. Despite the economic strides achieved between 1990 and 2000, poverty remains a persistent problem in Perú, with more than half of the population living below the poverty line, which the World Bank defines as monthly income of less than US$60 per capita, adjusted to reflect differences in purchasing power. A significant number of Peruvians live on an income of less than US$30 per capita per month.</w:t>
      </w:r>
    </w:p>
    <w:p>
      <w:pPr>
        <w:spacing w:after="0" w:line="197" w:lineRule="exact"/>
        <w:rPr>
          <w:sz w:val="20"/>
          <w:szCs w:val="20"/>
          <w:color w:val="auto"/>
        </w:rPr>
      </w:pPr>
    </w:p>
    <w:p>
      <w:pPr>
        <w:jc w:val="both"/>
        <w:ind w:firstLine="290"/>
        <w:spacing w:after="0" w:line="291" w:lineRule="auto"/>
        <w:rPr>
          <w:sz w:val="20"/>
          <w:szCs w:val="20"/>
          <w:color w:val="auto"/>
        </w:rPr>
      </w:pPr>
      <w:r>
        <w:rPr>
          <w:rFonts w:ascii="Arial" w:cs="Arial" w:eastAsia="Arial" w:hAnsi="Arial"/>
          <w:sz w:val="16"/>
          <w:szCs w:val="16"/>
          <w:color w:val="auto"/>
        </w:rPr>
        <w:t>President Toledo has retained, for the most part, the economic policies of the previous government, focusing on promoting private investment, eliminating certain tax exemptions, reducing underemployment and unemployment and privatizing state-owned companies in various sectors. President Toledo also implemented fiscal austerity programs, among other proposals, in order to stimulate the economy. Perú has experienced moderate economic growth during the Toledo administration. Nevertheless, the Toledo administration faces public unrest spurred by disappointment that its policies have not immediately led to a significant reduction in the high rates of unemployment, underemployment and poverty. President Toledo has restructured his cabinet on various occasions in 2002 and 2003 in an effort to maintain his political alliances and quell public unrest.</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(ii) Peruvian Economy</w:t>
      </w:r>
    </w:p>
    <w:p>
      <w:pPr>
        <w:spacing w:after="0" w:line="225" w:lineRule="exact"/>
        <w:rPr>
          <w:sz w:val="20"/>
          <w:szCs w:val="20"/>
          <w:color w:val="auto"/>
        </w:rPr>
      </w:pPr>
    </w:p>
    <w:p>
      <w:pPr>
        <w:jc w:val="both"/>
        <w:ind w:firstLine="210"/>
        <w:spacing w:after="0" w:line="298" w:lineRule="auto"/>
        <w:rPr>
          <w:sz w:val="20"/>
          <w:szCs w:val="20"/>
          <w:color w:val="auto"/>
        </w:rPr>
      </w:pPr>
      <w:r>
        <w:rPr>
          <w:rFonts w:ascii="Arial" w:cs="Arial" w:eastAsia="Arial" w:hAnsi="Arial"/>
          <w:sz w:val="16"/>
          <w:szCs w:val="16"/>
          <w:color w:val="auto"/>
        </w:rPr>
        <w:t>At the beginning of the 1990s, President Fujimori liberalized price and wage controls in the private sector, eliminated all restrictions on capital flows, instituted emergency taxes to reduce the fiscal deficit, and liberalized interest rates. Furthermore, his government established an agenda to institute a wide-ranging privatization plan and re-establish relations with the international financial community. President Toledo has continued these market-oriented policies but, facing opposition from a fragmented Congress and social pressures from unions and regional movements, he has passed some interventionist measures.</w:t>
      </w:r>
    </w:p>
    <w:p>
      <w:pPr>
        <w:spacing w:after="0" w:line="167" w:lineRule="exact"/>
        <w:rPr>
          <w:sz w:val="20"/>
          <w:szCs w:val="20"/>
          <w:color w:val="auto"/>
        </w:rPr>
      </w:pPr>
    </w:p>
    <w:p>
      <w:pPr>
        <w:jc w:val="both"/>
        <w:ind w:firstLine="227"/>
        <w:spacing w:after="0" w:line="332" w:lineRule="auto"/>
        <w:rPr>
          <w:sz w:val="20"/>
          <w:szCs w:val="20"/>
          <w:color w:val="auto"/>
        </w:rPr>
      </w:pPr>
      <w:r>
        <w:rPr>
          <w:rFonts w:ascii="Arial" w:cs="Arial" w:eastAsia="Arial" w:hAnsi="Arial"/>
          <w:sz w:val="16"/>
          <w:szCs w:val="16"/>
          <w:color w:val="auto"/>
        </w:rPr>
        <w:t>In the late 1980s and early 1990s, the Peruvian economy was volatile, with the country’s GDP contracting by 11.7% in 1989 and by 5.2% in 1990, growing by 2.2% in 1991, and contracting by 0.4% in 1992. The results of stabilization plans resulted in GDP increasing 4.8% in 1993, 12.8% in 1994, 8.6% in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31" w:right="239" w:bottom="1440" w:gutter="0" w:footer="0" w:header="0"/>
        </w:sectPr>
      </w:pPr>
    </w:p>
    <w:bookmarkStart w:id="43" w:name="page44"/>
    <w:bookmarkEnd w:id="43"/>
    <w:p>
      <w:pPr>
        <w:jc w:val="both"/>
        <w:spacing w:after="0" w:line="256" w:lineRule="auto"/>
        <w:rPr>
          <w:sz w:val="20"/>
          <w:szCs w:val="20"/>
          <w:color w:val="auto"/>
        </w:rPr>
      </w:pPr>
      <w:r>
        <w:rPr>
          <w:rFonts w:ascii="Arial" w:cs="Arial" w:eastAsia="Arial" w:hAnsi="Arial"/>
          <w:sz w:val="18"/>
          <w:szCs w:val="18"/>
          <w:color w:val="auto"/>
        </w:rPr>
        <w:t>1995, 2.5% in 1996, 6.7% in 1997. The “El Niño” and other adverse economic conditions led to a drop of -0.5% in 1998, but recovered 0.9% in 1999, 3.1% in 2000, 0.3% in 2001, 4.9% in 2002, and by 4.0% in 2003. It should be noted that GDP growth figures for some years were revised downwards by the national statistical institute, the INEI, in 2000, which recalculated Perú’s GDP in 1999 at around $52 billion using a 1994 base year, some 10% below the previous estimate based on 1979 figures.</w:t>
      </w:r>
    </w:p>
    <w:p>
      <w:pPr>
        <w:spacing w:after="0" w:line="197" w:lineRule="exact"/>
        <w:rPr>
          <w:sz w:val="20"/>
          <w:szCs w:val="20"/>
          <w:color w:val="auto"/>
        </w:rPr>
      </w:pPr>
    </w:p>
    <w:p>
      <w:pPr>
        <w:jc w:val="both"/>
        <w:ind w:firstLine="220"/>
        <w:spacing w:after="0" w:line="255" w:lineRule="auto"/>
        <w:rPr>
          <w:sz w:val="20"/>
          <w:szCs w:val="20"/>
          <w:color w:val="auto"/>
        </w:rPr>
      </w:pPr>
      <w:r>
        <w:rPr>
          <w:rFonts w:ascii="Arial" w:cs="Arial" w:eastAsia="Arial" w:hAnsi="Arial"/>
          <w:sz w:val="18"/>
          <w:szCs w:val="18"/>
          <w:color w:val="auto"/>
        </w:rPr>
        <w:t>In 2003, the Peruvian economy grew by 4.0%. The economy benefited from increased international demand for exports, as well as growth in consumption, and in the construction and manufacturing sectors, which offset a drop in private investment. The continued growth in GDP since the second half of 2001 evidences the strength of Perú’s economy in the face of adverse external and internal factors. In 2002 and 2003, unlike other Latin American countries, Perú managed to resist the effects of on-going internal political unrest, the Argentine crisis, the climate of uncertainty that surrounded the presidential elections in Brazil and a greater reluctance among investors to take on risks in Latin America.</w:t>
      </w:r>
    </w:p>
    <w:p>
      <w:pPr>
        <w:spacing w:after="0" w:line="197" w:lineRule="exact"/>
        <w:rPr>
          <w:sz w:val="20"/>
          <w:szCs w:val="20"/>
          <w:color w:val="auto"/>
        </w:rPr>
      </w:pPr>
    </w:p>
    <w:p>
      <w:pPr>
        <w:jc w:val="both"/>
        <w:ind w:firstLine="265"/>
        <w:spacing w:after="0" w:line="298" w:lineRule="auto"/>
        <w:rPr>
          <w:sz w:val="20"/>
          <w:szCs w:val="20"/>
          <w:color w:val="auto"/>
        </w:rPr>
      </w:pPr>
      <w:r>
        <w:rPr>
          <w:rFonts w:ascii="Arial" w:cs="Arial" w:eastAsia="Arial" w:hAnsi="Arial"/>
          <w:sz w:val="16"/>
          <w:szCs w:val="16"/>
          <w:color w:val="auto"/>
        </w:rPr>
        <w:t>One of the principal factors that contributed to the improvement of economic expectations was the 17% increase in exports in 2003. In particular, there was higher foreign demand for minerals and raw materials and manufacturers benefited from the Andean Trade Promotion and Drug Eradication Act (“ATPDEA”) tariff preferences. However, production was uneven and sectors such as mining (particularly mining of precious metals), non-primary manufacturing and agriculture registered gains, while fishing and raw material-based manufacturing remained stagnant or registered only minimal growth.</w:t>
      </w:r>
    </w:p>
    <w:p>
      <w:pPr>
        <w:spacing w:after="0" w:line="167" w:lineRule="exact"/>
        <w:rPr>
          <w:sz w:val="20"/>
          <w:szCs w:val="20"/>
          <w:color w:val="auto"/>
        </w:rPr>
      </w:pPr>
    </w:p>
    <w:p>
      <w:pPr>
        <w:jc w:val="both"/>
        <w:ind w:firstLine="328"/>
        <w:spacing w:after="0" w:line="256" w:lineRule="auto"/>
        <w:rPr>
          <w:sz w:val="20"/>
          <w:szCs w:val="20"/>
          <w:color w:val="auto"/>
        </w:rPr>
      </w:pPr>
      <w:r>
        <w:rPr>
          <w:rFonts w:ascii="Arial" w:cs="Arial" w:eastAsia="Arial" w:hAnsi="Arial"/>
          <w:sz w:val="18"/>
          <w:szCs w:val="18"/>
          <w:color w:val="auto"/>
        </w:rPr>
        <w:t>The decision of the United States in August 2002 to renew and expand tax benefits through the ATPDEA for certain Latin American exports was very beneficial to the manufacturing sector because of its inclusion of Peruvian textiles. These incentives are expected to stimulate exports over the next two years. In May 2004, a free trade agreement began to be negotiated with the United States, together with Colombia and Ecuador, which is expected to extend the favorable tariff status beyond 2006.</w:t>
      </w:r>
    </w:p>
    <w:p>
      <w:pPr>
        <w:spacing w:after="0" w:line="197" w:lineRule="exact"/>
        <w:rPr>
          <w:sz w:val="20"/>
          <w:szCs w:val="20"/>
          <w:color w:val="auto"/>
        </w:rPr>
      </w:pPr>
    </w:p>
    <w:p>
      <w:pPr>
        <w:jc w:val="both"/>
        <w:ind w:firstLine="345"/>
        <w:spacing w:after="0" w:line="259" w:lineRule="auto"/>
        <w:rPr>
          <w:sz w:val="20"/>
          <w:szCs w:val="20"/>
          <w:color w:val="auto"/>
        </w:rPr>
      </w:pPr>
      <w:r>
        <w:rPr>
          <w:rFonts w:ascii="Arial" w:cs="Arial" w:eastAsia="Arial" w:hAnsi="Arial"/>
          <w:sz w:val="18"/>
          <w:szCs w:val="18"/>
          <w:color w:val="auto"/>
        </w:rPr>
        <w:t xml:space="preserve">The government-backed initiative to encourage mortgage loans and the construction of low-cost housing through the </w:t>
      </w:r>
      <w:r>
        <w:rPr>
          <w:rFonts w:ascii="Arial" w:cs="Arial" w:eastAsia="Arial" w:hAnsi="Arial"/>
          <w:sz w:val="18"/>
          <w:szCs w:val="18"/>
          <w:i w:val="1"/>
          <w:iCs w:val="1"/>
          <w:color w:val="auto"/>
        </w:rPr>
        <w:t>MiVivienda</w:t>
      </w:r>
      <w:r>
        <w:rPr>
          <w:rFonts w:ascii="Arial" w:cs="Arial" w:eastAsia="Arial" w:hAnsi="Arial"/>
          <w:sz w:val="18"/>
          <w:szCs w:val="18"/>
          <w:color w:val="auto"/>
        </w:rPr>
        <w:t xml:space="preserve"> program continued to stimulate significant volumes of construction in 2003, aiding expansion of mortgages. As part of the </w:t>
      </w:r>
      <w:r>
        <w:rPr>
          <w:rFonts w:ascii="Arial" w:cs="Arial" w:eastAsia="Arial" w:hAnsi="Arial"/>
          <w:sz w:val="18"/>
          <w:szCs w:val="18"/>
          <w:i w:val="1"/>
          <w:iCs w:val="1"/>
          <w:color w:val="auto"/>
        </w:rPr>
        <w:t>MiVivienda</w:t>
      </w:r>
      <w:r>
        <w:rPr>
          <w:rFonts w:ascii="Arial" w:cs="Arial" w:eastAsia="Arial" w:hAnsi="Arial"/>
          <w:sz w:val="18"/>
          <w:szCs w:val="18"/>
          <w:color w:val="auto"/>
        </w:rPr>
        <w:t xml:space="preserve"> program, US$134 million in loans were granted in 2003, compared to US$72 million in 2002, and US$25 million in 2001.</w:t>
      </w:r>
    </w:p>
    <w:p>
      <w:pPr>
        <w:spacing w:after="0" w:line="194" w:lineRule="exact"/>
        <w:rPr>
          <w:sz w:val="20"/>
          <w:szCs w:val="20"/>
          <w:color w:val="auto"/>
        </w:rPr>
      </w:pPr>
    </w:p>
    <w:p>
      <w:pPr>
        <w:jc w:val="both"/>
        <w:ind w:firstLine="224"/>
        <w:spacing w:after="0" w:line="298" w:lineRule="auto"/>
        <w:rPr>
          <w:sz w:val="20"/>
          <w:szCs w:val="20"/>
          <w:color w:val="auto"/>
        </w:rPr>
      </w:pPr>
      <w:r>
        <w:rPr>
          <w:rFonts w:ascii="Arial" w:cs="Arial" w:eastAsia="Arial" w:hAnsi="Arial"/>
          <w:sz w:val="16"/>
          <w:szCs w:val="16"/>
          <w:color w:val="auto"/>
        </w:rPr>
        <w:t>Perú has achieved a high economic growth rate despite difficulties in the domestic political arena. The privatization program, which had been expected to raise US$700 million during 2002, encountered problems in June 2002 with public protests against the sale of two electricity generating companies in the south of Perú. This caused the virtual suspension of the program, which obtained income of only US$355 million in 2002, and an almost negligible amount in 2003. The outlook for the sale of other assets remains uncertain, but the government is preparing to relaunch its concessions program in 2004.</w:t>
      </w:r>
    </w:p>
    <w:p>
      <w:pPr>
        <w:spacing w:after="0" w:line="167" w:lineRule="exact"/>
        <w:rPr>
          <w:sz w:val="20"/>
          <w:szCs w:val="20"/>
          <w:color w:val="auto"/>
        </w:rPr>
      </w:pPr>
    </w:p>
    <w:p>
      <w:pPr>
        <w:jc w:val="both"/>
        <w:ind w:firstLine="253"/>
        <w:spacing w:after="0" w:line="256" w:lineRule="auto"/>
        <w:rPr>
          <w:sz w:val="20"/>
          <w:szCs w:val="20"/>
          <w:color w:val="auto"/>
        </w:rPr>
      </w:pPr>
      <w:r>
        <w:rPr>
          <w:rFonts w:ascii="Arial" w:cs="Arial" w:eastAsia="Arial" w:hAnsi="Arial"/>
          <w:sz w:val="18"/>
          <w:szCs w:val="18"/>
          <w:color w:val="auto"/>
        </w:rPr>
        <w:t>Perú’s trade deficit decreased from US$0.6 billion in 1999 to US$0.3 billion in 2000 and US$90,000 in 2001. Perú registered a US$210,000 surplus in 2002 and a US$710,000 surplus in 2003, principally due to continued exports growth. Exports climbed to US$9.0 billion in 2003, 17.1% higher than the US$7.6 billion registered in 2002, driven by the greater volume of traditional exports, in particular minerals. Imports rose to US$8.2 billion, with increases mainly in raw materials and capital goods.</w:t>
      </w:r>
    </w:p>
    <w:p>
      <w:pPr>
        <w:spacing w:after="0" w:line="197" w:lineRule="exact"/>
        <w:rPr>
          <w:sz w:val="20"/>
          <w:szCs w:val="20"/>
          <w:color w:val="auto"/>
        </w:rPr>
      </w:pPr>
    </w:p>
    <w:p>
      <w:pPr>
        <w:jc w:val="both"/>
        <w:ind w:firstLine="265"/>
        <w:spacing w:after="0" w:line="259" w:lineRule="auto"/>
        <w:rPr>
          <w:sz w:val="20"/>
          <w:szCs w:val="20"/>
          <w:color w:val="auto"/>
        </w:rPr>
      </w:pPr>
      <w:r>
        <w:rPr>
          <w:rFonts w:ascii="Arial" w:cs="Arial" w:eastAsia="Arial" w:hAnsi="Arial"/>
          <w:sz w:val="18"/>
          <w:szCs w:val="18"/>
          <w:color w:val="auto"/>
        </w:rPr>
        <w:t>Perú registered a current account deficit of US$1.8 billion in 1999, which decreased to US$1.6 billion in 2000, and further to US$1.2 billion in 2001 and in 2002, and to US$1.1 billion in 2003. Perú’s financial account had a surplus of US$1.1 billion in 1999 and 2000, declined to US$1.0 billion in 2001, grew to US$1.8 billion in 2002 as a result of increased public sector capital inflows, and remained at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31" w:right="239" w:bottom="1440" w:gutter="0" w:footer="0" w:header="0"/>
        </w:sectPr>
      </w:pPr>
    </w:p>
    <w:bookmarkStart w:id="44" w:name="page45"/>
    <w:bookmarkEnd w:id="44"/>
    <w:p>
      <w:pPr>
        <w:jc w:val="both"/>
        <w:spacing w:after="0" w:line="268" w:lineRule="auto"/>
        <w:rPr>
          <w:sz w:val="20"/>
          <w:szCs w:val="20"/>
          <w:color w:val="auto"/>
        </w:rPr>
      </w:pPr>
      <w:r>
        <w:rPr>
          <w:rFonts w:ascii="Arial" w:cs="Arial" w:eastAsia="Arial" w:hAnsi="Arial"/>
          <w:sz w:val="18"/>
          <w:szCs w:val="18"/>
          <w:color w:val="auto"/>
        </w:rPr>
        <w:t>US$1.8 billion in 2003. The flow of direct foreign investment into Perú was US$433 million in 2000, US$803 million in 2001, US$2.2 billion in 2002 and US$1.3 billion in 2003.</w:t>
      </w:r>
    </w:p>
    <w:p>
      <w:pPr>
        <w:spacing w:after="0" w:line="186" w:lineRule="exact"/>
        <w:rPr>
          <w:sz w:val="20"/>
          <w:szCs w:val="20"/>
          <w:color w:val="auto"/>
        </w:rPr>
      </w:pPr>
    </w:p>
    <w:p>
      <w:pPr>
        <w:jc w:val="both"/>
        <w:ind w:firstLine="280"/>
        <w:spacing w:after="0" w:line="259" w:lineRule="auto"/>
        <w:rPr>
          <w:sz w:val="20"/>
          <w:szCs w:val="20"/>
          <w:color w:val="auto"/>
        </w:rPr>
      </w:pPr>
      <w:r>
        <w:rPr>
          <w:rFonts w:ascii="Arial" w:cs="Arial" w:eastAsia="Arial" w:hAnsi="Arial"/>
          <w:sz w:val="18"/>
          <w:szCs w:val="18"/>
          <w:color w:val="auto"/>
        </w:rPr>
        <w:t>The inflation rate in Perú, as measured by the Lima consumer price index, has fallen from 7,650.0% in 1990 to 139.2% in 1991, 56.7% in 1992, 39.5% in 1993, 15.4% in 1994, 10.2% in 1995, 11.8% in 1996, 6.5% in 1997, 6.0% in 1998, and 3.7% in both 1999 and 2000, turning into deflation of 0.1% in 2001, and back to inflation of 1.5% in 2002 and 2.5% in 2003.</w:t>
      </w:r>
    </w:p>
    <w:p>
      <w:pPr>
        <w:spacing w:after="0" w:line="194" w:lineRule="exact"/>
        <w:rPr>
          <w:sz w:val="20"/>
          <w:szCs w:val="20"/>
          <w:color w:val="auto"/>
        </w:rPr>
      </w:pPr>
    </w:p>
    <w:p>
      <w:pPr>
        <w:jc w:val="both"/>
        <w:ind w:firstLine="321"/>
        <w:spacing w:after="0" w:line="259" w:lineRule="auto"/>
        <w:rPr>
          <w:sz w:val="20"/>
          <w:szCs w:val="20"/>
          <w:color w:val="auto"/>
        </w:rPr>
      </w:pPr>
      <w:r>
        <w:rPr>
          <w:rFonts w:ascii="Arial" w:cs="Arial" w:eastAsia="Arial" w:hAnsi="Arial"/>
          <w:sz w:val="18"/>
          <w:szCs w:val="18"/>
          <w:color w:val="auto"/>
        </w:rPr>
        <w:t>The average bank market exchange rate for Nuevos Soles in Perú was S/.3.463 per US$1.00 at December 31, 2003, a 1.5% decrease from S/.3.514 per US$1.00 as of December 31, 2002. The strengthening of the Nuevo Sol relative to the U.S. Dollar was consistent with the pattern for other Latin American currencies, which resulted from higher exports and the weakening of the U.S. Dollar.</w:t>
      </w:r>
    </w:p>
    <w:p>
      <w:pPr>
        <w:spacing w:after="0" w:line="194" w:lineRule="exact"/>
        <w:rPr>
          <w:sz w:val="20"/>
          <w:szCs w:val="20"/>
          <w:color w:val="auto"/>
        </w:rPr>
      </w:pPr>
    </w:p>
    <w:p>
      <w:pPr>
        <w:jc w:val="both"/>
        <w:ind w:firstLine="265"/>
        <w:spacing w:after="0" w:line="256" w:lineRule="auto"/>
        <w:rPr>
          <w:sz w:val="20"/>
          <w:szCs w:val="20"/>
          <w:color w:val="auto"/>
        </w:rPr>
      </w:pPr>
      <w:r>
        <w:rPr>
          <w:rFonts w:ascii="Arial" w:cs="Arial" w:eastAsia="Arial" w:hAnsi="Arial"/>
          <w:sz w:val="18"/>
          <w:szCs w:val="18"/>
          <w:color w:val="auto"/>
        </w:rPr>
        <w:t>Interest rates have behaved erratically since 1995 but fell gradually over this period until September 1998, at which point the trend reversed due to liquidity constraints brought on by the international financial crisis. The nominal monthly interest rate on loans in Nuevos Soles was 37.1% in December 1998, decreasing to 32.0% in December 1999, to 26.5% in December 2000, to 23.0% in December 2001, to 20.7% in December 2002, before increasing to 22.3% in December 2003.</w:t>
      </w:r>
    </w:p>
    <w:p>
      <w:pPr>
        <w:spacing w:after="0" w:line="197" w:lineRule="exact"/>
        <w:rPr>
          <w:sz w:val="20"/>
          <w:szCs w:val="20"/>
          <w:color w:val="auto"/>
        </w:rPr>
      </w:pPr>
    </w:p>
    <w:p>
      <w:pPr>
        <w:jc w:val="both"/>
        <w:ind w:firstLine="228"/>
        <w:spacing w:after="0" w:line="254" w:lineRule="auto"/>
        <w:rPr>
          <w:sz w:val="20"/>
          <w:szCs w:val="20"/>
          <w:color w:val="auto"/>
        </w:rPr>
      </w:pPr>
      <w:r>
        <w:rPr>
          <w:rFonts w:ascii="Arial" w:cs="Arial" w:eastAsia="Arial" w:hAnsi="Arial"/>
          <w:sz w:val="18"/>
          <w:szCs w:val="18"/>
          <w:color w:val="auto"/>
        </w:rPr>
        <w:t>Perú’s recent economic reforms have also caused an increase in the fiscal deficit. Perú had a deficit of 3.1% in 1999 and 3.2% in 2000. The deficit declined to 2.5% in 2001, principally due to lower public investment, declined again to 2.3% in 2002, in line with the goal agreed upon with the International Monetary Fund (the “IMF”), and continued to decline to 1.9% in 2003. In addition, efforts to increase tax revenues have been successful, with tax collections increasing from 6.7% of GDP in 1989 to 12.3% of GDP in 2001, 12.1% in 2002 and 12.9% in 2003. In order to meet fiscal needs, in 2003 Perú accessed the international capitals markets by closing three bond offerings for a total of US$1.25 billion. The February 2003 offering was the first such issue of Peruvian sovereign bonds in more than six decades.</w:t>
      </w:r>
    </w:p>
    <w:p>
      <w:pPr>
        <w:spacing w:after="0" w:line="198" w:lineRule="exact"/>
        <w:rPr>
          <w:sz w:val="20"/>
          <w:szCs w:val="20"/>
          <w:color w:val="auto"/>
        </w:rPr>
      </w:pPr>
    </w:p>
    <w:p>
      <w:pPr>
        <w:jc w:val="both"/>
        <w:ind w:firstLine="242"/>
        <w:spacing w:after="0" w:line="255" w:lineRule="auto"/>
        <w:rPr>
          <w:sz w:val="20"/>
          <w:szCs w:val="20"/>
          <w:color w:val="auto"/>
        </w:rPr>
      </w:pPr>
      <w:r>
        <w:rPr>
          <w:rFonts w:ascii="Arial" w:cs="Arial" w:eastAsia="Arial" w:hAnsi="Arial"/>
          <w:sz w:val="18"/>
          <w:szCs w:val="18"/>
          <w:color w:val="auto"/>
        </w:rPr>
        <w:t>In October 1995, Perú reached a preliminary Brady agreement with the Bank Advisory Committee representing commercial creditors holding Perú’s past due short, medium and long-term debt. The Peruvian government finalized the Brady agreement in March 1997, achieving a reduction of Perú’s external debt (approximately US$4.9 billion) and a restructuring of future maturities. Additionally, in July 1996 Perú reached an agreement with the Paris Club countries, resulting in the rescheduling of 1996-1998 maturities. High loan principal amortizations due in 2004 and 2005 are expected to be subject to an additional operation to reduce cash requirements in these years.</w:t>
      </w:r>
    </w:p>
    <w:p>
      <w:pPr>
        <w:spacing w:after="0" w:line="197" w:lineRule="exact"/>
        <w:rPr>
          <w:sz w:val="20"/>
          <w:szCs w:val="20"/>
          <w:color w:val="auto"/>
        </w:rPr>
      </w:pPr>
    </w:p>
    <w:p>
      <w:pPr>
        <w:jc w:val="both"/>
        <w:ind w:firstLine="248"/>
        <w:spacing w:after="0" w:line="254" w:lineRule="auto"/>
        <w:rPr>
          <w:sz w:val="20"/>
          <w:szCs w:val="20"/>
          <w:color w:val="auto"/>
        </w:rPr>
      </w:pPr>
      <w:r>
        <w:rPr>
          <w:rFonts w:ascii="Arial" w:cs="Arial" w:eastAsia="Arial" w:hAnsi="Arial"/>
          <w:sz w:val="18"/>
          <w:szCs w:val="18"/>
          <w:color w:val="auto"/>
        </w:rPr>
        <w:t>In 1999, Perú signed a three-year extended fund facility accord with the IMF, the third consecutive IMF program it has followed, giving the country a stable framework for macroeconomic planning. However, the fall in tax revenue and increased spending in 1999 caused Perú to fail to fulfill the fiscal goal agreed upon with the IMF of a primary fiscal surplus of 0.5%, which is the public sector’s result before capital costs or gains, debt servicing and privatization income. In fact, Perú reported a primary sector deficit of 0.1% in 1999 and of 0.2% in 2000. Perú renegotiated economic targets of its 2000 three-year program, and the IMF approved a new one-year program in March 2001, a second agreement in February 2002 and a follow-up accord in March 2003 with a 1.9% fiscal deficit target for 2003, which was achieved.</w:t>
      </w:r>
    </w:p>
    <w:p>
      <w:pPr>
        <w:spacing w:after="0" w:line="198"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The current Stand-By Agreement was approved by the IMF on June 9, 2004, and covers years 2004 to 2006. The macro-economic framework of the agreement stresses the consolidation of recent year-on-year gains due to the low inflation rate and continued improvements in the public sector deficit, tax reform, current account deficit, level of foreign reserves, and other variables, in order to seek higher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31" w:right="239" w:bottom="1440" w:gutter="0" w:footer="0" w:header="0"/>
        </w:sectPr>
      </w:pPr>
    </w:p>
    <w:bookmarkStart w:id="45" w:name="page46"/>
    <w:bookmarkEnd w:id="45"/>
    <w:p>
      <w:pPr>
        <w:jc w:val="both"/>
        <w:spacing w:after="0" w:line="268" w:lineRule="auto"/>
        <w:rPr>
          <w:sz w:val="20"/>
          <w:szCs w:val="20"/>
          <w:color w:val="auto"/>
        </w:rPr>
      </w:pPr>
      <w:r>
        <w:rPr>
          <w:rFonts w:ascii="Arial" w:cs="Arial" w:eastAsia="Arial" w:hAnsi="Arial"/>
          <w:sz w:val="18"/>
          <w:szCs w:val="18"/>
          <w:color w:val="auto"/>
        </w:rPr>
        <w:t>GDP growth. The program focuses on, among other points, reducing the public sector deficit to 1.4% of GDP in 2004 and to 1% per year in each of 2005 and 2006, and on lowering the debt-to-GDP ratio from 47.5% in 2003 to 41.0% in 2006.</w:t>
      </w:r>
    </w:p>
    <w:p>
      <w:pPr>
        <w:spacing w:after="0" w:line="186" w:lineRule="exact"/>
        <w:rPr>
          <w:sz w:val="20"/>
          <w:szCs w:val="20"/>
          <w:color w:val="auto"/>
        </w:rPr>
      </w:pPr>
    </w:p>
    <w:p>
      <w:pPr>
        <w:jc w:val="both"/>
        <w:ind w:firstLine="304"/>
        <w:spacing w:after="0" w:line="294" w:lineRule="auto"/>
        <w:rPr>
          <w:sz w:val="20"/>
          <w:szCs w:val="20"/>
          <w:color w:val="auto"/>
        </w:rPr>
      </w:pPr>
      <w:r>
        <w:rPr>
          <w:rFonts w:ascii="Arial" w:cs="Arial" w:eastAsia="Arial" w:hAnsi="Arial"/>
          <w:sz w:val="16"/>
          <w:szCs w:val="16"/>
          <w:color w:val="auto"/>
        </w:rPr>
        <w:t>There can be no assurance that economic growth will be sustained in the future or that inflation (whether as a result of an “overheating” of the Peruvian economy, whose foreign trade deficit continues to increase, or otherwise) in Perú will not increase. Such events may have an adverse effect on the business, financial condition, results of operations and prospects of Credicorp and adversely affect the market price of Credicorp’s Common Shares. In addition, deposits in the Peruvian financial system are currently much higher than in the late 1980’s when hyperinflation caused a lack of confidence in the financial system. A return to high levels of inflation could cause a lack of confidence in the financial system, resulting in widespread withdrawal of deposits.</w:t>
      </w:r>
    </w:p>
    <w:p>
      <w:pPr>
        <w:spacing w:after="0" w:line="170" w:lineRule="exact"/>
        <w:rPr>
          <w:sz w:val="20"/>
          <w:szCs w:val="20"/>
          <w:color w:val="auto"/>
        </w:rPr>
      </w:pPr>
    </w:p>
    <w:p>
      <w:pPr>
        <w:jc w:val="both"/>
        <w:ind w:firstLine="222"/>
        <w:spacing w:after="0" w:line="306" w:lineRule="auto"/>
        <w:rPr>
          <w:sz w:val="20"/>
          <w:szCs w:val="20"/>
          <w:color w:val="auto"/>
        </w:rPr>
      </w:pPr>
      <w:r>
        <w:rPr>
          <w:rFonts w:ascii="Arial" w:cs="Arial" w:eastAsia="Arial" w:hAnsi="Arial"/>
          <w:sz w:val="16"/>
          <w:szCs w:val="16"/>
          <w:color w:val="auto"/>
        </w:rPr>
        <w:t>Although BCP and PPS both earn much of their revenue in U.S. Dollars, if the rate of inflation exceeds the rate of devaluation of the Nuevo Sol relative to the U.S. Dollar, profitability will be negatively impacted because revenues, expressed in Nuevos Soles, generally will not increase in line with Nuevo Sol-denominated expenses. The results of both BCP and PPS were negatively impacted by this effect in 1994 and 1995.</w:t>
      </w:r>
    </w:p>
    <w:p>
      <w:pPr>
        <w:spacing w:after="0" w:line="15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(10) The Peruvian Financial System</w:t>
      </w:r>
    </w:p>
    <w:p>
      <w:pPr>
        <w:spacing w:after="0" w:line="231" w:lineRule="exact"/>
        <w:rPr>
          <w:sz w:val="20"/>
          <w:szCs w:val="20"/>
          <w:color w:val="auto"/>
        </w:rPr>
      </w:pPr>
    </w:p>
    <w:p>
      <w:pPr>
        <w:jc w:val="both"/>
        <w:ind w:firstLine="219"/>
        <w:spacing w:after="0" w:line="268" w:lineRule="auto"/>
        <w:rPr>
          <w:sz w:val="20"/>
          <w:szCs w:val="20"/>
          <w:color w:val="auto"/>
        </w:rPr>
      </w:pPr>
      <w:r>
        <w:rPr>
          <w:rFonts w:ascii="Arial" w:cs="Arial" w:eastAsia="Arial" w:hAnsi="Arial"/>
          <w:sz w:val="18"/>
          <w:szCs w:val="18"/>
          <w:color w:val="auto"/>
        </w:rPr>
        <w:t>As Credicorp’s activities are conducted primarily through banking and insurance subsidiaries operating in Perú, a summary of the Peruvian financial system is set forth below.</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 General</w:t>
      </w:r>
    </w:p>
    <w:p>
      <w:pPr>
        <w:spacing w:after="0" w:line="225" w:lineRule="exact"/>
        <w:rPr>
          <w:sz w:val="20"/>
          <w:szCs w:val="20"/>
          <w:color w:val="auto"/>
        </w:rPr>
      </w:pPr>
    </w:p>
    <w:p>
      <w:pPr>
        <w:jc w:val="both"/>
        <w:ind w:firstLine="218"/>
        <w:spacing w:after="0" w:line="306" w:lineRule="auto"/>
        <w:rPr>
          <w:sz w:val="20"/>
          <w:szCs w:val="20"/>
          <w:color w:val="auto"/>
        </w:rPr>
      </w:pPr>
      <w:r>
        <w:rPr>
          <w:rFonts w:ascii="Arial" w:cs="Arial" w:eastAsia="Arial" w:hAnsi="Arial"/>
          <w:sz w:val="16"/>
          <w:szCs w:val="16"/>
          <w:color w:val="auto"/>
        </w:rPr>
        <w:t>At December 31, 2003, the Peruvian financial system consisted of the following principal participants: the Central Bank, the SBS, 14 banking institutions (not including Banco de la Nación), four finance companies (including Solución), and six leasing companies. In addition, Perú has various mutual mortgage associations, municipal and rural savings and credit associations, municipal public credit associations, and savings and credit cooperatives.</w:t>
      </w:r>
    </w:p>
    <w:p>
      <w:pPr>
        <w:spacing w:after="0" w:line="161" w:lineRule="exact"/>
        <w:rPr>
          <w:sz w:val="20"/>
          <w:szCs w:val="20"/>
          <w:color w:val="auto"/>
        </w:rPr>
      </w:pPr>
    </w:p>
    <w:p>
      <w:pPr>
        <w:jc w:val="both"/>
        <w:ind w:firstLine="267"/>
        <w:spacing w:after="0" w:line="291" w:lineRule="auto"/>
        <w:rPr>
          <w:sz w:val="20"/>
          <w:szCs w:val="20"/>
          <w:color w:val="auto"/>
        </w:rPr>
      </w:pPr>
      <w:r>
        <w:rPr>
          <w:rFonts w:ascii="Arial" w:cs="Arial" w:eastAsia="Arial" w:hAnsi="Arial"/>
          <w:sz w:val="16"/>
          <w:szCs w:val="16"/>
          <w:color w:val="auto"/>
        </w:rPr>
        <w:t>The present text of Law 26702 was passed in December 1996. Law 26702 regulates Peruvian financial and insurance companies. In general, it provides for tighter loan loss reserve standards, brings asset risk weighting in line with Basel Committee on Banking Regulations and Supervisory Practices of International Settlements (the “Basel Accord”) guidelines, broadens supervision of financial institutions by the SBS to include holding companies, and includes specific treatment of a series of recently developed products in the capital markets and derivatives areas. The primary law governing the Peruvian financial system before the enactment of Law 26702 was Legislative Decree 637, passed in 1991 and amended by Legislative Decree 770, which substantially reformed the Peruvian financial system, modifying regulations initially issued in 1930.</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(ii) Central Bank</w:t>
      </w:r>
    </w:p>
    <w:p>
      <w:pPr>
        <w:spacing w:after="0" w:line="225" w:lineRule="exact"/>
        <w:rPr>
          <w:sz w:val="20"/>
          <w:szCs w:val="20"/>
          <w:color w:val="auto"/>
        </w:rPr>
      </w:pPr>
    </w:p>
    <w:p>
      <w:pPr>
        <w:jc w:val="both"/>
        <w:ind w:firstLine="244"/>
        <w:spacing w:after="0" w:line="256" w:lineRule="auto"/>
        <w:rPr>
          <w:sz w:val="20"/>
          <w:szCs w:val="20"/>
          <w:color w:val="auto"/>
        </w:rPr>
      </w:pPr>
      <w:r>
        <w:rPr>
          <w:rFonts w:ascii="Arial" w:cs="Arial" w:eastAsia="Arial" w:hAnsi="Arial"/>
          <w:sz w:val="18"/>
          <w:szCs w:val="18"/>
          <w:color w:val="auto"/>
        </w:rPr>
        <w:t>The Central Bank was created in 1931. Pursuant to the Peruvian Constitution, its primary role is to ensure the stability of the Peruvian monetary system. The Central Bank regulates Perú’s money supply, administers international reserves, issues currency, determines Perú’s balance of payments and other monetary accounts, and furnishes information regarding the country’s financial situation. It also represents the government of Perú before the IMF and the Latin American Reserve Fund.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31" w:right="239" w:bottom="1440" w:gutter="0" w:footer="0" w:header="0"/>
        </w:sectPr>
      </w:pPr>
    </w:p>
    <w:bookmarkStart w:id="46" w:name="page47"/>
    <w:bookmarkEnd w:id="46"/>
    <w:p>
      <w:pPr>
        <w:jc w:val="both"/>
        <w:ind w:firstLine="255"/>
        <w:spacing w:after="0" w:line="259" w:lineRule="auto"/>
        <w:rPr>
          <w:sz w:val="20"/>
          <w:szCs w:val="20"/>
          <w:color w:val="auto"/>
        </w:rPr>
      </w:pPr>
      <w:r>
        <w:rPr>
          <w:rFonts w:ascii="Arial" w:cs="Arial" w:eastAsia="Arial" w:hAnsi="Arial"/>
          <w:sz w:val="18"/>
          <w:szCs w:val="18"/>
          <w:color w:val="auto"/>
        </w:rPr>
        <w:t>The highest decision-making authority within the Central Bank is the seven member Board of Directors. Each Director serves a five-year term. Of the seven Directors, four are selected by the executive branch and three are selected by the Congress. The Chairman is one of the executive branch nominees, but must be approved by the Congress.</w:t>
      </w:r>
    </w:p>
    <w:p>
      <w:pPr>
        <w:spacing w:after="0" w:line="194" w:lineRule="exact"/>
        <w:rPr>
          <w:sz w:val="20"/>
          <w:szCs w:val="20"/>
          <w:color w:val="auto"/>
        </w:rPr>
      </w:pPr>
    </w:p>
    <w:p>
      <w:pPr>
        <w:jc w:val="both"/>
        <w:ind w:firstLine="351"/>
        <w:spacing w:after="0" w:line="332" w:lineRule="auto"/>
        <w:rPr>
          <w:sz w:val="20"/>
          <w:szCs w:val="20"/>
          <w:color w:val="auto"/>
        </w:rPr>
      </w:pPr>
      <w:r>
        <w:rPr>
          <w:rFonts w:ascii="Arial" w:cs="Arial" w:eastAsia="Arial" w:hAnsi="Arial"/>
          <w:sz w:val="16"/>
          <w:szCs w:val="16"/>
          <w:color w:val="auto"/>
        </w:rPr>
        <w:t>The Board of Directors develops and oversees monetary policy, establishes reserve requirements for entities within the financial system, and approves guidelines for the management of international reserves. All entities within the financial system are required to comply with the decisions of the Central Bank.</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(iii) SBS</w:t>
      </w:r>
    </w:p>
    <w:p>
      <w:pPr>
        <w:spacing w:after="0" w:line="225" w:lineRule="exact"/>
        <w:rPr>
          <w:sz w:val="20"/>
          <w:szCs w:val="20"/>
          <w:color w:val="auto"/>
        </w:rPr>
      </w:pPr>
    </w:p>
    <w:p>
      <w:pPr>
        <w:jc w:val="both"/>
        <w:ind w:firstLine="259"/>
        <w:spacing w:after="0" w:line="332" w:lineRule="auto"/>
        <w:rPr>
          <w:sz w:val="20"/>
          <w:szCs w:val="20"/>
          <w:color w:val="auto"/>
        </w:rPr>
      </w:pPr>
      <w:r>
        <w:rPr>
          <w:rFonts w:ascii="Arial" w:cs="Arial" w:eastAsia="Arial" w:hAnsi="Arial"/>
          <w:sz w:val="16"/>
          <w:szCs w:val="16"/>
          <w:color w:val="auto"/>
        </w:rPr>
        <w:t>The SBS, whose authority and activities are discussed in “—(11) Supervision and Regulation,” is the regulatory authority charged with implementation and enforcement of the norms contained in Law 26702 and, more generally, with the supervision and regulation of all financial institutions in Perú.</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(iv) Financial System Institutions</w:t>
      </w:r>
    </w:p>
    <w:p>
      <w:pPr>
        <w:spacing w:after="0" w:line="225" w:lineRule="exact"/>
        <w:rPr>
          <w:sz w:val="20"/>
          <w:szCs w:val="20"/>
          <w:color w:val="auto"/>
        </w:rPr>
      </w:pPr>
    </w:p>
    <w:p>
      <w:pPr>
        <w:jc w:val="both"/>
        <w:ind w:firstLine="301"/>
        <w:spacing w:after="0" w:line="268" w:lineRule="auto"/>
        <w:rPr>
          <w:sz w:val="20"/>
          <w:szCs w:val="20"/>
          <w:color w:val="auto"/>
        </w:rPr>
      </w:pPr>
      <w:r>
        <w:rPr>
          <w:rFonts w:ascii="Arial" w:cs="Arial" w:eastAsia="Arial" w:hAnsi="Arial"/>
          <w:sz w:val="18"/>
          <w:szCs w:val="18"/>
          <w:color w:val="auto"/>
        </w:rPr>
        <w:t>Under Peruvian law, financial system institutions are classified as banks, financing companies, other non-banking institutions, specialized companies, and investment banks. BCP is classified as a bank.</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Banks</w:t>
      </w:r>
    </w:p>
    <w:p>
      <w:pPr>
        <w:spacing w:after="0" w:line="225" w:lineRule="exact"/>
        <w:rPr>
          <w:sz w:val="20"/>
          <w:szCs w:val="20"/>
          <w:color w:val="auto"/>
        </w:rPr>
      </w:pPr>
    </w:p>
    <w:p>
      <w:pPr>
        <w:jc w:val="both"/>
        <w:ind w:firstLine="229"/>
        <w:spacing w:after="0" w:line="259" w:lineRule="auto"/>
        <w:rPr>
          <w:sz w:val="20"/>
          <w:szCs w:val="20"/>
          <w:color w:val="auto"/>
        </w:rPr>
      </w:pPr>
      <w:r>
        <w:rPr>
          <w:rFonts w:ascii="Arial" w:cs="Arial" w:eastAsia="Arial" w:hAnsi="Arial"/>
          <w:sz w:val="18"/>
          <w:szCs w:val="18"/>
          <w:color w:val="auto"/>
        </w:rPr>
        <w:t>A bank is defined by Law 26702 as an enterprise whose principal business consists of the receipt of monies from the public, whether in deposits or under any other contractual form, and the use of such monies (together with its own capital and funds obtained from other sources) to grant loans or discount documents, or in operations subject to market risks.</w:t>
      </w:r>
    </w:p>
    <w:p>
      <w:pPr>
        <w:spacing w:after="0" w:line="194" w:lineRule="exact"/>
        <w:rPr>
          <w:sz w:val="20"/>
          <w:szCs w:val="20"/>
          <w:color w:val="auto"/>
        </w:rPr>
      </w:pPr>
    </w:p>
    <w:p>
      <w:pPr>
        <w:jc w:val="both"/>
        <w:ind w:firstLine="249"/>
        <w:spacing w:after="0" w:line="286" w:lineRule="auto"/>
        <w:rPr>
          <w:sz w:val="20"/>
          <w:szCs w:val="20"/>
          <w:color w:val="auto"/>
        </w:rPr>
      </w:pPr>
      <w:r>
        <w:rPr>
          <w:rFonts w:ascii="Arial" w:cs="Arial" w:eastAsia="Arial" w:hAnsi="Arial"/>
          <w:sz w:val="16"/>
          <w:szCs w:val="16"/>
          <w:color w:val="auto"/>
        </w:rPr>
        <w:t>Banks are permitted to carry out various types of financial operations, including the following: (i) receiving demand deposits, time deposits, savings deposits and deposits in trust; (ii) granting direct loans; (iii) discounting or advancing funds against bills of exchange, promissory notes, and other credit instruments; (iv) granting mortgage loans and accepting bills of exchange in connection therewith; (v) granting conditional and unconditional guaranties; (vi) issuing, confirming, receiving and discounting letters of credit; (vii) acquiring and discounting certificates of deposit, warehouse receipts, bills of exchange and invoices of commercial transactions; (viii) performing credit operations with local and foreign banks, as well as making deposits in such institutions; (ix) issuing and placing local currency and foreign currency bonds, as well as promissory notes and negotiable certificates of deposits; (x) issuing certificates in foreign currency and entering into foreign exchange transactions; (xi) purchasing banks and non-Peruvian institutions which conduct financial intermediation or securities exchange transactions, in order to maintain an international presence; (xii) purchasing, holding and selling gold and silver as well as stocks and bonds listed on one of the Peruvian stock exchanges and issued by companies incorporated in Perú; (xiii) acting as financial agent for investments in Perú for external parties; (xiv) purchasing, holding and selling instruments evidencing public debt, whether internal or external, as well as obligations of the Central Bank; (xv) making collections, payments and transfers of funds; (xvi) receiving securities and other assets in trust and leasing safety deposit boxes; and (xvii) issuing and administering credit cards and accepting and performing trust functions.</w:t>
      </w:r>
    </w:p>
    <w:p>
      <w:pPr>
        <w:spacing w:after="0" w:line="178" w:lineRule="exact"/>
        <w:rPr>
          <w:sz w:val="20"/>
          <w:szCs w:val="20"/>
          <w:color w:val="auto"/>
        </w:rPr>
      </w:pPr>
    </w:p>
    <w:p>
      <w:pPr>
        <w:jc w:val="both"/>
        <w:ind w:right="20" w:firstLine="258"/>
        <w:spacing w:after="0" w:line="332" w:lineRule="auto"/>
        <w:rPr>
          <w:sz w:val="20"/>
          <w:szCs w:val="20"/>
          <w:color w:val="auto"/>
        </w:rPr>
      </w:pPr>
      <w:r>
        <w:rPr>
          <w:rFonts w:ascii="Arial" w:cs="Arial" w:eastAsia="Arial" w:hAnsi="Arial"/>
          <w:sz w:val="16"/>
          <w:szCs w:val="16"/>
          <w:color w:val="auto"/>
        </w:rPr>
        <w:t>In addition, banks may carry out financial leasing operations by forming separate departments or subsidiaries and may also promote and direct operations in foreign commerce, underwrite initial public offerings, and provide financial advisory services apart from the administration of their clients’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31"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investment portfolios. By forming a separate department within the bank, universal banks may also act as trustees in trust agreements.</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Law 26702 authorizes banks to operate, through their subsidiaries, warehouse companies, securities brokerage companies and leasing companies, and to establish and administer mutual funds.</w:t>
      </w:r>
    </w:p>
    <w:p>
      <w:pPr>
        <w:spacing w:after="0" w:line="186" w:lineRule="exact"/>
        <w:rPr>
          <w:sz w:val="20"/>
          <w:szCs w:val="20"/>
          <w:color w:val="auto"/>
        </w:rPr>
      </w:pPr>
    </w:p>
    <w:p>
      <w:pPr>
        <w:jc w:val="both"/>
        <w:ind w:firstLine="220"/>
        <w:spacing w:after="0" w:line="256" w:lineRule="auto"/>
        <w:rPr>
          <w:sz w:val="20"/>
          <w:szCs w:val="20"/>
          <w:color w:val="auto"/>
        </w:rPr>
      </w:pPr>
      <w:r>
        <w:rPr>
          <w:rFonts w:ascii="Arial" w:cs="Arial" w:eastAsia="Arial" w:hAnsi="Arial"/>
          <w:sz w:val="18"/>
          <w:szCs w:val="18"/>
          <w:color w:val="auto"/>
        </w:rPr>
        <w:t>Branches of foreign banks enjoy the same rights and are subject to the same obligations as branches of Peruvian banks. Multinational banks, with operations in various countries, may engage in the same activities as Peruvian banks, although their foreign activities are not subject to Peruvian regulations. To carry out banking operations in the local market, such banks must maintain a certain portion of their capital in Perú, in an amount not less than the minimum amount required of Peruvian banks.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Finance Companies</w:t>
      </w:r>
    </w:p>
    <w:p>
      <w:pPr>
        <w:spacing w:after="0" w:line="225" w:lineRule="exact"/>
        <w:rPr>
          <w:sz w:val="20"/>
          <w:szCs w:val="20"/>
          <w:color w:val="auto"/>
        </w:rPr>
      </w:pPr>
    </w:p>
    <w:p>
      <w:pPr>
        <w:jc w:val="both"/>
        <w:ind w:firstLine="329"/>
        <w:spacing w:after="0" w:line="259" w:lineRule="auto"/>
        <w:rPr>
          <w:sz w:val="20"/>
          <w:szCs w:val="20"/>
          <w:color w:val="auto"/>
        </w:rPr>
      </w:pPr>
      <w:r>
        <w:rPr>
          <w:rFonts w:ascii="Arial" w:cs="Arial" w:eastAsia="Arial" w:hAnsi="Arial"/>
          <w:sz w:val="18"/>
          <w:szCs w:val="18"/>
          <w:color w:val="auto"/>
        </w:rPr>
        <w:t>Under Law 26702, finance companies are authorized to carry out the same operations as banks, with the exception of (i) issuing loans as overdrafts in checking accounts, (ii) engaging in certain derivative operations, (iii) originating securitization operations, (iv) and establishing subsidiaries in certain specialized fields, such as bonded warehouses, currency transportation and custody, among others.</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Other Financial Institutions</w:t>
      </w:r>
    </w:p>
    <w:p>
      <w:pPr>
        <w:spacing w:after="0" w:line="225" w:lineRule="exact"/>
        <w:rPr>
          <w:sz w:val="20"/>
          <w:szCs w:val="20"/>
          <w:color w:val="auto"/>
        </w:rPr>
      </w:pPr>
    </w:p>
    <w:p>
      <w:pPr>
        <w:jc w:val="both"/>
        <w:ind w:firstLine="251"/>
        <w:spacing w:after="0" w:line="256" w:lineRule="auto"/>
        <w:rPr>
          <w:sz w:val="20"/>
          <w:szCs w:val="20"/>
          <w:color w:val="auto"/>
        </w:rPr>
      </w:pPr>
      <w:r>
        <w:rPr>
          <w:rFonts w:ascii="Arial" w:cs="Arial" w:eastAsia="Arial" w:hAnsi="Arial"/>
          <w:sz w:val="18"/>
          <w:szCs w:val="18"/>
          <w:color w:val="auto"/>
        </w:rPr>
        <w:t>The Peruvian financial system has a number of less significant entities which may provide credit, accept deposits or otherwise act as financial intermediaries on a limited basis. Leasing companies specialize in financial leasing operations by which goods are leased over the term of the contract with the option of purchasing such goods at a predetermined price. Savings and loans associations or cooperatives may accept certain types of savings deposits and provide other similar financial services.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5"/>
          <w:szCs w:val="15"/>
          <w:color w:val="auto"/>
        </w:rPr>
        <w:t>Perú also has numerous mutual housing associations, municipal savings and credit associations, savings and credit cooperatives and municipal credit bureaus.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impact of these institutions on the financial system in Perú has not been significant.</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Insurance Companies</w:t>
      </w:r>
    </w:p>
    <w:p>
      <w:pPr>
        <w:spacing w:after="0" w:line="225" w:lineRule="exact"/>
        <w:rPr>
          <w:sz w:val="20"/>
          <w:szCs w:val="20"/>
          <w:color w:val="auto"/>
        </w:rPr>
      </w:pPr>
    </w:p>
    <w:p>
      <w:pPr>
        <w:jc w:val="both"/>
        <w:ind w:firstLine="250"/>
        <w:spacing w:after="0" w:line="259" w:lineRule="auto"/>
        <w:rPr>
          <w:sz w:val="20"/>
          <w:szCs w:val="20"/>
          <w:color w:val="auto"/>
        </w:rPr>
      </w:pPr>
      <w:r>
        <w:rPr>
          <w:rFonts w:ascii="Arial" w:cs="Arial" w:eastAsia="Arial" w:hAnsi="Arial"/>
          <w:sz w:val="18"/>
          <w:szCs w:val="18"/>
          <w:color w:val="auto"/>
        </w:rPr>
        <w:t>Since the deregulation of the Peruvian insurance industry in 1991, insurance companies are authorized to conduct all types of operations and to enter into all forms of agreements necessary to offer risk coverage to customers. Insurance companies may also invest assets, subject to the regulations on investment limits and reserves established in Law 26702 and the regulations issued by the SBS.</w:t>
      </w:r>
    </w:p>
    <w:p>
      <w:pPr>
        <w:spacing w:after="0" w:line="194" w:lineRule="exact"/>
        <w:rPr>
          <w:sz w:val="20"/>
          <w:szCs w:val="20"/>
          <w:color w:val="auto"/>
        </w:rPr>
      </w:pPr>
    </w:p>
    <w:p>
      <w:pPr>
        <w:jc w:val="both"/>
        <w:ind w:right="20" w:firstLine="260"/>
        <w:spacing w:after="0" w:line="268" w:lineRule="auto"/>
        <w:rPr>
          <w:sz w:val="20"/>
          <w:szCs w:val="20"/>
          <w:color w:val="auto"/>
        </w:rPr>
      </w:pPr>
      <w:r>
        <w:rPr>
          <w:rFonts w:ascii="Arial" w:cs="Arial" w:eastAsia="Arial" w:hAnsi="Arial"/>
          <w:sz w:val="18"/>
          <w:szCs w:val="18"/>
          <w:color w:val="auto"/>
        </w:rPr>
        <w:t>Law 26702 is the principal law governing insurance companies in Perú. The SBS is charged with the supervision and regulation of all insurance companies, and the formation of a corporation as an insurance company requires prior authorization of the SBS.</w:t>
      </w:r>
    </w:p>
    <w:p>
      <w:pPr>
        <w:spacing w:after="0" w:line="186" w:lineRule="exact"/>
        <w:rPr>
          <w:sz w:val="20"/>
          <w:szCs w:val="20"/>
          <w:color w:val="auto"/>
        </w:rPr>
      </w:pPr>
    </w:p>
    <w:p>
      <w:pPr>
        <w:jc w:val="both"/>
        <w:ind w:firstLine="321"/>
        <w:spacing w:after="0" w:line="268" w:lineRule="auto"/>
        <w:rPr>
          <w:sz w:val="20"/>
          <w:szCs w:val="20"/>
          <w:color w:val="auto"/>
        </w:rPr>
      </w:pPr>
      <w:r>
        <w:rPr>
          <w:rFonts w:ascii="Arial" w:cs="Arial" w:eastAsia="Arial" w:hAnsi="Arial"/>
          <w:sz w:val="18"/>
          <w:szCs w:val="18"/>
          <w:color w:val="auto"/>
        </w:rPr>
        <w:t>Prior to 1991, all reinsurance activities were conducted through Reaseguradora Peruana S.A., an entity controlled by the Peruvian government, which is currently in liquidation. Today, Peruvian insurance companies are permitted to seek reinsurance from other sources.</w:t>
      </w:r>
    </w:p>
    <w:p>
      <w:pPr>
        <w:spacing w:after="0" w:line="186" w:lineRule="exact"/>
        <w:rPr>
          <w:sz w:val="20"/>
          <w:szCs w:val="20"/>
          <w:color w:val="auto"/>
        </w:rPr>
      </w:pPr>
    </w:p>
    <w:p>
      <w:pPr>
        <w:jc w:val="both"/>
        <w:ind w:right="20" w:firstLine="226"/>
        <w:spacing w:after="0" w:line="268" w:lineRule="auto"/>
        <w:rPr>
          <w:sz w:val="20"/>
          <w:szCs w:val="20"/>
          <w:color w:val="auto"/>
        </w:rPr>
      </w:pPr>
      <w:r>
        <w:rPr>
          <w:rFonts w:ascii="Arial" w:cs="Arial" w:eastAsia="Arial" w:hAnsi="Arial"/>
          <w:sz w:val="18"/>
          <w:szCs w:val="18"/>
          <w:color w:val="auto"/>
        </w:rPr>
        <w:t>The insurance industry has experienced consolidation in recent years with the number of companies decreasing from 19 in 1991 to 12 in 1996, increased to 16 in 2002, as new insurance companies specializing in life insurance were created, but declined to 14 in 2003.</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31" w:right="239" w:bottom="1440" w:gutter="0" w:footer="0" w:header="0"/>
        </w:sectPr>
      </w:pPr>
    </w:p>
    <w:bookmarkStart w:id="48" w:name="page49"/>
    <w:bookmarkEnd w:id="48"/>
    <w:p>
      <w:pPr>
        <w:ind w:left="180"/>
        <w:spacing w:after="0"/>
        <w:rPr>
          <w:sz w:val="20"/>
          <w:szCs w:val="20"/>
          <w:color w:val="auto"/>
        </w:rPr>
      </w:pPr>
      <w:r>
        <w:rPr>
          <w:rFonts w:ascii="Arial" w:cs="Arial" w:eastAsia="Arial" w:hAnsi="Arial"/>
          <w:sz w:val="18"/>
          <w:szCs w:val="18"/>
          <w:b w:val="1"/>
          <w:bCs w:val="1"/>
          <w:color w:val="auto"/>
        </w:rPr>
        <w:t>(11) Supervision and Regulation</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 Credicorp</w:t>
      </w:r>
    </w:p>
    <w:p>
      <w:pPr>
        <w:spacing w:after="0" w:line="225" w:lineRule="exact"/>
        <w:rPr>
          <w:sz w:val="20"/>
          <w:szCs w:val="20"/>
          <w:color w:val="auto"/>
        </w:rPr>
      </w:pPr>
    </w:p>
    <w:p>
      <w:pPr>
        <w:jc w:val="both"/>
        <w:ind w:firstLine="251"/>
        <w:spacing w:after="0" w:line="298" w:lineRule="auto"/>
        <w:rPr>
          <w:sz w:val="20"/>
          <w:szCs w:val="20"/>
          <w:color w:val="auto"/>
        </w:rPr>
      </w:pPr>
      <w:r>
        <w:rPr>
          <w:rFonts w:ascii="Arial" w:cs="Arial" w:eastAsia="Arial" w:hAnsi="Arial"/>
          <w:sz w:val="16"/>
          <w:szCs w:val="16"/>
          <w:color w:val="auto"/>
        </w:rPr>
        <w:t>Currently, there are no applicable regulatory controls under the laws of Bermuda that are likely to have a material impact upon Credicorp’s operations as currently structured. Under Bermuda law, there is no regulation applicable to Credicorp, as a holding company, that would require Credicorp to separate the operations of its subsidiaries incorporated and existing outside Bermuda. Since Credicorp’s activities will be conducted primarily through subsidiaries in Perú, the Cayman Islands, Colombia and Bolivia, a summary of Peruvian banking and insurance regulations and Cayman Islands banking regulations is set forth below.</w:t>
      </w:r>
    </w:p>
    <w:p>
      <w:pPr>
        <w:spacing w:after="0" w:line="167" w:lineRule="exact"/>
        <w:rPr>
          <w:sz w:val="20"/>
          <w:szCs w:val="20"/>
          <w:color w:val="auto"/>
        </w:rPr>
      </w:pPr>
    </w:p>
    <w:p>
      <w:pPr>
        <w:jc w:val="both"/>
        <w:ind w:right="20" w:firstLine="186"/>
        <w:spacing w:after="0" w:line="306" w:lineRule="auto"/>
        <w:rPr>
          <w:sz w:val="20"/>
          <w:szCs w:val="20"/>
          <w:color w:val="auto"/>
        </w:rPr>
      </w:pPr>
      <w:r>
        <w:rPr>
          <w:rFonts w:ascii="Arial" w:cs="Arial" w:eastAsia="Arial" w:hAnsi="Arial"/>
          <w:sz w:val="16"/>
          <w:szCs w:val="16"/>
          <w:color w:val="auto"/>
        </w:rPr>
        <w:t>Certain requirements set forth in Law 26702 and certain SBS regulations, including SBS Resolution No.0446-2000, enacted in June 2000, which approved the “Regulation of the Consolidated Supervision of Financial and Mixed Conglomerates,” are applicable to Credicorp and BCP. These regulations affect Credicorp and BCP primarily in the areas of reporting and risk control guidelines, limitations, ratios, and capital requirements.</w:t>
      </w:r>
    </w:p>
    <w:p>
      <w:pPr>
        <w:spacing w:after="0" w:line="161" w:lineRule="exact"/>
        <w:rPr>
          <w:sz w:val="20"/>
          <w:szCs w:val="20"/>
          <w:color w:val="auto"/>
        </w:rPr>
      </w:pPr>
    </w:p>
    <w:p>
      <w:pPr>
        <w:jc w:val="both"/>
        <w:ind w:firstLine="270"/>
        <w:spacing w:after="0" w:line="306" w:lineRule="auto"/>
        <w:rPr>
          <w:sz w:val="20"/>
          <w:szCs w:val="20"/>
          <w:color w:val="auto"/>
        </w:rPr>
      </w:pPr>
      <w:r>
        <w:rPr>
          <w:rFonts w:ascii="Arial" w:cs="Arial" w:eastAsia="Arial" w:hAnsi="Arial"/>
          <w:sz w:val="16"/>
          <w:szCs w:val="16"/>
          <w:color w:val="auto"/>
        </w:rPr>
        <w:t xml:space="preserve">Since Credicorp’s Common Shares are listed on the Lima Stock Exchange in addition to the New York Stock Exchange, Credicorp is subject to certain reporting requirements of the </w:t>
      </w:r>
      <w:r>
        <w:rPr>
          <w:rFonts w:ascii="Arial" w:cs="Arial" w:eastAsia="Arial" w:hAnsi="Arial"/>
          <w:sz w:val="16"/>
          <w:szCs w:val="16"/>
          <w:i w:val="1"/>
          <w:iCs w:val="1"/>
          <w:color w:val="auto"/>
        </w:rPr>
        <w:t>Comision Nacional Supervisora de Empresas y Valores</w:t>
      </w:r>
      <w:r>
        <w:rPr>
          <w:rFonts w:ascii="Arial" w:cs="Arial" w:eastAsia="Arial" w:hAnsi="Arial"/>
          <w:sz w:val="16"/>
          <w:szCs w:val="16"/>
          <w:color w:val="auto"/>
        </w:rPr>
        <w:t xml:space="preserve"> (“CONASEV”), the securities market regulator, and the Lima Stock Exchange. See “Item 9. The Offer and Listings—(C) Markets—The Lima Stock Exchange—(ii) Market Regulation.”</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(ii) BCP</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jc w:val="both"/>
        <w:ind w:firstLine="194"/>
        <w:spacing w:after="0" w:line="318" w:lineRule="auto"/>
        <w:rPr>
          <w:sz w:val="20"/>
          <w:szCs w:val="20"/>
          <w:color w:val="auto"/>
        </w:rPr>
      </w:pPr>
      <w:r>
        <w:rPr>
          <w:rFonts w:ascii="Arial" w:cs="Arial" w:eastAsia="Arial" w:hAnsi="Arial"/>
          <w:sz w:val="15"/>
          <w:szCs w:val="15"/>
          <w:color w:val="auto"/>
        </w:rPr>
        <w:t>The operations of BCP are regulated by Peruvian law. The regulatory framework for the operations of the Peruvian financial sector is set forth in Law 26702. Implementation and enforcement of Law 26702 are effected by periodic resolutions issued by the SBS. See “—(10) The Peruvian Financial System.” The SBS, under the direction of the Superintendent of Banks and Insurance Companies, supervises and regulates those entities that Law 26702 classifies as financial institutions, including commercial banks, finance companies, small business finance companies, savings and loan corporations, financial services companies such as trust companies and investment banks, and insurance companies. Financial institutions must seek the authorization of the SBS before initiating new operations.</w:t>
      </w:r>
    </w:p>
    <w:p>
      <w:pPr>
        <w:spacing w:after="0" w:line="154" w:lineRule="exact"/>
        <w:rPr>
          <w:sz w:val="20"/>
          <w:szCs w:val="20"/>
          <w:color w:val="auto"/>
        </w:rPr>
      </w:pPr>
    </w:p>
    <w:p>
      <w:pPr>
        <w:jc w:val="both"/>
        <w:ind w:firstLine="176"/>
        <w:spacing w:after="0" w:line="259" w:lineRule="auto"/>
        <w:rPr>
          <w:sz w:val="20"/>
          <w:szCs w:val="20"/>
          <w:color w:val="auto"/>
        </w:rPr>
      </w:pPr>
      <w:r>
        <w:rPr>
          <w:rFonts w:ascii="Arial" w:cs="Arial" w:eastAsia="Arial" w:hAnsi="Arial"/>
          <w:sz w:val="18"/>
          <w:szCs w:val="18"/>
          <w:color w:val="auto"/>
        </w:rPr>
        <w:t>BCP’s operations are supervised and regulated by the SBS and the Central Bank. Violators of specified provisions of Law 26702 and its underlying regulations are subject to administrative sanctions and criminal penalties. Additionally, the SBS and the Central Bank have the authority to fine financial institutions and their directors and officers if they violate Peruvian laws, regulations or their own institutions’ bye-laws.</w:t>
      </w:r>
    </w:p>
    <w:p>
      <w:pPr>
        <w:spacing w:after="0" w:line="194"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CONASEV is the Peruvian government institution charged with promoting the securities markets, ensuring fair competition in the markets, supervising the proper management of businesses that trade in the markets and regulating their activities and accounting practices. BCP must inform CONASEV of significant events affecting its business and is required to provide financial statements to the Lima Stock Exchange on a quarterly basis. BCP is regulated by CONASEV through Credibolsa, BCP’s wholly-owned brokerage house, and Credifondo, BCP’s wholly-owned mutual fund administration company. CONASEV examines Credibolsa and Credifondo on a regular basis.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9" w:name="page50"/>
    <w:bookmarkEnd w:id="49"/>
    <w:p>
      <w:pPr>
        <w:jc w:val="both"/>
        <w:ind w:firstLine="185"/>
        <w:spacing w:after="0" w:line="259" w:lineRule="auto"/>
        <w:rPr>
          <w:sz w:val="20"/>
          <w:szCs w:val="20"/>
          <w:color w:val="auto"/>
        </w:rPr>
      </w:pPr>
      <w:r>
        <w:rPr>
          <w:rFonts w:ascii="Arial" w:cs="Arial" w:eastAsia="Arial" w:hAnsi="Arial"/>
          <w:sz w:val="18"/>
          <w:szCs w:val="18"/>
          <w:color w:val="auto"/>
        </w:rPr>
        <w:t>Under Peruvian law, banks are permitted to conduct brokerage operations and administer mutual funds, but must conduct such operations through subsidiaries. Bank employees, however, may market the financial products of the bank’s brokerage and mutual fund subsidiaries. Banks are prohibited from issuing insurance policies, but are not prohibited from distributing insurance policies issued by insurance companies.</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Authority of the SBS</w:t>
      </w:r>
    </w:p>
    <w:p>
      <w:pPr>
        <w:spacing w:after="0" w:line="225" w:lineRule="exact"/>
        <w:rPr>
          <w:sz w:val="20"/>
          <w:szCs w:val="20"/>
          <w:color w:val="auto"/>
        </w:rPr>
      </w:pPr>
    </w:p>
    <w:p>
      <w:pPr>
        <w:jc w:val="both"/>
        <w:ind w:firstLine="219"/>
        <w:spacing w:after="0" w:line="306" w:lineRule="auto"/>
        <w:rPr>
          <w:sz w:val="20"/>
          <w:szCs w:val="20"/>
          <w:color w:val="auto"/>
        </w:rPr>
      </w:pPr>
      <w:r>
        <w:rPr>
          <w:rFonts w:ascii="Arial" w:cs="Arial" w:eastAsia="Arial" w:hAnsi="Arial"/>
          <w:sz w:val="16"/>
          <w:szCs w:val="16"/>
          <w:color w:val="auto"/>
        </w:rPr>
        <w:t>Perú’s Constitution and Law 26702 (which contains the statutory charter of the SBS) grant the SBS the authority to oversee and control banks and financial institutions (with the exception of brokerage firms), insurance and reinsurance companies, companies that receive deposits from the general public and other similar entities as defined by the law. In addition, the SBS supervises the Central Bank to ensure that it abides by its statutory charter and bye-laws.</w:t>
      </w:r>
    </w:p>
    <w:p>
      <w:pPr>
        <w:spacing w:after="0" w:line="161" w:lineRule="exact"/>
        <w:rPr>
          <w:sz w:val="20"/>
          <w:szCs w:val="20"/>
          <w:color w:val="auto"/>
        </w:rPr>
      </w:pPr>
    </w:p>
    <w:p>
      <w:pPr>
        <w:jc w:val="both"/>
        <w:ind w:firstLine="185"/>
        <w:spacing w:after="0" w:line="287" w:lineRule="auto"/>
        <w:rPr>
          <w:sz w:val="20"/>
          <w:szCs w:val="20"/>
          <w:color w:val="auto"/>
        </w:rPr>
      </w:pPr>
      <w:r>
        <w:rPr>
          <w:rFonts w:ascii="Arial" w:cs="Arial" w:eastAsia="Arial" w:hAnsi="Arial"/>
          <w:sz w:val="16"/>
          <w:szCs w:val="16"/>
          <w:color w:val="auto"/>
        </w:rPr>
        <w:t xml:space="preserve">The SBS is granted administrative, financial and operating autonomy. Its objectives include protecting the public interest, ensuring the financial stability of the institutions over which it has authority, and punishing violators of its regulations. Its responsibilities include: (i) reviewing and approving, with the assistance of the Central Bank, the establishment and organization of subsidiaries of the institutions it regulates; (ii) overseeing mergers, dissolution, and reorganization of banks, financial institutions, and insurance companies; (iii) supervising financial, insurance and related companies from which information on an individual or consolidated basis is required, through changes in ownership and management control (this supervision also applies to non-bank holding companies, such as Credicorp); (iv) reviewing the bye-laws and amendments thereto of these companies; (v) setting forth criteria governing the transfer of bank shares, when permitted by law, for valuation of assets and liabilities and for minimum capital requirements; and (vi) controlling the </w:t>
      </w:r>
      <w:r>
        <w:rPr>
          <w:rFonts w:ascii="Arial" w:cs="Arial" w:eastAsia="Arial" w:hAnsi="Arial"/>
          <w:sz w:val="16"/>
          <w:szCs w:val="16"/>
          <w:i w:val="1"/>
          <w:iCs w:val="1"/>
          <w:color w:val="auto"/>
        </w:rPr>
        <w:t>Central de Riesgos</w:t>
      </w:r>
      <w:r>
        <w:rPr>
          <w:rFonts w:ascii="Arial" w:cs="Arial" w:eastAsia="Arial" w:hAnsi="Arial"/>
          <w:sz w:val="16"/>
          <w:szCs w:val="16"/>
          <w:color w:val="auto"/>
        </w:rPr>
        <w:t xml:space="preserve"> (Bank Risk Assessment Center), to which all banks are legally required to provide information regarding all businesses and individuals with whom they deal without regard to the amount of credit risk (the information provided is made available to all banks to allow them to monitor individual borrowers’ overall exposure to Perú’s banks). In addition to supervising BCP, the SBS supervises Credicorp on the basis that it is a financial conglomerate conducting the majority of its operations in Perú.</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Management of Operational Risk</w:t>
      </w:r>
    </w:p>
    <w:p>
      <w:pPr>
        <w:spacing w:after="0" w:line="225" w:lineRule="exact"/>
        <w:rPr>
          <w:sz w:val="20"/>
          <w:szCs w:val="20"/>
          <w:color w:val="auto"/>
        </w:rPr>
      </w:pPr>
    </w:p>
    <w:p>
      <w:pPr>
        <w:jc w:val="both"/>
        <w:ind w:firstLine="279"/>
        <w:spacing w:after="0" w:line="294" w:lineRule="auto"/>
        <w:rPr>
          <w:sz w:val="20"/>
          <w:szCs w:val="20"/>
          <w:color w:val="auto"/>
        </w:rPr>
      </w:pPr>
      <w:r>
        <w:rPr>
          <w:rFonts w:ascii="Arial" w:cs="Arial" w:eastAsia="Arial" w:hAnsi="Arial"/>
          <w:sz w:val="16"/>
          <w:szCs w:val="16"/>
          <w:color w:val="auto"/>
        </w:rPr>
        <w:t>SBS Resolution No. 006, enacted in January 2002, approved guidelines for the management of operational risk, which includes a broad range of risks. Resolution No. 006 defines operational risks as those dealing with the possibility of suffering financial losses due to deficiencies in internal procedures, information technology or personnel, or the occurrence of adverse external events. It also establishes responsibilities for developing policies and procedures to identify, measure, control and report such risks. Banks are required to adequately manage risks involved in the performance of their operations and services in order to minimize possible financial losses due to inadequate or non-existent policies or procedures.</w:t>
      </w:r>
    </w:p>
    <w:p>
      <w:pPr>
        <w:spacing w:after="0" w:line="170" w:lineRule="exact"/>
        <w:rPr>
          <w:sz w:val="20"/>
          <w:szCs w:val="20"/>
          <w:color w:val="auto"/>
        </w:rPr>
      </w:pPr>
    </w:p>
    <w:p>
      <w:pPr>
        <w:jc w:val="both"/>
        <w:ind w:firstLine="262"/>
        <w:spacing w:after="0" w:line="291" w:lineRule="auto"/>
        <w:rPr>
          <w:sz w:val="20"/>
          <w:szCs w:val="20"/>
          <w:color w:val="auto"/>
        </w:rPr>
      </w:pPr>
      <w:r>
        <w:rPr>
          <w:rFonts w:ascii="Arial" w:cs="Arial" w:eastAsia="Arial" w:hAnsi="Arial"/>
          <w:sz w:val="16"/>
          <w:szCs w:val="16"/>
          <w:color w:val="auto"/>
        </w:rPr>
        <w:t>Credicorp, following these SBS guidelines as well as guidelines issued by the Basel Committee on Banking Supervision and the advice of international consultants, has set up at BCP a specialized unit in charge of introducing advanced operational risk control procedures. In forming this unit, Credicorp intends to be guided by the risk control standards of international financial institutions noted for their leadership in this field. The unit’s overall objective is the implementation of an efficient and permanent monitoring system for the control of operational risks, while actual management of risk control procedures is conducted by the areas that carry out critical activities. There are ongoing initiatives for the establishment of operational risk management procedures at other Credicorp subsidiaries. Additionally, procedures that will allow Credicorp to comply specifically with internal controls over financial reporting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31"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requirements under Section 404 of the U.S. Sarbanes-Oxley Act of 2002 are being developed as part of a company-wide effort.</w:t>
      </w:r>
    </w:p>
    <w:p>
      <w:pPr>
        <w:spacing w:after="0" w:line="225" w:lineRule="exact"/>
        <w:rPr>
          <w:sz w:val="20"/>
          <w:szCs w:val="20"/>
          <w:color w:val="auto"/>
        </w:rPr>
      </w:pPr>
    </w:p>
    <w:p>
      <w:pPr>
        <w:jc w:val="both"/>
        <w:ind w:firstLine="237"/>
        <w:spacing w:after="0" w:line="259" w:lineRule="auto"/>
        <w:rPr>
          <w:sz w:val="20"/>
          <w:szCs w:val="20"/>
          <w:color w:val="auto"/>
        </w:rPr>
      </w:pPr>
      <w:r>
        <w:rPr>
          <w:rFonts w:ascii="Arial" w:cs="Arial" w:eastAsia="Arial" w:hAnsi="Arial"/>
          <w:sz w:val="18"/>
          <w:szCs w:val="18"/>
          <w:color w:val="auto"/>
        </w:rPr>
        <w:t>In March 2003, BCP’s Board of Directors approved the creation of a new Operational Risk Committee for BCP. The Committee is chaired by Credicorp’s Chief Financial and Accounting Officer and its members include managers from the Legal, Human Resources, Systems, Internal Audit, Banking Services and Risks divisions of BCP.</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Capital Adequacy Requirements</w:t>
      </w:r>
    </w:p>
    <w:p>
      <w:pPr>
        <w:spacing w:after="0" w:line="225" w:lineRule="exact"/>
        <w:rPr>
          <w:sz w:val="20"/>
          <w:szCs w:val="20"/>
          <w:color w:val="auto"/>
        </w:rPr>
      </w:pPr>
    </w:p>
    <w:p>
      <w:pPr>
        <w:jc w:val="both"/>
        <w:ind w:firstLine="284"/>
        <w:spacing w:after="0" w:line="290" w:lineRule="auto"/>
        <w:rPr>
          <w:sz w:val="20"/>
          <w:szCs w:val="20"/>
          <w:color w:val="auto"/>
        </w:rPr>
      </w:pPr>
      <w:r>
        <w:rPr>
          <w:rFonts w:ascii="Arial" w:cs="Arial" w:eastAsia="Arial" w:hAnsi="Arial"/>
          <w:sz w:val="16"/>
          <w:szCs w:val="16"/>
          <w:color w:val="auto"/>
        </w:rPr>
        <w:t>Since the approval of Legislative Decree 637 in 1991, the SBS has issued capital adequacy requirements for credit institutions, adopting a framework structurally similar to that proposed by the Basel Accord. Weights assigned to various classes of assets and the contents of the classifications were initially more stringent under Legislative Decrees 637 and 770 than under the Basel Accord. Law 26702 has adopted criteria similar to the Basel Accord and provides for five categories of assets, with different risk weights assigned to each category. The categories range from risk-free assets, to which a weighting of 0% is assigned, to assets, which require a weighing of 100%. Banks are required to prepare and submit to the SBS, within the first 15 days of each month, a report analyzing the bank’s assets for the previous month and totaling the bank’s regulatory capital. Foreign currency-denominated assets are valued in Nuevos Soles at the SBS average exchange rate in effect as of the date of each such report.</w:t>
      </w:r>
    </w:p>
    <w:p>
      <w:pPr>
        <w:spacing w:after="0" w:line="172" w:lineRule="exact"/>
        <w:rPr>
          <w:sz w:val="20"/>
          <w:szCs w:val="20"/>
          <w:color w:val="auto"/>
        </w:rPr>
      </w:pPr>
    </w:p>
    <w:p>
      <w:pPr>
        <w:jc w:val="both"/>
        <w:ind w:firstLine="231"/>
        <w:spacing w:after="0" w:line="253" w:lineRule="auto"/>
        <w:rPr>
          <w:sz w:val="20"/>
          <w:szCs w:val="20"/>
          <w:color w:val="auto"/>
        </w:rPr>
      </w:pPr>
      <w:r>
        <w:rPr>
          <w:rFonts w:ascii="Arial" w:cs="Arial" w:eastAsia="Arial" w:hAnsi="Arial"/>
          <w:sz w:val="18"/>
          <w:szCs w:val="18"/>
          <w:color w:val="auto"/>
        </w:rPr>
        <w:t>According to Article 184 of Law 26702, regulatory capital consists of the sum of (i) paid-in capital, legal reserves, discretionary reserves (if any), generic reserves for losses in the loan portfolio or other indirect credit exposure (up to 1% of the total value of both) and a percentage of certain subordinated bonds issued by the bank, less (ii) equity investments in all consolidated subsidiaries. The resulting amount is adjusted to reflect profits or losses from previous years and for the current year, as well as to reflect adjustments for exposure to inflation and for the deficit in the reserves, less the balance, if any, of the reserve for asset revaluation. According to Article 184, regulatory capital can be segmented and applied to cover credit risks and market risks. Beginning in March 1999, the SBS issued regulations requiring the segregation of regulatory capital to cover foreign exchange risk exposure, and, starting in June 30, 2000, to cover risk related to investments in equity shares.</w:t>
      </w:r>
    </w:p>
    <w:p>
      <w:pPr>
        <w:spacing w:after="0" w:line="201" w:lineRule="exact"/>
        <w:rPr>
          <w:sz w:val="20"/>
          <w:szCs w:val="20"/>
          <w:color w:val="auto"/>
        </w:rPr>
      </w:pPr>
    </w:p>
    <w:p>
      <w:pPr>
        <w:jc w:val="both"/>
        <w:ind w:firstLine="239"/>
        <w:spacing w:after="0" w:line="290" w:lineRule="auto"/>
        <w:rPr>
          <w:sz w:val="20"/>
          <w:szCs w:val="20"/>
          <w:color w:val="auto"/>
        </w:rPr>
      </w:pPr>
      <w:r>
        <w:rPr>
          <w:rFonts w:ascii="Arial" w:cs="Arial" w:eastAsia="Arial" w:hAnsi="Arial"/>
          <w:sz w:val="16"/>
          <w:szCs w:val="16"/>
          <w:color w:val="auto"/>
        </w:rPr>
        <w:t>Law 26702 requires that the total amount of risk-weighted assets not exceed 11 times the regulatory capital of the bank, meaning that BCP must maintain regulatory capital at a level of at least 9.09% of its total risk-weighted assets. The limit of 11 times risk-weighted assets to regulatory capital was phased in, becoming effective in December 1999. Any bank that is not in compliance with the capital adequacy requirements of Law 26702 is required to post a special deposit with the Central Bank, which is frozen until such bank is within the capital adequacy requirements. Regulatory capital in excess of credit risk requirements may be applied to cover market risks. In general, foreign exchange risk positions require a coverage of 9.09% of regulatory capital. As of December 31, 2003, BCP’s unconsolidated amount of risk-weighted assets was 9.1 times regulatory capital, or regulatory capital was 10.9% of risk-weighted assets which included US$354.3 million of market risk assets.</w:t>
      </w:r>
    </w:p>
    <w:p>
      <w:pPr>
        <w:spacing w:after="0" w:line="172" w:lineRule="exact"/>
        <w:rPr>
          <w:sz w:val="20"/>
          <w:szCs w:val="20"/>
          <w:color w:val="auto"/>
        </w:rPr>
      </w:pPr>
    </w:p>
    <w:p>
      <w:pPr>
        <w:jc w:val="both"/>
        <w:ind w:firstLine="186"/>
        <w:spacing w:after="0" w:line="306" w:lineRule="auto"/>
        <w:rPr>
          <w:sz w:val="20"/>
          <w:szCs w:val="20"/>
          <w:color w:val="auto"/>
        </w:rPr>
      </w:pPr>
      <w:r>
        <w:rPr>
          <w:rFonts w:ascii="Arial" w:cs="Arial" w:eastAsia="Arial" w:hAnsi="Arial"/>
          <w:sz w:val="16"/>
          <w:szCs w:val="16"/>
          <w:color w:val="auto"/>
        </w:rPr>
        <w:t>Regulations for the supervision of market risks, enacted in May 1998, require banks to establish internal policies and procedures to monitor these risks, as well as market risk exposure limits. Regulations define market risks as the probable loss derived from exposure to various classes of commodities, securities, foreign exchange, derivative operations or commercial assets that banks may hold, that could be registered or not in their balance sheets.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31" w:right="239" w:bottom="1440" w:gutter="0" w:footer="0" w:header="0"/>
        </w:sectPr>
      </w:pPr>
    </w:p>
    <w:bookmarkStart w:id="51" w:name="page52"/>
    <w:bookmarkEnd w:id="51"/>
    <w:p>
      <w:pPr>
        <w:ind w:left="180"/>
        <w:spacing w:after="0"/>
        <w:rPr>
          <w:sz w:val="20"/>
          <w:szCs w:val="20"/>
          <w:color w:val="auto"/>
        </w:rPr>
      </w:pPr>
      <w:r>
        <w:rPr>
          <w:rFonts w:ascii="Arial" w:cs="Arial" w:eastAsia="Arial" w:hAnsi="Arial"/>
          <w:sz w:val="18"/>
          <w:szCs w:val="18"/>
          <w:i w:val="1"/>
          <w:iCs w:val="1"/>
          <w:color w:val="auto"/>
        </w:rPr>
        <w:t>Legal Reserve Requirements</w:t>
      </w:r>
    </w:p>
    <w:p>
      <w:pPr>
        <w:spacing w:after="0" w:line="225" w:lineRule="exact"/>
        <w:rPr>
          <w:sz w:val="20"/>
          <w:szCs w:val="20"/>
          <w:color w:val="auto"/>
        </w:rPr>
      </w:pPr>
    </w:p>
    <w:p>
      <w:pPr>
        <w:jc w:val="both"/>
        <w:ind w:firstLine="205"/>
        <w:spacing w:after="0" w:line="256" w:lineRule="auto"/>
        <w:rPr>
          <w:sz w:val="20"/>
          <w:szCs w:val="20"/>
          <w:color w:val="auto"/>
        </w:rPr>
      </w:pPr>
      <w:r>
        <w:rPr>
          <w:rFonts w:ascii="Arial" w:cs="Arial" w:eastAsia="Arial" w:hAnsi="Arial"/>
          <w:sz w:val="18"/>
          <w:szCs w:val="18"/>
          <w:color w:val="auto"/>
        </w:rPr>
        <w:t>Pursuant to Article 67 of Law 26702, all banks must create a legal reserve. Each year a bank must allocate 10% of its net income to its legal reserve until its legal reserve is equal to 35% of its paid-in capital stock. Any subsequent increases in paid-in capital will imply a corresponding increase in the required level of the legal reserves to be funded as described above. As of December 31, 2003, BCP’s unconsolidated legal reserve was S/.521.0 million (US$150.4 million), equivalent to 42.5% of BCP’s paid-in capital as of such date.</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Provisions for Loan Losses</w:t>
      </w:r>
    </w:p>
    <w:p>
      <w:pPr>
        <w:spacing w:after="0" w:line="225" w:lineRule="exact"/>
        <w:rPr>
          <w:sz w:val="20"/>
          <w:szCs w:val="20"/>
          <w:color w:val="auto"/>
        </w:rPr>
      </w:pPr>
    </w:p>
    <w:p>
      <w:pPr>
        <w:jc w:val="both"/>
        <w:ind w:firstLine="243"/>
        <w:spacing w:after="0" w:line="306" w:lineRule="auto"/>
        <w:rPr>
          <w:sz w:val="20"/>
          <w:szCs w:val="20"/>
          <w:color w:val="auto"/>
        </w:rPr>
      </w:pPr>
      <w:r>
        <w:rPr>
          <w:rFonts w:ascii="Arial" w:cs="Arial" w:eastAsia="Arial" w:hAnsi="Arial"/>
          <w:sz w:val="16"/>
          <w:szCs w:val="16"/>
          <w:color w:val="auto"/>
        </w:rPr>
        <w:t>Guidelines for the establishment of provisions for loan losses by Peruvian credit institutions, including commercial banks, are set by the SBS. Law 26702 grants authority to the SBS to establish loan reserves and does not allow for the inclusion of collateral in determining the net amount of outstanding credit risk subject to provision. See “—(12) Selected Statistical Information—(iii) Loan Portfolio—Classification of the Loan Portfolio.”</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Provisions for Country Risk</w:t>
      </w:r>
    </w:p>
    <w:p>
      <w:pPr>
        <w:spacing w:after="0" w:line="225" w:lineRule="exact"/>
        <w:rPr>
          <w:sz w:val="20"/>
          <w:szCs w:val="20"/>
          <w:color w:val="auto"/>
        </w:rPr>
      </w:pPr>
    </w:p>
    <w:p>
      <w:pPr>
        <w:jc w:val="both"/>
        <w:ind w:firstLine="203"/>
        <w:spacing w:after="0" w:line="254" w:lineRule="auto"/>
        <w:rPr>
          <w:sz w:val="20"/>
          <w:szCs w:val="20"/>
          <w:color w:val="auto"/>
        </w:rPr>
      </w:pPr>
      <w:r>
        <w:rPr>
          <w:rFonts w:ascii="Arial" w:cs="Arial" w:eastAsia="Arial" w:hAnsi="Arial"/>
          <w:sz w:val="18"/>
          <w:szCs w:val="18"/>
          <w:color w:val="auto"/>
        </w:rPr>
        <w:t>SBS Resolution No. 505, enacted in June 2002, requires the establishment of provisions for exposure to country risk, which is defined as including sovereign risk, transfer risk and expropriation or nationalization risk, that may affect operations with companies or individuals in foreign countries. Additionally, the SBS established guidelines for the procedures and responsibilities for the management of country risk, to be applied no later than October 31, 2002. Operations subject to country risk were to have required provisions registered by January 31, 2003. Procedures already followed by Credicorp for the control of its exposure in different countries are similar to the guidelines of this Resolution, except for the required provisions. As of December 2003, Credicorp was in full compliance with the required provisions.</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Central Bank Reserve Requirements</w:t>
      </w:r>
    </w:p>
    <w:p>
      <w:pPr>
        <w:spacing w:after="0" w:line="225" w:lineRule="exact"/>
        <w:rPr>
          <w:sz w:val="20"/>
          <w:szCs w:val="20"/>
          <w:color w:val="auto"/>
        </w:rPr>
      </w:pPr>
    </w:p>
    <w:p>
      <w:pPr>
        <w:jc w:val="both"/>
        <w:ind w:firstLine="250"/>
        <w:spacing w:after="0" w:line="254" w:lineRule="auto"/>
        <w:rPr>
          <w:sz w:val="20"/>
          <w:szCs w:val="20"/>
          <w:color w:val="auto"/>
        </w:rPr>
      </w:pPr>
      <w:r>
        <w:rPr>
          <w:rFonts w:ascii="Arial" w:cs="Arial" w:eastAsia="Arial" w:hAnsi="Arial"/>
          <w:sz w:val="18"/>
          <w:szCs w:val="18"/>
          <w:color w:val="auto"/>
        </w:rPr>
        <w:t xml:space="preserve">Under Law 26702, banks and finance companies are required to maintain an </w:t>
      </w:r>
      <w:r>
        <w:rPr>
          <w:rFonts w:ascii="Arial" w:cs="Arial" w:eastAsia="Arial" w:hAnsi="Arial"/>
          <w:sz w:val="18"/>
          <w:szCs w:val="18"/>
          <w:i w:val="1"/>
          <w:iCs w:val="1"/>
          <w:color w:val="auto"/>
        </w:rPr>
        <w:t>encaje</w:t>
      </w:r>
      <w:r>
        <w:rPr>
          <w:rFonts w:ascii="Arial" w:cs="Arial" w:eastAsia="Arial" w:hAnsi="Arial"/>
          <w:sz w:val="18"/>
          <w:szCs w:val="18"/>
          <w:color w:val="auto"/>
        </w:rPr>
        <w:t xml:space="preserve"> (legal reserve) for certain obligations. The Central Bank may require additional and marginal reserves. The exact level and method of calculation of the reserve requirement is set by the Central Bank. For purposes of calculating the required legal reserve, the following, pursuant to regulations issued by the SBS, are obligations: demand and time deposits, savings accounts, securities, certain bonds and funds administered by the bank. Starting in April 2004, the Central Bank requires reserves on amounts due to foreign banks and other foreign financial companies, which were not previously considered obligations. The regulation excludes funding from other central banks, governments or multilateral lending agencies.</w:t>
      </w:r>
    </w:p>
    <w:p>
      <w:pPr>
        <w:spacing w:after="0" w:line="198" w:lineRule="exact"/>
        <w:rPr>
          <w:sz w:val="20"/>
          <w:szCs w:val="20"/>
          <w:color w:val="auto"/>
        </w:rPr>
      </w:pPr>
    </w:p>
    <w:p>
      <w:pPr>
        <w:jc w:val="both"/>
        <w:ind w:firstLine="261"/>
        <w:spacing w:after="0" w:line="290" w:lineRule="auto"/>
        <w:rPr>
          <w:sz w:val="20"/>
          <w:szCs w:val="20"/>
          <w:color w:val="auto"/>
        </w:rPr>
      </w:pPr>
      <w:r>
        <w:rPr>
          <w:rFonts w:ascii="Arial" w:cs="Arial" w:eastAsia="Arial" w:hAnsi="Arial"/>
          <w:sz w:val="16"/>
          <w:szCs w:val="16"/>
          <w:color w:val="auto"/>
        </w:rPr>
        <w:t>Since August 2000 the rate of the legal reserve has been 6% (formerly 7%) of the obligations described above. The reserve may be kept in cash by the corresponding bank or finance company, with a minimum of 1% held in deposits in current accounts in the Central Bank. Additional reserves for obligations in foreign currency are determined in two steps. First, foreign currency obligations exceeding the base amount, set as the average daily balance during February 2004 (previously October 2000), are subject to a 20% reserve requirement (45% during 1997). In the second step, the obligations equal to or less than the base amount average balance are subject to a reserve requirement “average rate” of approximately 33% since August 2000. This average rate was approximately 43% during 1997, decreasing 4.5 percentage points in the last months of 1998, and again by 3 percentage points in August 2000. The legal reserve (6%) and the additional reserve must be calculated in Nuevos Soles for obligations in local currency and in U.S. Dollars for obligations in foreign currency. The Central Bank</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31" w:right="239" w:bottom="1440" w:gutter="0" w:footer="0" w:header="0"/>
        </w:sectPr>
      </w:pPr>
    </w:p>
    <w:bookmarkStart w:id="52" w:name="page53"/>
    <w:bookmarkEnd w:id="52"/>
    <w:p>
      <w:pPr>
        <w:jc w:val="both"/>
        <w:spacing w:after="0" w:line="268" w:lineRule="auto"/>
        <w:rPr>
          <w:sz w:val="20"/>
          <w:szCs w:val="20"/>
          <w:color w:val="auto"/>
        </w:rPr>
      </w:pPr>
      <w:r>
        <w:rPr>
          <w:rFonts w:ascii="Arial" w:cs="Arial" w:eastAsia="Arial" w:hAnsi="Arial"/>
          <w:sz w:val="18"/>
          <w:szCs w:val="18"/>
          <w:color w:val="auto"/>
        </w:rPr>
        <w:t>also establishes the interest rate payable from time to time on the reserves that exceed the legal 6% requirement. The Central Bank oversees compliance with the reserve requirements.</w:t>
      </w:r>
    </w:p>
    <w:p>
      <w:pPr>
        <w:spacing w:after="0" w:line="186" w:lineRule="exact"/>
        <w:rPr>
          <w:sz w:val="20"/>
          <w:szCs w:val="20"/>
          <w:color w:val="auto"/>
        </w:rPr>
      </w:pPr>
    </w:p>
    <w:p>
      <w:pPr>
        <w:jc w:val="both"/>
        <w:ind w:firstLine="176"/>
        <w:spacing w:after="0" w:line="256" w:lineRule="auto"/>
        <w:rPr>
          <w:sz w:val="20"/>
          <w:szCs w:val="20"/>
          <w:color w:val="auto"/>
        </w:rPr>
      </w:pPr>
      <w:r>
        <w:rPr>
          <w:rFonts w:ascii="Arial" w:cs="Arial" w:eastAsia="Arial" w:hAnsi="Arial"/>
          <w:sz w:val="18"/>
          <w:szCs w:val="18"/>
          <w:color w:val="auto"/>
        </w:rPr>
        <w:t>In the past few years, the Central Bank has on numerous occasions changed the deposit reserve requirements applicable to Peruvian commercial banks and both the rate of interest paid on deposit reserves and the amount of deposit reserves on which no interest is payable by the Central Bank. Changes in the supervision and regulation of BCP, such as changes in deposit reserve requirements or in the amount of interest payable on deposit reserve requirements, may adversely affect the business, financial condition and results of operations of Credicorp.</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Lending Activities</w:t>
      </w:r>
    </w:p>
    <w:p>
      <w:pPr>
        <w:spacing w:after="0" w:line="225" w:lineRule="exact"/>
        <w:rPr>
          <w:sz w:val="20"/>
          <w:szCs w:val="20"/>
          <w:color w:val="auto"/>
        </w:rPr>
      </w:pPr>
    </w:p>
    <w:p>
      <w:pPr>
        <w:jc w:val="both"/>
        <w:ind w:firstLine="223"/>
        <w:spacing w:after="0" w:line="290" w:lineRule="auto"/>
        <w:rPr>
          <w:sz w:val="20"/>
          <w:szCs w:val="20"/>
          <w:color w:val="auto"/>
        </w:rPr>
      </w:pPr>
      <w:r>
        <w:rPr>
          <w:rFonts w:ascii="Arial" w:cs="Arial" w:eastAsia="Arial" w:hAnsi="Arial"/>
          <w:sz w:val="16"/>
          <w:szCs w:val="16"/>
          <w:color w:val="auto"/>
        </w:rPr>
        <w:t>Law 26702 sets maximum amounts of credit that each financial institution may extend to a single borrower. For purposes of Law 26702, a single borrower includes an individual or an economic group. An economic group constituting a single or common risk, according to Law 26702, includes a person, such person’s close relatives and companies in which such person or close relatives have significant share ownership or decision-making capability. According to current regulations, shareholders who own or control directly or indirectly at least one-tenth of a company’s shares are considered significant shareholders. Significant decision-making capability is deemed to be present when, among other factors, a person or group can exercise material and continuous influence upon the decisions of a company, when a person or company holds seats on the Board of Directors or has principal officers in another company, or when it can be assumed that one company or person is the beneficial recipient of credit facilities granted to another company.</w:t>
      </w:r>
    </w:p>
    <w:p>
      <w:pPr>
        <w:spacing w:after="0" w:line="172" w:lineRule="exact"/>
        <w:rPr>
          <w:sz w:val="20"/>
          <w:szCs w:val="20"/>
          <w:color w:val="auto"/>
        </w:rPr>
      </w:pPr>
    </w:p>
    <w:p>
      <w:pPr>
        <w:jc w:val="both"/>
        <w:ind w:firstLine="172"/>
        <w:spacing w:after="0" w:line="255" w:lineRule="auto"/>
        <w:rPr>
          <w:sz w:val="20"/>
          <w:szCs w:val="20"/>
          <w:color w:val="auto"/>
        </w:rPr>
      </w:pPr>
      <w:r>
        <w:rPr>
          <w:rFonts w:ascii="Arial" w:cs="Arial" w:eastAsia="Arial" w:hAnsi="Arial"/>
          <w:sz w:val="18"/>
          <w:szCs w:val="18"/>
          <w:color w:val="auto"/>
        </w:rPr>
        <w:t>The limits for credit extended to one borrower vary according to the type of borrower and the collateral received. The limit applicable to credit for any Peruvian borrower is 10% of the bank’s regulatory capital, applied to both unconsolidated and consolidated records, which may be increased to up to 30% if the loan is collateralized in a manner acceptable under Law 26702. As of December 31, 2003, the 10.0% credit limit per borrower of BCP, unconsolidated, was S/.163.2 million (US$47.1 million) for unsecured loans, and the 30.0% limit amounted to S/.489.7 million (US$141.4 million) for secured loans. If a financial institution exceeds these limits, the SBS may impose a fine on the institution.</w:t>
      </w:r>
    </w:p>
    <w:p>
      <w:pPr>
        <w:spacing w:after="0" w:line="197" w:lineRule="exact"/>
        <w:rPr>
          <w:sz w:val="20"/>
          <w:szCs w:val="20"/>
          <w:color w:val="auto"/>
        </w:rPr>
      </w:pPr>
    </w:p>
    <w:p>
      <w:pPr>
        <w:jc w:val="both"/>
        <w:ind w:firstLine="183"/>
        <w:spacing w:after="0" w:line="256" w:lineRule="auto"/>
        <w:rPr>
          <w:sz w:val="20"/>
          <w:szCs w:val="20"/>
          <w:color w:val="auto"/>
        </w:rPr>
      </w:pPr>
      <w:r>
        <w:rPr>
          <w:rFonts w:ascii="Arial" w:cs="Arial" w:eastAsia="Arial" w:hAnsi="Arial"/>
          <w:sz w:val="18"/>
          <w:szCs w:val="18"/>
          <w:color w:val="auto"/>
        </w:rPr>
        <w:t>In certain limited circumstances, the Central Bank has the authority to establish maximum limits on the interest rates that commercial banks and other financial institutions may charge on loans pursuant to Article 52 of the organic law of the Central Bank. No such limits are currently in place. However, there can be no assurance that in the future the Central Bank will not establish maximum limits on the interest rates that commercial banks or other financial institutions may charge.</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Related Party Transactions</w:t>
      </w:r>
    </w:p>
    <w:p>
      <w:pPr>
        <w:spacing w:after="0" w:line="225" w:lineRule="exact"/>
        <w:rPr>
          <w:sz w:val="20"/>
          <w:szCs w:val="20"/>
          <w:color w:val="auto"/>
        </w:rPr>
      </w:pPr>
    </w:p>
    <w:p>
      <w:pPr>
        <w:jc w:val="both"/>
        <w:ind w:firstLine="218"/>
        <w:spacing w:after="0" w:line="256" w:lineRule="auto"/>
        <w:rPr>
          <w:sz w:val="20"/>
          <w:szCs w:val="20"/>
          <w:color w:val="auto"/>
        </w:rPr>
      </w:pPr>
      <w:r>
        <w:rPr>
          <w:rFonts w:ascii="Arial" w:cs="Arial" w:eastAsia="Arial" w:hAnsi="Arial"/>
          <w:sz w:val="18"/>
          <w:szCs w:val="18"/>
          <w:color w:val="auto"/>
        </w:rPr>
        <w:t>Law 26702 regulates and limits transactions with related parties and affiliates of financial institutions. In 1997, the SBS and CONASEV enacted regulations with precise definitions of indirect ownership, related parties and economic groups, which serve as the basis for determining limits on transactions with related parties and affiliates. These regulations also provide the basis for the subsequent development of specific standards for the supervision of financial and mixed conglomerates formed by financial institutions.</w:t>
      </w:r>
    </w:p>
    <w:p>
      <w:pPr>
        <w:spacing w:after="0" w:line="197" w:lineRule="exact"/>
        <w:rPr>
          <w:sz w:val="20"/>
          <w:szCs w:val="20"/>
          <w:color w:val="auto"/>
        </w:rPr>
      </w:pPr>
    </w:p>
    <w:p>
      <w:pPr>
        <w:jc w:val="both"/>
        <w:ind w:right="20" w:firstLine="213"/>
        <w:spacing w:after="0" w:line="268" w:lineRule="auto"/>
        <w:rPr>
          <w:sz w:val="20"/>
          <w:szCs w:val="20"/>
          <w:color w:val="auto"/>
        </w:rPr>
      </w:pPr>
      <w:r>
        <w:rPr>
          <w:rFonts w:ascii="Arial" w:cs="Arial" w:eastAsia="Arial" w:hAnsi="Arial"/>
          <w:sz w:val="18"/>
          <w:szCs w:val="18"/>
          <w:color w:val="auto"/>
        </w:rPr>
        <w:t>The total amount of loans to directors, employees or close relatives of any such persons may not exceed 7% of a bank’s paid-in capital in the aggregate. All loans made to any single related party borrower may not exceed 0.35% of paid-in capital (</w:t>
      </w:r>
      <w:r>
        <w:rPr>
          <w:rFonts w:ascii="Arial" w:cs="Arial" w:eastAsia="Arial" w:hAnsi="Arial"/>
          <w:sz w:val="18"/>
          <w:szCs w:val="18"/>
          <w:i w:val="1"/>
          <w:iCs w:val="1"/>
          <w:color w:val="auto"/>
        </w:rPr>
        <w:t>i.e.</w:t>
      </w:r>
      <w:r>
        <w:rPr>
          <w:rFonts w:ascii="Arial" w:cs="Arial" w:eastAsia="Arial" w:hAnsi="Arial"/>
          <w:sz w:val="18"/>
          <w:szCs w:val="18"/>
          <w:color w:val="auto"/>
        </w:rPr>
        <w:t>, 5% of the overall 7% limit).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31" w:right="239" w:bottom="1440" w:gutter="0" w:footer="0" w:header="0"/>
        </w:sectPr>
      </w:pPr>
    </w:p>
    <w:bookmarkStart w:id="53" w:name="page54"/>
    <w:bookmarkEnd w:id="53"/>
    <w:p>
      <w:pPr>
        <w:jc w:val="both"/>
        <w:ind w:firstLine="194"/>
        <w:spacing w:after="0" w:line="254" w:lineRule="auto"/>
        <w:rPr>
          <w:sz w:val="20"/>
          <w:szCs w:val="20"/>
          <w:color w:val="auto"/>
        </w:rPr>
      </w:pPr>
      <w:r>
        <w:rPr>
          <w:rFonts w:ascii="Arial" w:cs="Arial" w:eastAsia="Arial" w:hAnsi="Arial"/>
          <w:sz w:val="18"/>
          <w:szCs w:val="18"/>
          <w:color w:val="auto"/>
        </w:rPr>
        <w:t>In addition, under Law 26702, as amended by Law 27102, the aggregate amount of loans to related party borrowers considered to be an economic group may not exceed 30% (previously 75%) of a bank’s regulatory capital. For purposes of this test, related party borrowers include any corporation holding, directly or indirectly, 4% or more of a bank’s shares, directors, certain of a bank’s principal executive officers or persons affiliated with the administrators of the bank. See “—Lending Activities” above for the meaning of “economic group” under Law 26702. Loans to individual related party borrowers are also subject to the limits on lending to a single borrower described under “—Lending Activities” above. All loans to related parties must be made on terms no more favorable than the best terms that the bank offers to the public.</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Ownership Restrictions</w:t>
      </w:r>
    </w:p>
    <w:p>
      <w:pPr>
        <w:spacing w:after="0" w:line="225" w:lineRule="exact"/>
        <w:rPr>
          <w:sz w:val="20"/>
          <w:szCs w:val="20"/>
          <w:color w:val="auto"/>
        </w:rPr>
      </w:pPr>
    </w:p>
    <w:p>
      <w:pPr>
        <w:jc w:val="both"/>
        <w:ind w:firstLine="212"/>
        <w:spacing w:after="0" w:line="287" w:lineRule="auto"/>
        <w:rPr>
          <w:sz w:val="20"/>
          <w:szCs w:val="20"/>
          <w:color w:val="auto"/>
        </w:rPr>
      </w:pPr>
      <w:r>
        <w:rPr>
          <w:rFonts w:ascii="Arial" w:cs="Arial" w:eastAsia="Arial" w:hAnsi="Arial"/>
          <w:sz w:val="16"/>
          <w:szCs w:val="16"/>
          <w:color w:val="auto"/>
        </w:rPr>
        <w:t>Law 26702 establishes certain restrictions on the ownership of a bank’s shares. Banks must have at least two unrelated shareholders at all times. Restrictions are placed on the ownership of shares of any bank by persons that have committed certain crimes, as well as by public officials who have supervisory powers over banks or who are majority shareholders of an enterprise of a similar nature. All transfers of shares in a bank must be reported after the fact to the SBS by the bank. Transfers involving the acquisition by any individual or corporation, whether directly or indirectly, of more than 10% of a bank’s capital stock must receive prior authorization from the SBS. The SBS may deny authorization to such transfer of shares if the purchasers (or their shareholders in the case of juridical persons) are legally disabled, have engaged in illegal activity in the areas of banking, finance, insurance or reinsurance, or if objections are raised on the basis of the purchaser’s moral fitness or economic solvency. The decision of the SBS on this matter is final, and cannot be overturned in the courts. If a transfer is effected without obtaining the prior approval of the SBS, the purchaser may be fined an amount equivalent to the value of the securities transferred. In addition, the purchaser will be required to sell the securities within thirty days, or the fine will double, and the purchaser is disqualified from exercising its voting rights at shareholders’ meetings. Foreign investors receive the same treatment as Peruvian nationals and are subject to the limitations described above.</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Risk Rating</w:t>
      </w:r>
    </w:p>
    <w:p>
      <w:pPr>
        <w:spacing w:after="0" w:line="225" w:lineRule="exact"/>
        <w:rPr>
          <w:sz w:val="20"/>
          <w:szCs w:val="20"/>
          <w:color w:val="auto"/>
        </w:rPr>
      </w:pPr>
    </w:p>
    <w:p>
      <w:pPr>
        <w:jc w:val="both"/>
        <w:ind w:firstLine="176"/>
        <w:spacing w:after="0" w:line="298" w:lineRule="auto"/>
        <w:rPr>
          <w:sz w:val="20"/>
          <w:szCs w:val="20"/>
          <w:color w:val="auto"/>
        </w:rPr>
      </w:pPr>
      <w:r>
        <w:rPr>
          <w:rFonts w:ascii="Arial" w:cs="Arial" w:eastAsia="Arial" w:hAnsi="Arial"/>
          <w:sz w:val="16"/>
          <w:szCs w:val="16"/>
          <w:color w:val="auto"/>
        </w:rPr>
        <w:t>Law 26702 and SBS Resolution No. 672, enacted in October 1997, require that all financial companies be rated by at least two risk rating companies on a semi-annual basis (updated in March and September), in addition to the SBS’s own assessment. Criteria to be considered in the rating include risk management and control procedures, loan quality, financial strength, profitability, liquidity and financial efficiency. Five risk categories are assigned, from “A”, lowest risk, to “E”, highest risk, allowing for sub-categories within each letter. As of September 2003, BCP was assigned the “A” risk category by its two rating agencies.</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Deposit Fund</w:t>
      </w:r>
    </w:p>
    <w:p>
      <w:pPr>
        <w:spacing w:after="0" w:line="225" w:lineRule="exact"/>
        <w:rPr>
          <w:sz w:val="20"/>
          <w:szCs w:val="20"/>
          <w:color w:val="auto"/>
        </w:rPr>
      </w:pPr>
    </w:p>
    <w:p>
      <w:pPr>
        <w:jc w:val="both"/>
        <w:ind w:firstLine="187"/>
        <w:spacing w:after="0" w:line="291" w:lineRule="auto"/>
        <w:rPr>
          <w:sz w:val="20"/>
          <w:szCs w:val="20"/>
          <w:color w:val="auto"/>
        </w:rPr>
      </w:pPr>
      <w:r>
        <w:rPr>
          <w:rFonts w:ascii="Arial" w:cs="Arial" w:eastAsia="Arial" w:hAnsi="Arial"/>
          <w:sz w:val="16"/>
          <w:szCs w:val="16"/>
          <w:color w:val="auto"/>
        </w:rPr>
        <w:t xml:space="preserve">Law 26702 provides for mandatory deposit insurance to protect all types of deposits of financial institutions by establishing the </w:t>
      </w:r>
      <w:r>
        <w:rPr>
          <w:rFonts w:ascii="Arial" w:cs="Arial" w:eastAsia="Arial" w:hAnsi="Arial"/>
          <w:sz w:val="16"/>
          <w:szCs w:val="16"/>
          <w:i w:val="1"/>
          <w:iCs w:val="1"/>
          <w:color w:val="auto"/>
        </w:rPr>
        <w:t>Fondo de Seguro de Depósitos</w:t>
      </w:r>
      <w:r>
        <w:rPr>
          <w:rFonts w:ascii="Arial" w:cs="Arial" w:eastAsia="Arial" w:hAnsi="Arial"/>
          <w:sz w:val="16"/>
          <w:szCs w:val="16"/>
          <w:color w:val="auto"/>
        </w:rPr>
        <w:t xml:space="preserve"> (Deposit Insurance Fund, or the “Fund”) for individuals, associations, not-for-profit companies, and demand deposits of non-financial companies. Financial institutions must pay an annual premium calculated on the basis of the type of deposits accepted by the entity and the risk classification of such entity, made by the SBS and at least two independent risk-rating agencies. The annual premiums begin at 0.45% of total funds on deposit under the coverage of the Fund, if the bank is classified in the lowest risk category, and increase to 1.45% applicable to banks in the highest risk category. The maximum amount that a customer is entitled to recover from the Fund is S/.71,757 from June through August 2004.</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31" w:right="239" w:bottom="1440" w:gutter="0" w:footer="0" w:header="0"/>
        </w:sectPr>
      </w:pPr>
    </w:p>
    <w:bookmarkStart w:id="54" w:name="page55"/>
    <w:bookmarkEnd w:id="54"/>
    <w:p>
      <w:pPr>
        <w:ind w:left="180"/>
        <w:spacing w:after="0"/>
        <w:rPr>
          <w:sz w:val="20"/>
          <w:szCs w:val="20"/>
          <w:color w:val="auto"/>
        </w:rPr>
      </w:pPr>
      <w:r>
        <w:rPr>
          <w:rFonts w:ascii="Arial" w:cs="Arial" w:eastAsia="Arial" w:hAnsi="Arial"/>
          <w:sz w:val="18"/>
          <w:szCs w:val="18"/>
          <w:i w:val="1"/>
          <w:iCs w:val="1"/>
          <w:color w:val="auto"/>
        </w:rPr>
        <w:t>Intervention by the SBS</w:t>
      </w:r>
    </w:p>
    <w:p>
      <w:pPr>
        <w:spacing w:after="0" w:line="225" w:lineRule="exact"/>
        <w:rPr>
          <w:sz w:val="20"/>
          <w:szCs w:val="20"/>
          <w:color w:val="auto"/>
        </w:rPr>
      </w:pPr>
    </w:p>
    <w:p>
      <w:pPr>
        <w:jc w:val="both"/>
        <w:ind w:firstLine="189"/>
        <w:spacing w:after="0" w:line="284" w:lineRule="auto"/>
        <w:rPr>
          <w:sz w:val="20"/>
          <w:szCs w:val="20"/>
          <w:color w:val="auto"/>
        </w:rPr>
      </w:pPr>
      <w:r>
        <w:rPr>
          <w:rFonts w:ascii="Arial" w:cs="Arial" w:eastAsia="Arial" w:hAnsi="Arial"/>
          <w:sz w:val="16"/>
          <w:szCs w:val="16"/>
          <w:color w:val="auto"/>
        </w:rPr>
        <w:t>Pursuant to Law 26702, as amended by Law 27102, the SBS has the power to seize the operations and assets of a bank. These laws provide for three levels of intervention by the SBS: a supervisory regime, an intervention regime and the liquidation of the bank. Any of these actions may be taken upon the occurrence of certain events, including if such bank: (i) interrupts payments on its liabilities; (ii) repeatedly fails to comply with the instructions of the SBS or the Central Bank;</w:t>
      </w:r>
    </w:p>
    <w:p>
      <w:pPr>
        <w:spacing w:after="0" w:line="1" w:lineRule="exact"/>
        <w:rPr>
          <w:sz w:val="20"/>
          <w:szCs w:val="20"/>
          <w:color w:val="auto"/>
        </w:rPr>
      </w:pPr>
    </w:p>
    <w:p>
      <w:pPr>
        <w:jc w:val="both"/>
        <w:ind w:firstLine="8"/>
        <w:spacing w:after="0" w:line="295" w:lineRule="auto"/>
        <w:tabs>
          <w:tab w:leader="none" w:pos="307"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repeatedly violates the law or the provisions of the bank’s bye-laws; (iv) repeatedly manages its operations in an unauthorized or unsound manner; or (v) its regulatory capital falls or is reduced by more than 50%. Rather than seizing the operations and assets of a bank, the SBS may adopt other measures, including (i) placing additional requirements on a commercial bank, (ii) ordering it to increase its capital stock or divest certain or all of its assets, or (iii) imposing a special supervision regime during which the bank must adhere to a financial restructuring plan.</w:t>
      </w:r>
    </w:p>
    <w:p>
      <w:pPr>
        <w:spacing w:after="0" w:line="169" w:lineRule="exact"/>
        <w:rPr>
          <w:sz w:val="20"/>
          <w:szCs w:val="20"/>
          <w:color w:val="auto"/>
        </w:rPr>
      </w:pPr>
    </w:p>
    <w:p>
      <w:pPr>
        <w:jc w:val="both"/>
        <w:ind w:firstLine="244"/>
        <w:spacing w:after="0" w:line="255" w:lineRule="auto"/>
        <w:rPr>
          <w:sz w:val="20"/>
          <w:szCs w:val="20"/>
          <w:color w:val="auto"/>
        </w:rPr>
      </w:pPr>
      <w:r>
        <w:rPr>
          <w:rFonts w:ascii="Arial" w:cs="Arial" w:eastAsia="Arial" w:hAnsi="Arial"/>
          <w:sz w:val="18"/>
          <w:szCs w:val="18"/>
          <w:color w:val="auto"/>
        </w:rPr>
        <w:t>The SBS intervention regime halts a bank’s operations and may last for a maximum of 45 days, which may be extended for a second period of up to 45 additional days, during which time the SBS may institute measures such as: (i) canceling losses by reducing reserves, capital and subordinated debt; (ii) segregating certain assets and liabilities for transfer to another financial institution; and (iii) merging the intervened bank with another acquiring institution according to the program established by Urgent Decree No. 108-2000, enacted in November 2000. After the intervention, the SBS will proceed to liquidate the bank except if the preceding option (iii) was applied.</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(iii) ASHC</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jc w:val="both"/>
        <w:ind w:firstLine="180"/>
        <w:spacing w:after="0" w:line="256" w:lineRule="auto"/>
        <w:rPr>
          <w:sz w:val="20"/>
          <w:szCs w:val="20"/>
          <w:color w:val="auto"/>
        </w:rPr>
      </w:pPr>
      <w:r>
        <w:rPr>
          <w:rFonts w:ascii="Arial" w:cs="Arial" w:eastAsia="Arial" w:hAnsi="Arial"/>
          <w:sz w:val="18"/>
          <w:szCs w:val="18"/>
          <w:color w:val="auto"/>
        </w:rPr>
        <w:t>ASB, a subsidiary of ASHC, is a Cayman Islands bank with a branch in Panama. ASB is regulated by the regulatory authorities of the Cayman Islands and the Panama branch is regulated by the banking authorities of Panama. The supervision of ASB by Cayman Islands and Panamanian regulatory authorities is less extensive than the supervision and regulation of U.S. banks by U.S. banking authorities. In particular, ASB does not have a lender of last resort and its deposits are not guaranteed by any government agency.</w:t>
      </w:r>
    </w:p>
    <w:p>
      <w:pPr>
        <w:spacing w:after="0" w:line="197" w:lineRule="exact"/>
        <w:rPr>
          <w:sz w:val="20"/>
          <w:szCs w:val="20"/>
          <w:color w:val="auto"/>
        </w:rPr>
      </w:pPr>
    </w:p>
    <w:p>
      <w:pPr>
        <w:jc w:val="both"/>
        <w:ind w:firstLine="265"/>
        <w:spacing w:after="0" w:line="256" w:lineRule="auto"/>
        <w:rPr>
          <w:sz w:val="20"/>
          <w:szCs w:val="20"/>
          <w:color w:val="auto"/>
        </w:rPr>
      </w:pPr>
      <w:r>
        <w:rPr>
          <w:rFonts w:ascii="Arial" w:cs="Arial" w:eastAsia="Arial" w:hAnsi="Arial"/>
          <w:sz w:val="18"/>
          <w:szCs w:val="18"/>
          <w:color w:val="auto"/>
        </w:rPr>
        <w:t>ASB is registered as an exempted company and licensed in the Cayman Islands pursuant to the Banks and Trust Companies Law (2003 Revision) (the “Cayman Banking Law”). ASB holds an unrestricted Category B Banking License and a Trust License. As a holder of a Category B License, ASB may not take deposits from any person resident in the Cayman Islands other than another licensee or an exempted or an ordinary non-resident company which is not carrying on business in the Cayman Islands.</w:t>
      </w:r>
    </w:p>
    <w:p>
      <w:pPr>
        <w:spacing w:after="0" w:line="197" w:lineRule="exact"/>
        <w:rPr>
          <w:sz w:val="20"/>
          <w:szCs w:val="20"/>
          <w:color w:val="auto"/>
        </w:rPr>
      </w:pPr>
    </w:p>
    <w:p>
      <w:pPr>
        <w:jc w:val="both"/>
        <w:ind w:firstLine="212"/>
        <w:spacing w:after="0" w:line="253" w:lineRule="auto"/>
        <w:rPr>
          <w:sz w:val="20"/>
          <w:szCs w:val="20"/>
          <w:color w:val="auto"/>
        </w:rPr>
      </w:pPr>
      <w:r>
        <w:rPr>
          <w:rFonts w:ascii="Arial" w:cs="Arial" w:eastAsia="Arial" w:hAnsi="Arial"/>
          <w:sz w:val="18"/>
          <w:szCs w:val="18"/>
          <w:color w:val="auto"/>
        </w:rPr>
        <w:t>ASB also may not invest in any asset which represents a claim on any person resident in the Cayman Islands except a claim resulting from: (i) a loan to an exempted or an ordinary non-resident company not carrying on business in the Cayman Islands; (ii) a loan by way of mortgage to a member of its staff or to a person possessing or being deemed to possess Caymanian status under the Immigration Law, for the purchase or construction of a residence in the Cayman Islands to be owner-occupied; (iii) a transaction with another licensee; or (iv) the purchase of bonds or other securities issued by the government of the Cayman Islands, a body incorporated by statute, or a company in which the government is the sole or majority beneficial owner. In addition, ASB may not, without the written approval of the Cayman Islands Monetary Authority (the “Authority”), carry on any business in the Cayman Islands other than for which the “B” license has been obtained.</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31" w:right="239" w:bottom="1440" w:gutter="0" w:footer="0" w:header="0"/>
        </w:sectPr>
      </w:pPr>
    </w:p>
    <w:bookmarkStart w:id="55" w:name="page56"/>
    <w:bookmarkEnd w:id="55"/>
    <w:p>
      <w:pPr>
        <w:jc w:val="both"/>
        <w:ind w:firstLine="177"/>
        <w:spacing w:after="0" w:line="291" w:lineRule="auto"/>
        <w:rPr>
          <w:sz w:val="20"/>
          <w:szCs w:val="20"/>
          <w:color w:val="auto"/>
        </w:rPr>
      </w:pPr>
      <w:r>
        <w:rPr>
          <w:rFonts w:ascii="Arial" w:cs="Arial" w:eastAsia="Arial" w:hAnsi="Arial"/>
          <w:sz w:val="16"/>
          <w:szCs w:val="16"/>
          <w:color w:val="auto"/>
        </w:rPr>
        <w:t>There are no specified ratio or liquidity requirements under the Cayman Banking Law, but the Authority expects observance of prudent banking practices. As a matter of general practice, the ratio of liabilities to capital and surplus should not exceed 40-to-1 and the ratio of risk-weighted assets to capital and surplus should not exceed 8.33-to-1 (12%). There is a statutory minimum net worth requirement of US$480,000, but, in the normal course of events, the Authority will require a bank or trust company to maintain a higher paid-in capital appropriate to its business. It is the practice of the Authority to require compliance with the guidelines promulgated by the Basel Accord on Banking Regulations and Supervisory Practices although, in special circumstances, different gearing and/or capital risk asset ratios may be negotiated. Monitoring of compliance with the Cayman Banking Law is the responsibility of the Authority.</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Continuing Requirements</w:t>
      </w:r>
    </w:p>
    <w:p>
      <w:pPr>
        <w:spacing w:after="0" w:line="225" w:lineRule="exact"/>
        <w:rPr>
          <w:sz w:val="20"/>
          <w:szCs w:val="20"/>
          <w:color w:val="auto"/>
        </w:rPr>
      </w:pPr>
    </w:p>
    <w:p>
      <w:pPr>
        <w:jc w:val="both"/>
        <w:ind w:firstLine="278"/>
        <w:spacing w:after="0" w:line="284" w:lineRule="auto"/>
        <w:rPr>
          <w:sz w:val="20"/>
          <w:szCs w:val="20"/>
          <w:color w:val="auto"/>
        </w:rPr>
      </w:pPr>
      <w:r>
        <w:rPr>
          <w:rFonts w:ascii="Arial" w:cs="Arial" w:eastAsia="Arial" w:hAnsi="Arial"/>
          <w:sz w:val="16"/>
          <w:szCs w:val="16"/>
          <w:color w:val="auto"/>
        </w:rPr>
        <w:t>Under the law of the Cayman Islands, ASB is subject to the following continuing requirements: (i) to ensure good standing under the Cayman Islands Companies Law, including the filing of annual and other returns and the payment of annual fees; (ii) to file with the Registrar of Companies particulars of any change in the information or documents required to be supplied to him and to pay annual fees; (iii) to file quarterly with the Authority certain prescribed forms;</w:t>
      </w:r>
    </w:p>
    <w:p>
      <w:pPr>
        <w:spacing w:after="0" w:line="1" w:lineRule="exact"/>
        <w:rPr>
          <w:sz w:val="20"/>
          <w:szCs w:val="20"/>
          <w:color w:val="auto"/>
        </w:rPr>
      </w:pPr>
    </w:p>
    <w:p>
      <w:pPr>
        <w:jc w:val="both"/>
        <w:ind w:firstLine="8"/>
        <w:spacing w:after="0" w:line="255" w:lineRule="auto"/>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file with the Authority audited accounts within three months of each financial year, in the case of a locally incorporated bank which is not part of a substantial international banking group, current practice is also to request a senior officer or board member to discuss these accounts each year personally at a meeting with the Authority; and (v) to file an annual questionnaire.</w:t>
      </w:r>
    </w:p>
    <w:p>
      <w:pPr>
        <w:spacing w:after="0" w:line="198" w:lineRule="exact"/>
        <w:rPr>
          <w:sz w:val="20"/>
          <w:szCs w:val="20"/>
          <w:color w:val="auto"/>
        </w:rPr>
      </w:pPr>
    </w:p>
    <w:p>
      <w:pPr>
        <w:jc w:val="both"/>
        <w:ind w:firstLine="225"/>
        <w:spacing w:after="0" w:line="290" w:lineRule="auto"/>
        <w:rPr>
          <w:sz w:val="20"/>
          <w:szCs w:val="20"/>
          <w:color w:val="auto"/>
        </w:rPr>
      </w:pPr>
      <w:r>
        <w:rPr>
          <w:rFonts w:ascii="Arial" w:cs="Arial" w:eastAsia="Arial" w:hAnsi="Arial"/>
          <w:sz w:val="16"/>
          <w:szCs w:val="16"/>
          <w:color w:val="auto"/>
        </w:rPr>
        <w:t>ASB is required by the Cayman Banking Law to have at least two directors. Additionally, ASB must receive prior approval from the Authority (i) for any proposed change in the directors or senior officers, though in exceptional cases a waiver can be obtained enabling changes to be reported after the event or even annually in the case of a branch of a substantial international bank, (ii) for the issue, transfer or other disposal of shares (it is rare for a waiver to be granted in respect of shares except in the case of a branch of a substantial international bank and where the shares are widely held and publicly traded), (iii) for any significant change in the “business plan” filed on the filing of the original License application, or (iv) to open a subsidiary, branch, agency or representative office outside the Cayman Islands. Finally, ASB must obtain the prior approval of the Authority to change its name and must also notify the Authority of any change in the principal office and authorized agents in the Cayman Islands.</w:t>
      </w:r>
    </w:p>
    <w:p>
      <w:pPr>
        <w:spacing w:after="0" w:line="17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(iv) Banco Tequendama</w:t>
      </w:r>
    </w:p>
    <w:p>
      <w:pPr>
        <w:spacing w:after="0" w:line="225" w:lineRule="exact"/>
        <w:rPr>
          <w:sz w:val="20"/>
          <w:szCs w:val="20"/>
          <w:color w:val="auto"/>
        </w:rPr>
      </w:pPr>
    </w:p>
    <w:p>
      <w:pPr>
        <w:jc w:val="both"/>
        <w:ind w:firstLine="184"/>
        <w:spacing w:after="0" w:line="253" w:lineRule="auto"/>
        <w:rPr>
          <w:sz w:val="20"/>
          <w:szCs w:val="20"/>
          <w:color w:val="auto"/>
        </w:rPr>
      </w:pPr>
      <w:r>
        <w:rPr>
          <w:rFonts w:ascii="Arial" w:cs="Arial" w:eastAsia="Arial" w:hAnsi="Arial"/>
          <w:sz w:val="18"/>
          <w:szCs w:val="18"/>
          <w:color w:val="auto"/>
        </w:rPr>
        <w:t xml:space="preserve">The Colombian financial system operates within the framework of Law 45, which has been modified repeatedly since 1990 in order to make Colombian banks more competitive and to comport with the Basel Accord guidelines, including the requirement to report consolidated financial statements. Banking regulations are issued by the </w:t>
      </w:r>
      <w:r>
        <w:rPr>
          <w:rFonts w:ascii="Arial" w:cs="Arial" w:eastAsia="Arial" w:hAnsi="Arial"/>
          <w:sz w:val="18"/>
          <w:szCs w:val="18"/>
          <w:i w:val="1"/>
          <w:iCs w:val="1"/>
          <w:color w:val="auto"/>
        </w:rPr>
        <w:t>Banco de la República</w:t>
      </w:r>
      <w:r>
        <w:rPr>
          <w:rFonts w:ascii="Arial" w:cs="Arial" w:eastAsia="Arial" w:hAnsi="Arial"/>
          <w:sz w:val="18"/>
          <w:szCs w:val="18"/>
          <w:color w:val="auto"/>
        </w:rPr>
        <w:t xml:space="preserve"> (the “Colombian Central Bank”) and by the </w:t>
      </w:r>
      <w:r>
        <w:rPr>
          <w:rFonts w:ascii="Arial" w:cs="Arial" w:eastAsia="Arial" w:hAnsi="Arial"/>
          <w:sz w:val="18"/>
          <w:szCs w:val="18"/>
          <w:i w:val="1"/>
          <w:iCs w:val="1"/>
          <w:color w:val="auto"/>
        </w:rPr>
        <w:t>Superintendencia Bancaria</w:t>
      </w:r>
      <w:r>
        <w:rPr>
          <w:rFonts w:ascii="Arial" w:cs="Arial" w:eastAsia="Arial" w:hAnsi="Arial"/>
          <w:sz w:val="18"/>
          <w:szCs w:val="18"/>
          <w:color w:val="auto"/>
        </w:rPr>
        <w:t xml:space="preserve"> (the “Banking Superintendency”). The Colombian Central Bank is in charge of monetary and exchange rate policies, setting legal reserves and possible interest rate controls. It also acts as banker to Colombia’s financial institutions and as the lender of last resort. The Banking Superintendency supervises financial activities to ensure compliance with Colombia’s law of financial institutions, with the exception of brokerage houses, which fall under the jurisdiction of the </w:t>
      </w:r>
      <w:r>
        <w:rPr>
          <w:rFonts w:ascii="Arial" w:cs="Arial" w:eastAsia="Arial" w:hAnsi="Arial"/>
          <w:sz w:val="18"/>
          <w:szCs w:val="18"/>
          <w:i w:val="1"/>
          <w:iCs w:val="1"/>
          <w:color w:val="auto"/>
        </w:rPr>
        <w:t>Superintendencia de Valores</w:t>
      </w:r>
      <w:r>
        <w:rPr>
          <w:rFonts w:ascii="Arial" w:cs="Arial" w:eastAsia="Arial" w:hAnsi="Arial"/>
          <w:sz w:val="18"/>
          <w:szCs w:val="18"/>
          <w:color w:val="auto"/>
        </w:rPr>
        <w:t xml:space="preserve"> (the Securities Superintendency).</w:t>
      </w:r>
    </w:p>
    <w:p>
      <w:pPr>
        <w:spacing w:after="0" w:line="20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 BCB</w:t>
      </w:r>
    </w:p>
    <w:p>
      <w:pPr>
        <w:spacing w:after="0" w:line="225" w:lineRule="exact"/>
        <w:rPr>
          <w:sz w:val="20"/>
          <w:szCs w:val="20"/>
          <w:color w:val="auto"/>
        </w:rPr>
      </w:pPr>
    </w:p>
    <w:p>
      <w:pPr>
        <w:jc w:val="both"/>
        <w:ind w:firstLine="182"/>
        <w:spacing w:after="0" w:line="268" w:lineRule="auto"/>
        <w:rPr>
          <w:sz w:val="20"/>
          <w:szCs w:val="20"/>
          <w:color w:val="auto"/>
        </w:rPr>
      </w:pPr>
      <w:r>
        <w:rPr>
          <w:rFonts w:ascii="Arial" w:cs="Arial" w:eastAsia="Arial" w:hAnsi="Arial"/>
          <w:sz w:val="18"/>
          <w:szCs w:val="18"/>
          <w:color w:val="auto"/>
        </w:rPr>
        <w:t xml:space="preserve">The Bolivian banking system operates under the </w:t>
      </w:r>
      <w:r>
        <w:rPr>
          <w:rFonts w:ascii="Arial" w:cs="Arial" w:eastAsia="Arial" w:hAnsi="Arial"/>
          <w:sz w:val="18"/>
          <w:szCs w:val="18"/>
          <w:i w:val="1"/>
          <w:iCs w:val="1"/>
          <w:color w:val="auto"/>
        </w:rPr>
        <w:t>Ley de Bancos y Entidades Financieras</w:t>
      </w:r>
      <w:r>
        <w:rPr>
          <w:rFonts w:ascii="Arial" w:cs="Arial" w:eastAsia="Arial" w:hAnsi="Arial"/>
          <w:sz w:val="18"/>
          <w:szCs w:val="18"/>
          <w:color w:val="auto"/>
        </w:rPr>
        <w:t xml:space="preserve"> (the Law of Banks and Financial Entities) No. 1488, enacted on April 14, 1993, which grants supervisory powers to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31" w:right="239" w:bottom="1440" w:gutter="0" w:footer="0" w:header="0"/>
        </w:sectPr>
      </w:pPr>
    </w:p>
    <w:bookmarkStart w:id="56" w:name="page57"/>
    <w:bookmarkEnd w:id="56"/>
    <w:p>
      <w:pPr>
        <w:jc w:val="both"/>
        <w:spacing w:after="0" w:line="255" w:lineRule="auto"/>
        <w:rPr>
          <w:sz w:val="20"/>
          <w:szCs w:val="20"/>
          <w:color w:val="auto"/>
        </w:rPr>
      </w:pPr>
      <w:r>
        <w:rPr>
          <w:rFonts w:ascii="Arial" w:cs="Arial" w:eastAsia="Arial" w:hAnsi="Arial"/>
          <w:sz w:val="18"/>
          <w:szCs w:val="18"/>
          <w:color w:val="auto"/>
        </w:rPr>
        <w:t xml:space="preserve">the Superintendency of Banks and Financial Entities. Additionally, Banco Central de Bolivia (the Central Bank of Bolivia) regulates financial intermediation and deposit gathering activities, determines monetary and foreign exchange policies, and establishes reserve requirements on deposits and capital adequacy guidelines that banks and financial companies must follow. The </w:t>
      </w:r>
      <w:r>
        <w:rPr>
          <w:rFonts w:ascii="Arial" w:cs="Arial" w:eastAsia="Arial" w:hAnsi="Arial"/>
          <w:sz w:val="18"/>
          <w:szCs w:val="18"/>
          <w:i w:val="1"/>
          <w:iCs w:val="1"/>
          <w:color w:val="auto"/>
        </w:rPr>
        <w:t>Superintendencia de Valores</w:t>
      </w:r>
      <w:r>
        <w:rPr>
          <w:rFonts w:ascii="Arial" w:cs="Arial" w:eastAsia="Arial" w:hAnsi="Arial"/>
          <w:sz w:val="18"/>
          <w:szCs w:val="18"/>
          <w:color w:val="auto"/>
        </w:rPr>
        <w:t xml:space="preserve"> (the Securities Superintendency) supervises brokerage activities, as conducted through Credibolsa S.A., BCB’s subsidiary, which operates under the </w:t>
      </w:r>
      <w:r>
        <w:rPr>
          <w:rFonts w:ascii="Arial" w:cs="Arial" w:eastAsia="Arial" w:hAnsi="Arial"/>
          <w:sz w:val="18"/>
          <w:szCs w:val="18"/>
          <w:i w:val="1"/>
          <w:iCs w:val="1"/>
          <w:color w:val="auto"/>
        </w:rPr>
        <w:t>Ley del Mercado de Valores</w:t>
      </w:r>
      <w:r>
        <w:rPr>
          <w:rFonts w:ascii="Arial" w:cs="Arial" w:eastAsia="Arial" w:hAnsi="Arial"/>
          <w:sz w:val="18"/>
          <w:szCs w:val="18"/>
          <w:color w:val="auto"/>
        </w:rPr>
        <w:t xml:space="preserve"> (the Securities Markets Law) No. 1834, enacted on March 31, 1998.</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(vi) PPS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jc w:val="both"/>
        <w:ind w:firstLine="247"/>
        <w:spacing w:after="0" w:line="255" w:lineRule="auto"/>
        <w:rPr>
          <w:sz w:val="20"/>
          <w:szCs w:val="20"/>
          <w:color w:val="auto"/>
        </w:rPr>
      </w:pPr>
      <w:r>
        <w:rPr>
          <w:rFonts w:ascii="Arial" w:cs="Arial" w:eastAsia="Arial" w:hAnsi="Arial"/>
          <w:sz w:val="18"/>
          <w:szCs w:val="18"/>
          <w:color w:val="auto"/>
        </w:rPr>
        <w:t>The operations of PPS are regulated by Law 26702 and the SBS. Peruvian insurance companies must regularly submit reports to the SBS regarding their operations. In addition, the SBS conducts on-sight examinations of insurance companies at least on an annual basis, primarily to review compliance with the solvency margin and reserve requirements, investment requirements and the rules governing the recognition of premium income. If the SBS determines that a company is unable to meet the solvency margin or technical reserve requirements, or is unable to pay claims as they come due, it may either liquidate the company or permit it to merge with another insurance company.</w:t>
      </w:r>
    </w:p>
    <w:p>
      <w:pPr>
        <w:spacing w:after="0" w:line="197"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Under Peruvian law, insurance companies may engage in certain credit risk operations, such as guarantees, bonds and trusteeships, but are prohibited from offering other banking services, operating mutual funds or offering portfolio management services. In addition, insurance companies may not conduct brokerage operations for third parties.</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Peruvian insurance companies are prohibited from having an ownership interest in other insurance or reinsurance companies or in private pension funds.</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Establishment of an Insurance Company</w:t>
      </w:r>
    </w:p>
    <w:p>
      <w:pPr>
        <w:spacing w:after="0" w:line="225" w:lineRule="exact"/>
        <w:rPr>
          <w:sz w:val="20"/>
          <w:szCs w:val="20"/>
          <w:color w:val="auto"/>
        </w:rPr>
      </w:pPr>
    </w:p>
    <w:p>
      <w:pPr>
        <w:jc w:val="both"/>
        <w:ind w:firstLine="217"/>
        <w:spacing w:after="0" w:line="306" w:lineRule="auto"/>
        <w:rPr>
          <w:sz w:val="20"/>
          <w:szCs w:val="20"/>
          <w:color w:val="auto"/>
        </w:rPr>
      </w:pPr>
      <w:r>
        <w:rPr>
          <w:rFonts w:ascii="Arial" w:cs="Arial" w:eastAsia="Arial" w:hAnsi="Arial"/>
          <w:sz w:val="16"/>
          <w:szCs w:val="16"/>
          <w:color w:val="auto"/>
        </w:rPr>
        <w:t xml:space="preserve">Insurance companies must seek the authorization of the SBS before commencing operations. Peruvian law establishes certain minimum capital requirements for insurance and reinsurance companies. These requirements must be met through cash investments in the company. The statutory amounts are expressed in constant value and are adjusted quarterly based on the </w:t>
      </w:r>
      <w:r>
        <w:rPr>
          <w:rFonts w:ascii="Arial" w:cs="Arial" w:eastAsia="Arial" w:hAnsi="Arial"/>
          <w:sz w:val="16"/>
          <w:szCs w:val="16"/>
          <w:i w:val="1"/>
          <w:iCs w:val="1"/>
          <w:color w:val="auto"/>
        </w:rPr>
        <w:t>Indice de Precios al Por Mayor</w:t>
      </w:r>
      <w:r>
        <w:rPr>
          <w:rFonts w:ascii="Arial" w:cs="Arial" w:eastAsia="Arial" w:hAnsi="Arial"/>
          <w:sz w:val="16"/>
          <w:szCs w:val="16"/>
          <w:color w:val="auto"/>
        </w:rPr>
        <w:t xml:space="preserve"> (the Wholesale Price Index).</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Solvency Requirements</w:t>
      </w:r>
    </w:p>
    <w:p>
      <w:pPr>
        <w:spacing w:after="0" w:line="225" w:lineRule="exact"/>
        <w:rPr>
          <w:sz w:val="20"/>
          <w:szCs w:val="20"/>
          <w:color w:val="auto"/>
        </w:rPr>
      </w:pPr>
    </w:p>
    <w:p>
      <w:pPr>
        <w:jc w:val="both"/>
        <w:ind w:right="20" w:firstLine="176"/>
        <w:spacing w:after="0" w:line="332" w:lineRule="auto"/>
        <w:rPr>
          <w:sz w:val="20"/>
          <w:szCs w:val="20"/>
          <w:color w:val="auto"/>
        </w:rPr>
      </w:pPr>
      <w:r>
        <w:rPr>
          <w:rFonts w:ascii="Arial" w:cs="Arial" w:eastAsia="Arial" w:hAnsi="Arial"/>
          <w:sz w:val="16"/>
          <w:szCs w:val="16"/>
          <w:color w:val="auto"/>
        </w:rPr>
        <w:t>Pursuant to Law 26702, the SBS regulates the solvency margin of Peruvian insurance companies. The solvency margin is based upon calculations that take into account the amount of premiums written and losses incurred during a specified period prior to date on which the calculation is made.</w:t>
      </w:r>
    </w:p>
    <w:p>
      <w:pPr>
        <w:spacing w:after="0" w:line="139" w:lineRule="exact"/>
        <w:rPr>
          <w:sz w:val="20"/>
          <w:szCs w:val="20"/>
          <w:color w:val="auto"/>
        </w:rPr>
      </w:pPr>
    </w:p>
    <w:p>
      <w:pPr>
        <w:jc w:val="both"/>
        <w:ind w:firstLine="197"/>
        <w:spacing w:after="0" w:line="256" w:lineRule="auto"/>
        <w:rPr>
          <w:sz w:val="20"/>
          <w:szCs w:val="20"/>
          <w:color w:val="auto"/>
        </w:rPr>
      </w:pPr>
      <w:r>
        <w:rPr>
          <w:rFonts w:ascii="Arial" w:cs="Arial" w:eastAsia="Arial" w:hAnsi="Arial"/>
          <w:sz w:val="18"/>
          <w:szCs w:val="18"/>
          <w:color w:val="auto"/>
        </w:rPr>
        <w:t>Insurance companies must also maintain “solvency equity,” which must at least be equal to the highest of (a) the solvency margin, or (b) the minimum capital requirement, as established by law, or (c) the company’s overall indebtedness, calculated in accordance with the provisions of Law 26702. The required amount of solvency equity is recalculated at least quarterly and is adjusted for inflation. If the insurance company has outstanding credit risk operations, part of the solvency equity should be segregated for their coverage.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31" w:right="239" w:bottom="1440" w:gutter="0" w:footer="0" w:header="0"/>
        </w:sectPr>
      </w:pPr>
    </w:p>
    <w:bookmarkStart w:id="57" w:name="page58"/>
    <w:bookmarkEnd w:id="57"/>
    <w:p>
      <w:pPr>
        <w:ind w:left="180"/>
        <w:spacing w:after="0"/>
        <w:rPr>
          <w:sz w:val="20"/>
          <w:szCs w:val="20"/>
          <w:color w:val="auto"/>
        </w:rPr>
      </w:pPr>
      <w:r>
        <w:rPr>
          <w:rFonts w:ascii="Arial" w:cs="Arial" w:eastAsia="Arial" w:hAnsi="Arial"/>
          <w:sz w:val="18"/>
          <w:szCs w:val="18"/>
          <w:i w:val="1"/>
          <w:iCs w:val="1"/>
          <w:color w:val="auto"/>
        </w:rPr>
        <w:t>Legal Reserve Requirements</w:t>
      </w:r>
    </w:p>
    <w:p>
      <w:pPr>
        <w:spacing w:after="0" w:line="225" w:lineRule="exact"/>
        <w:rPr>
          <w:sz w:val="20"/>
          <w:szCs w:val="20"/>
          <w:color w:val="auto"/>
        </w:rPr>
      </w:pPr>
    </w:p>
    <w:p>
      <w:pPr>
        <w:jc w:val="both"/>
        <w:ind w:firstLine="210"/>
        <w:spacing w:after="0" w:line="332" w:lineRule="auto"/>
        <w:rPr>
          <w:sz w:val="20"/>
          <w:szCs w:val="20"/>
          <w:color w:val="auto"/>
        </w:rPr>
      </w:pPr>
      <w:r>
        <w:rPr>
          <w:rFonts w:ascii="Arial" w:cs="Arial" w:eastAsia="Arial" w:hAnsi="Arial"/>
          <w:sz w:val="16"/>
          <w:szCs w:val="16"/>
          <w:color w:val="auto"/>
        </w:rPr>
        <w:t>Peruvian law also requires that all insurance companies establish a legal guarantee reserve for policyholders, by setting aside 10% of adjusted income before taxes, until the reserve reaches at least 35% of paid-in capital. For PPS, the minimum capital required as of June 30, 2004 is S/.12.3 million (US$3.6 million).</w:t>
      </w:r>
    </w:p>
    <w:p>
      <w:pPr>
        <w:spacing w:after="0" w:line="13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Reserve Requirements</w:t>
      </w:r>
    </w:p>
    <w:p>
      <w:pPr>
        <w:spacing w:after="0" w:line="225" w:lineRule="exact"/>
        <w:rPr>
          <w:sz w:val="20"/>
          <w:szCs w:val="20"/>
          <w:color w:val="auto"/>
        </w:rPr>
      </w:pPr>
    </w:p>
    <w:p>
      <w:pPr>
        <w:jc w:val="both"/>
        <w:ind w:firstLine="267"/>
        <w:spacing w:after="0" w:line="294" w:lineRule="auto"/>
        <w:rPr>
          <w:sz w:val="20"/>
          <w:szCs w:val="20"/>
          <w:color w:val="auto"/>
        </w:rPr>
      </w:pPr>
      <w:r>
        <w:rPr>
          <w:rFonts w:ascii="Arial" w:cs="Arial" w:eastAsia="Arial" w:hAnsi="Arial"/>
          <w:sz w:val="16"/>
          <w:szCs w:val="16"/>
          <w:color w:val="auto"/>
        </w:rPr>
        <w:t>Pursuant to Law 26702 and regulations issued by the SBS, Peruvian insurance companies must establish Technical Reserves. See “—(5) Insurance—(ii) Claims and Reserves.” Law 26702 also requires insurance companies to create a reserve for IBNR claims, which are reflected as a liability, net of recoveries and reinsurance, in the Credicorp Consolidated Financial Statements, and estimated by taking into consideration the arithmetic progression of the percentages of reserves incurred but not reported, computed over the actual figures for the prior seven years. See Note 3(f) to the Credicorp Consolidated Financial Statements. Finally, PPS is required by the SBS to establish pre-event reserves for risk of catastrophes. See “—(5) Insurance—(ii) Claims and Reserves.”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Investment Requirements</w:t>
      </w:r>
    </w:p>
    <w:p>
      <w:pPr>
        <w:spacing w:after="0" w:line="225" w:lineRule="exact"/>
        <w:rPr>
          <w:sz w:val="20"/>
          <w:szCs w:val="20"/>
          <w:color w:val="auto"/>
        </w:rPr>
      </w:pPr>
    </w:p>
    <w:p>
      <w:pPr>
        <w:jc w:val="both"/>
        <w:ind w:firstLine="242"/>
        <w:spacing w:after="0" w:line="253" w:lineRule="auto"/>
        <w:rPr>
          <w:sz w:val="20"/>
          <w:szCs w:val="20"/>
          <w:color w:val="auto"/>
        </w:rPr>
      </w:pPr>
      <w:r>
        <w:rPr>
          <w:rFonts w:ascii="Arial" w:cs="Arial" w:eastAsia="Arial" w:hAnsi="Arial"/>
          <w:sz w:val="18"/>
          <w:szCs w:val="18"/>
          <w:color w:val="auto"/>
        </w:rPr>
        <w:t>Pursuant to Law 26702, the total amount of an insurance company’s “solvency equity” and Technical Reserves must be permanently supported by diversified assets, which may not be pledged or otherwise encumbered. The investment regulations further specify that deposits in and bonds of one financial institution together cannot exceed 10% of the total of an insurer’s “solvency equity” and Technical Reserves combined. In general, no more than 20% of an insurance company’s “solvency equity” and Technical Reserves combined may be invested in instruments (including stocks and bonds) issued by a company or group of companies. In addition, in order for an insurance company to invest in non-Peruvian securities, such securities must be rated by an internationally recognized credit rating company. Securities owned by insurance companies must be registered in the Public Registry of Securities of Perú or the analogous registry of their respective country.</w:t>
      </w:r>
    </w:p>
    <w:p>
      <w:pPr>
        <w:spacing w:after="0" w:line="20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Related Party Transactions</w:t>
      </w:r>
    </w:p>
    <w:p>
      <w:pPr>
        <w:spacing w:after="0" w:line="225" w:lineRule="exact"/>
        <w:rPr>
          <w:sz w:val="20"/>
          <w:szCs w:val="20"/>
          <w:color w:val="auto"/>
        </w:rPr>
      </w:pPr>
    </w:p>
    <w:p>
      <w:pPr>
        <w:jc w:val="both"/>
        <w:ind w:firstLine="257"/>
        <w:spacing w:after="0" w:line="268" w:lineRule="auto"/>
        <w:rPr>
          <w:sz w:val="20"/>
          <w:szCs w:val="20"/>
          <w:color w:val="auto"/>
        </w:rPr>
      </w:pPr>
      <w:r>
        <w:rPr>
          <w:rFonts w:ascii="Arial" w:cs="Arial" w:eastAsia="Arial" w:hAnsi="Arial"/>
          <w:sz w:val="18"/>
          <w:szCs w:val="18"/>
          <w:color w:val="auto"/>
        </w:rPr>
        <w:t>Law 26702 generally provides that insurance companies may not extend credit to or guarantee the obligations of employees or members of the Board of Directors, except for home mortgage loans to employees.</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Ownership Restrictions</w:t>
      </w:r>
    </w:p>
    <w:p>
      <w:pPr>
        <w:spacing w:after="0" w:line="225" w:lineRule="exact"/>
        <w:rPr>
          <w:sz w:val="20"/>
          <w:szCs w:val="20"/>
          <w:color w:val="auto"/>
        </w:rPr>
      </w:pPr>
    </w:p>
    <w:p>
      <w:pPr>
        <w:jc w:val="both"/>
        <w:ind w:firstLine="230"/>
        <w:spacing w:after="0" w:line="268" w:lineRule="auto"/>
        <w:rPr>
          <w:sz w:val="20"/>
          <w:szCs w:val="20"/>
          <w:color w:val="auto"/>
        </w:rPr>
      </w:pPr>
      <w:r>
        <w:rPr>
          <w:rFonts w:ascii="Arial" w:cs="Arial" w:eastAsia="Arial" w:hAnsi="Arial"/>
          <w:sz w:val="18"/>
          <w:szCs w:val="18"/>
          <w:color w:val="auto"/>
        </w:rPr>
        <w:t>Law 26702 establishes the same types of restrictions with respect to the ownership and transfer of insurance company shares as it does with respect to the ownership and transfer of shares in banks. See “—(11) Supervision and Regulation—(ii) BCP—Overview.”</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(12) Selected Statistical Information</w:t>
      </w:r>
    </w:p>
    <w:p>
      <w:pPr>
        <w:spacing w:after="0" w:line="231" w:lineRule="exact"/>
        <w:rPr>
          <w:sz w:val="20"/>
          <w:szCs w:val="20"/>
          <w:color w:val="auto"/>
        </w:rPr>
      </w:pPr>
    </w:p>
    <w:p>
      <w:pPr>
        <w:jc w:val="both"/>
        <w:ind w:firstLine="253"/>
        <w:spacing w:after="0" w:line="255" w:lineRule="auto"/>
        <w:rPr>
          <w:sz w:val="20"/>
          <w:szCs w:val="20"/>
          <w:color w:val="auto"/>
        </w:rPr>
      </w:pPr>
      <w:r>
        <w:rPr>
          <w:rFonts w:ascii="Arial" w:cs="Arial" w:eastAsia="Arial" w:hAnsi="Arial"/>
          <w:sz w:val="18"/>
          <w:szCs w:val="18"/>
          <w:color w:val="auto"/>
        </w:rPr>
        <w:t>The following tables present certain selected statistical information and ratios for Credicorp for the periods indicated. The selected statistical information should be read in conjunction with the information included in “Item 5. Operating and Financial Review and Prospects—(A) Operating Results” and the Credicorp Consolidated Financial Statements and the notes thereto. The statistical information and discussion and analysis presented below for 2003, 2002 and 2001 reflect the consolidated financial position of Credicorp and its subsidiaries, including BCP, ASHC, PPS and Banco Tequendama, as of December 31, 2003, 2002 and 2001 and the results of operations for 2003, 2002 and 2001.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31" w:right="239" w:bottom="1440" w:gutter="0" w:footer="0" w:header="0"/>
        </w:sectPr>
      </w:pPr>
    </w:p>
    <w:bookmarkStart w:id="58" w:name="page59"/>
    <w:bookmarkEnd w:id="58"/>
    <w:p>
      <w:pPr>
        <w:ind w:left="180"/>
        <w:spacing w:after="0"/>
        <w:rPr>
          <w:sz w:val="20"/>
          <w:szCs w:val="20"/>
          <w:color w:val="auto"/>
        </w:rPr>
      </w:pPr>
      <w:r>
        <w:rPr>
          <w:rFonts w:ascii="Arial" w:cs="Arial" w:eastAsia="Arial" w:hAnsi="Arial"/>
          <w:sz w:val="18"/>
          <w:szCs w:val="18"/>
          <w:b w:val="1"/>
          <w:bCs w:val="1"/>
          <w:i w:val="1"/>
          <w:iCs w:val="1"/>
          <w:color w:val="auto"/>
        </w:rPr>
        <w:t>(i) Average Balance Sheets and Income from Interest-Earning Assets</w:t>
      </w:r>
    </w:p>
    <w:p>
      <w:pPr>
        <w:spacing w:after="0" w:line="225" w:lineRule="exact"/>
        <w:rPr>
          <w:sz w:val="20"/>
          <w:szCs w:val="20"/>
          <w:color w:val="auto"/>
        </w:rPr>
      </w:pPr>
    </w:p>
    <w:p>
      <w:pPr>
        <w:jc w:val="both"/>
        <w:ind w:firstLine="208"/>
        <w:spacing w:after="0" w:line="253" w:lineRule="auto"/>
        <w:rPr>
          <w:sz w:val="20"/>
          <w:szCs w:val="20"/>
          <w:color w:val="auto"/>
        </w:rPr>
      </w:pPr>
      <w:r>
        <w:rPr>
          <w:rFonts w:ascii="Arial" w:cs="Arial" w:eastAsia="Arial" w:hAnsi="Arial"/>
          <w:sz w:val="18"/>
          <w:szCs w:val="18"/>
          <w:color w:val="auto"/>
        </w:rPr>
        <w:t>The tables below set forth selected statistical information based on Credicorp’s average balance sheets prepared on a consolidated basis. Except as otherwise indicated, average balances, when used, have been classified by currency (Nuevos Soles or foreign currency (primarily U.S. Dollars)), rather than by the domestic or international nature of the balance. In addition, except where noted, such average balances are based on the quarterly ending balances in each year, with any such quarter-end balance denominated in Nuevos Soles having been converted into U.S. Dollars using the applicable SBS exchange rate as of the date of such balance. Nominal average interest rates have, in certain cases, been restated as real average interest rates using the formula described below. Management believes that adjusting average balances and average interest rates for inflation in this manner provides more meaningful information for investors than unadjusted average balances and rates and does not believe that the quarterly averages present trends materially different from those that would be presented by daily averages.</w:t>
      </w:r>
    </w:p>
    <w:p>
      <w:pPr>
        <w:spacing w:after="0" w:line="19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Real Average Interest Rates</w:t>
      </w:r>
    </w:p>
    <w:p>
      <w:pPr>
        <w:spacing w:after="0" w:line="225" w:lineRule="exact"/>
        <w:rPr>
          <w:sz w:val="20"/>
          <w:szCs w:val="20"/>
          <w:color w:val="auto"/>
        </w:rPr>
      </w:pPr>
    </w:p>
    <w:p>
      <w:pPr>
        <w:jc w:val="both"/>
        <w:ind w:firstLine="180"/>
        <w:spacing w:after="0" w:line="268" w:lineRule="auto"/>
        <w:rPr>
          <w:sz w:val="20"/>
          <w:szCs w:val="20"/>
          <w:color w:val="auto"/>
        </w:rPr>
      </w:pPr>
      <w:r>
        <w:rPr>
          <w:rFonts w:ascii="Arial" w:cs="Arial" w:eastAsia="Arial" w:hAnsi="Arial"/>
          <w:sz w:val="18"/>
          <w:szCs w:val="18"/>
          <w:color w:val="auto"/>
        </w:rPr>
        <w:t>The real average interest rates set forth in the tables below have been calculated by adjusting the nominal average interest rates on Nuevo Sol-denominated and foreign currency-denominated assets and liabilities using the following respective formulas: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149225</wp:posOffset>
            </wp:positionV>
            <wp:extent cx="1243330" cy="5060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43330" cy="506095"/>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157480</wp:posOffset>
            </wp:positionV>
            <wp:extent cx="1663700" cy="4800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66370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R(s) = real average interest rate on Nuevo Sol-denominated assets and liabilities for the period.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R(d) = real average interest rate on foreign currency-denominated assets and liabilities for the period.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N(s) = nominal average interest rate on Nuevo Sol-denominated assets and liabilities for the period.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N(d)= nominal average interest rate on foreign currency-denominated assets and liabilities for the period.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 = devaluation rate of the Nuevo Sol relative to the U.S. Dollar for the period.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 inflation rate in Perú for the period (based on the Peruvian wholesale inflation rate).</w:t>
      </w:r>
    </w:p>
    <w:p>
      <w:pPr>
        <w:spacing w:after="0" w:line="219" w:lineRule="exact"/>
        <w:rPr>
          <w:sz w:val="20"/>
          <w:szCs w:val="20"/>
          <w:color w:val="auto"/>
        </w:rPr>
      </w:pPr>
    </w:p>
    <w:p>
      <w:pPr>
        <w:jc w:val="both"/>
        <w:ind w:firstLine="239"/>
        <w:spacing w:after="0" w:line="255" w:lineRule="auto"/>
        <w:rPr>
          <w:sz w:val="20"/>
          <w:szCs w:val="20"/>
          <w:color w:val="auto"/>
        </w:rPr>
      </w:pPr>
      <w:r>
        <w:rPr>
          <w:rFonts w:ascii="Arial" w:cs="Arial" w:eastAsia="Arial" w:hAnsi="Arial"/>
          <w:sz w:val="18"/>
          <w:szCs w:val="18"/>
          <w:color w:val="auto"/>
        </w:rPr>
        <w:t>Under these adjustment formulas, assuming positive nominal average interest rates, the real average interest rate on a portfolio of Nuevo Sol-denominated assets or liabilities would be equal to the nominal average interest rate on that portfolio if the inflation rate were zero. The real average interest rate would be less than the nominal average interest rate if the inflation rate were positive, and the real average interest rate would be greater than the nominal average interest rate if the inflation rate were negative (i.e., becomes a deflation rate). In addition, the real average interest rate would be negative if the inflation rate were greater than the average nominal interest rate.</w:t>
      </w:r>
    </w:p>
    <w:p>
      <w:pPr>
        <w:spacing w:after="0" w:line="197" w:lineRule="exact"/>
        <w:rPr>
          <w:sz w:val="20"/>
          <w:szCs w:val="20"/>
          <w:color w:val="auto"/>
        </w:rPr>
      </w:pPr>
    </w:p>
    <w:p>
      <w:pPr>
        <w:jc w:val="both"/>
        <w:ind w:firstLine="230"/>
        <w:spacing w:after="0" w:line="294" w:lineRule="auto"/>
        <w:rPr>
          <w:sz w:val="20"/>
          <w:szCs w:val="20"/>
          <w:color w:val="auto"/>
        </w:rPr>
      </w:pPr>
      <w:r>
        <w:rPr>
          <w:rFonts w:ascii="Arial" w:cs="Arial" w:eastAsia="Arial" w:hAnsi="Arial"/>
          <w:sz w:val="16"/>
          <w:szCs w:val="16"/>
          <w:color w:val="auto"/>
        </w:rPr>
        <w:t>Similarly, assuming positive nominal average interest rates, the real average interest rate on a portfolio of foreign currency-denominated assets or liabilities would be equal to the nominal average interest rate on that portfolio if the difference between the inflation rate and the devaluation rate were zero. The real average interest rate would be less than the nominal average interest rate if the inflation rate were greater than the devaluation rate, and the real average interest rate would be greater than the nominal average interest rate if the inflation rate were less than the devaluation rate. In addition, the real average interest rate would be negative if the inflation rate were greater than the sum of (i) the average nominal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31"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interest rate, (ii) the devaluation rate, and (iii) the product of (A) the average nominal interest rate and (B) the devaluation rate.</w:t>
      </w:r>
    </w:p>
    <w:p>
      <w:pPr>
        <w:spacing w:after="0" w:line="225" w:lineRule="exact"/>
        <w:rPr>
          <w:sz w:val="20"/>
          <w:szCs w:val="20"/>
          <w:color w:val="auto"/>
        </w:rPr>
      </w:pPr>
    </w:p>
    <w:p>
      <w:pPr>
        <w:jc w:val="both"/>
        <w:ind w:firstLine="214"/>
        <w:spacing w:after="0" w:line="268" w:lineRule="auto"/>
        <w:rPr>
          <w:sz w:val="20"/>
          <w:szCs w:val="20"/>
          <w:color w:val="auto"/>
        </w:rPr>
      </w:pPr>
      <w:r>
        <w:rPr>
          <w:rFonts w:ascii="Arial" w:cs="Arial" w:eastAsia="Arial" w:hAnsi="Arial"/>
          <w:sz w:val="18"/>
          <w:szCs w:val="18"/>
          <w:color w:val="auto"/>
        </w:rPr>
        <w:t>The formula for the real average rate for foreign currency-denominated assets and liabilities (R</w:t>
      </w:r>
      <w:r>
        <w:rPr>
          <w:rFonts w:ascii="Arial" w:cs="Arial" w:eastAsia="Arial" w:hAnsi="Arial"/>
          <w:sz w:val="18"/>
          <w:szCs w:val="18"/>
          <w:i w:val="1"/>
          <w:iCs w:val="1"/>
          <w:color w:val="auto"/>
        </w:rPr>
        <w:t>(d)</w:t>
      </w:r>
      <w:r>
        <w:rPr>
          <w:rFonts w:ascii="Arial" w:cs="Arial" w:eastAsia="Arial" w:hAnsi="Arial"/>
          <w:sz w:val="18"/>
          <w:szCs w:val="18"/>
          <w:color w:val="auto"/>
        </w:rPr>
        <w:t>) reflects a gain or loss in purchasing power caused by the difference between the devaluation rate of the Nuevo Sol and the inflation rate in Perú during the relevant period.</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example illustrates the calculation of the real average interest rate for a foreign currency-denominated asset during a particular period bearing a nominal average interest rate of 20% per year (</w:t>
      </w:r>
      <w:r>
        <w:rPr>
          <w:rFonts w:ascii="Arial" w:cs="Arial" w:eastAsia="Arial" w:hAnsi="Arial"/>
          <w:sz w:val="18"/>
          <w:szCs w:val="18"/>
          <w:i w:val="1"/>
          <w:iCs w:val="1"/>
          <w:color w:val="auto"/>
        </w:rPr>
        <w:t>N(d)</w:t>
      </w:r>
      <w:r>
        <w:rPr>
          <w:rFonts w:ascii="Arial" w:cs="Arial" w:eastAsia="Arial" w:hAnsi="Arial"/>
          <w:sz w:val="18"/>
          <w:szCs w:val="18"/>
          <w:color w:val="auto"/>
        </w:rPr>
        <w:t xml:space="preserve"> = 0.20) during the period, assuming a 15% annual devaluation rate (</w:t>
      </w:r>
      <w:r>
        <w:rPr>
          <w:rFonts w:ascii="Arial" w:cs="Arial" w:eastAsia="Arial" w:hAnsi="Arial"/>
          <w:sz w:val="18"/>
          <w:szCs w:val="18"/>
          <w:i w:val="1"/>
          <w:iCs w:val="1"/>
          <w:color w:val="auto"/>
        </w:rPr>
        <w:t>D</w:t>
      </w:r>
      <w:r>
        <w:rPr>
          <w:rFonts w:ascii="Arial" w:cs="Arial" w:eastAsia="Arial" w:hAnsi="Arial"/>
          <w:sz w:val="18"/>
          <w:szCs w:val="18"/>
          <w:color w:val="auto"/>
        </w:rPr>
        <w:t xml:space="preserve"> = 0.15) and a 25% annual inflation rate (</w:t>
      </w:r>
      <w:r>
        <w:rPr>
          <w:rFonts w:ascii="Arial" w:cs="Arial" w:eastAsia="Arial" w:hAnsi="Arial"/>
          <w:sz w:val="18"/>
          <w:szCs w:val="18"/>
          <w:i w:val="1"/>
          <w:iCs w:val="1"/>
          <w:color w:val="auto"/>
        </w:rPr>
        <w:t>I</w:t>
      </w:r>
      <w:r>
        <w:rPr>
          <w:rFonts w:ascii="Arial" w:cs="Arial" w:eastAsia="Arial" w:hAnsi="Arial"/>
          <w:sz w:val="18"/>
          <w:szCs w:val="18"/>
          <w:color w:val="auto"/>
        </w:rPr>
        <w:t xml:space="preserve"> = 0.25)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128905</wp:posOffset>
            </wp:positionV>
            <wp:extent cx="2744470" cy="4972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74447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199"/>
        <w:spacing w:after="0" w:line="294" w:lineRule="auto"/>
        <w:rPr>
          <w:sz w:val="20"/>
          <w:szCs w:val="20"/>
          <w:color w:val="auto"/>
        </w:rPr>
      </w:pPr>
      <w:r>
        <w:rPr>
          <w:rFonts w:ascii="Arial" w:cs="Arial" w:eastAsia="Arial" w:hAnsi="Arial"/>
          <w:sz w:val="16"/>
          <w:szCs w:val="16"/>
          <w:color w:val="auto"/>
        </w:rPr>
        <w:t>The real average interest rate is less than the nominal average interest rate in this example because the inflation rate is greater than the devaluation rate. If the inflation rate had been less than the devaluation rate (e.g., 25% and 40%, respectively), the real average interest rate would have been greater than the nominal average interest rate. If the inflation rate had been equal to the devaluation rate (e.g., 25% and 25%, respectively), the real average interest rate would have been equal to the nominal average interest rate. At any annual inflation rate above 38% in the original example (which is equal to the sum of N(</w:t>
      </w:r>
      <w:r>
        <w:rPr>
          <w:rFonts w:ascii="Arial" w:cs="Arial" w:eastAsia="Arial" w:hAnsi="Arial"/>
          <w:sz w:val="16"/>
          <w:szCs w:val="16"/>
          <w:i w:val="1"/>
          <w:iCs w:val="1"/>
          <w:color w:val="auto"/>
        </w:rPr>
        <w:t>d</w:t>
      </w:r>
      <w:r>
        <w:rPr>
          <w:rFonts w:ascii="Arial" w:cs="Arial" w:eastAsia="Arial" w:hAnsi="Arial"/>
          <w:sz w:val="16"/>
          <w:szCs w:val="16"/>
          <w:color w:val="auto"/>
        </w:rPr>
        <w:t>), D, and the product of N(</w:t>
      </w:r>
      <w:r>
        <w:rPr>
          <w:rFonts w:ascii="Arial" w:cs="Arial" w:eastAsia="Arial" w:hAnsi="Arial"/>
          <w:sz w:val="16"/>
          <w:szCs w:val="16"/>
          <w:i w:val="1"/>
          <w:iCs w:val="1"/>
          <w:color w:val="auto"/>
        </w:rPr>
        <w:t>d</w:t>
      </w:r>
      <w:r>
        <w:rPr>
          <w:rFonts w:ascii="Arial" w:cs="Arial" w:eastAsia="Arial" w:hAnsi="Arial"/>
          <w:sz w:val="16"/>
          <w:szCs w:val="16"/>
          <w:color w:val="auto"/>
        </w:rPr>
        <w:t>) and D in that example), the real average interest rate would be negative.</w:t>
      </w:r>
    </w:p>
    <w:p>
      <w:pPr>
        <w:spacing w:after="0" w:line="170" w:lineRule="exact"/>
        <w:rPr>
          <w:sz w:val="20"/>
          <w:szCs w:val="20"/>
          <w:color w:val="auto"/>
        </w:rPr>
      </w:pPr>
    </w:p>
    <w:p>
      <w:pPr>
        <w:jc w:val="both"/>
        <w:ind w:firstLine="194"/>
        <w:spacing w:after="0" w:line="259" w:lineRule="auto"/>
        <w:rPr>
          <w:sz w:val="20"/>
          <w:szCs w:val="20"/>
          <w:color w:val="auto"/>
        </w:rPr>
      </w:pPr>
      <w:r>
        <w:rPr>
          <w:rFonts w:ascii="Arial" w:cs="Arial" w:eastAsia="Arial" w:hAnsi="Arial"/>
          <w:sz w:val="18"/>
          <w:szCs w:val="18"/>
          <w:color w:val="auto"/>
        </w:rPr>
        <w:t>The following tables show quarterly average balances for all of Credicorp’s assets and liabilities, interest earned and paid amounts, and nominal rates and real rates for Credicorp’s interest-earning assets and interest-bearing liabilities, all for the years ended December 31, 2001, 2002 and 2003. Loan fees, which are not material, are included in the tables as interest earned.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31" w:right="23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8"/>
          <w:szCs w:val="18"/>
          <w:b w:val="1"/>
          <w:bCs w:val="1"/>
          <w:color w:val="auto"/>
        </w:rPr>
        <w:t>Average Balance Sheets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Assets, Interest Earned and Average Interest Rates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5"/>
              </w:rPr>
              <w:t>Year ended December 31,</w:t>
            </w: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49"/>
        </w:trPr>
        <w:tc>
          <w:tcPr>
            <w:tcW w:w="1840" w:type="dxa"/>
            <w:vAlign w:val="bottom"/>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gridSpan w:val="2"/>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gridSpan w:val="2"/>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gridSpan w:val="2"/>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r>
      <w:tr>
        <w:trPr>
          <w:trHeight w:val="331"/>
        </w:trPr>
        <w:tc>
          <w:tcPr>
            <w:tcW w:w="1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8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3"/>
              </w:rPr>
              <w:t>2002</w:t>
            </w: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gridSpan w:val="3"/>
          </w:tcPr>
          <w:p>
            <w:pPr>
              <w:jc w:val="right"/>
              <w:ind w:right="572"/>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49"/>
        </w:trPr>
        <w:tc>
          <w:tcPr>
            <w:tcW w:w="1840" w:type="dxa"/>
            <w:vAlign w:val="bottom"/>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r>
      <w:tr>
        <w:trPr>
          <w:trHeight w:val="305"/>
        </w:trPr>
        <w:tc>
          <w:tcPr>
            <w:tcW w:w="1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0"/>
              </w:rPr>
              <w:t>Nominal</w:t>
            </w: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49"/>
        </w:trPr>
        <w:tc>
          <w:tcPr>
            <w:tcW w:w="1840" w:type="dxa"/>
            <w:vAlign w:val="bottom"/>
          </w:tcPr>
          <w:p>
            <w:pPr>
              <w:spacing w:after="0"/>
              <w:rPr>
                <w:sz w:val="12"/>
                <w:szCs w:val="12"/>
                <w:color w:val="auto"/>
              </w:rPr>
            </w:pPr>
          </w:p>
        </w:tc>
        <w:tc>
          <w:tcPr>
            <w:tcW w:w="74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Average</w:t>
            </w:r>
          </w:p>
        </w:tc>
        <w:tc>
          <w:tcPr>
            <w:tcW w:w="40" w:type="dxa"/>
            <w:vAlign w:val="bottom"/>
          </w:tcPr>
          <w:p>
            <w:pPr>
              <w:spacing w:after="0"/>
              <w:rPr>
                <w:sz w:val="12"/>
                <w:szCs w:val="12"/>
                <w:color w:val="auto"/>
              </w:rPr>
            </w:pPr>
          </w:p>
        </w:tc>
        <w:tc>
          <w:tcPr>
            <w:tcW w:w="76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Interest</w:t>
            </w:r>
          </w:p>
        </w:tc>
        <w:tc>
          <w:tcPr>
            <w:tcW w:w="40" w:type="dxa"/>
            <w:vAlign w:val="bottom"/>
          </w:tcPr>
          <w:p>
            <w:pPr>
              <w:spacing w:after="0"/>
              <w:rPr>
                <w:sz w:val="12"/>
                <w:szCs w:val="12"/>
                <w:color w:val="auto"/>
              </w:rPr>
            </w:pP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Real Avg.</w:t>
            </w:r>
          </w:p>
        </w:tc>
        <w:tc>
          <w:tcPr>
            <w:tcW w:w="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Avg.</w:t>
            </w:r>
          </w:p>
        </w:tc>
        <w:tc>
          <w:tcPr>
            <w:tcW w:w="6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Average</w:t>
            </w:r>
          </w:p>
        </w:tc>
        <w:tc>
          <w:tcPr>
            <w:tcW w:w="80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Interest</w:t>
            </w: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Real Avg.</w:t>
            </w:r>
          </w:p>
        </w:tc>
        <w:tc>
          <w:tcPr>
            <w:tcW w:w="8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Nominal</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Average</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Interest</w:t>
            </w:r>
          </w:p>
        </w:tc>
        <w:tc>
          <w:tcPr>
            <w:tcW w:w="8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Real Avg.</w:t>
            </w:r>
          </w:p>
        </w:tc>
        <w:tc>
          <w:tcPr>
            <w:tcW w:w="74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Nominal</w:t>
            </w:r>
          </w:p>
        </w:tc>
      </w:tr>
      <w:tr>
        <w:trPr>
          <w:trHeight w:val="174"/>
        </w:trPr>
        <w:tc>
          <w:tcPr>
            <w:tcW w:w="1840" w:type="dxa"/>
            <w:vAlign w:val="bottom"/>
          </w:tcPr>
          <w:p>
            <w:pPr>
              <w:ind w:left="40"/>
              <w:spacing w:after="0"/>
              <w:rPr>
                <w:sz w:val="20"/>
                <w:szCs w:val="20"/>
                <w:color w:val="auto"/>
              </w:rPr>
            </w:pPr>
            <w:r>
              <w:rPr>
                <w:rFonts w:ascii="Arial" w:cs="Arial" w:eastAsia="Arial" w:hAnsi="Arial"/>
                <w:sz w:val="14"/>
                <w:szCs w:val="14"/>
                <w:b w:val="1"/>
                <w:bCs w:val="1"/>
                <w:color w:val="auto"/>
              </w:rPr>
              <w:t>ASSETS: (1 )</w:t>
            </w:r>
          </w:p>
        </w:tc>
        <w:tc>
          <w:tcPr>
            <w:tcW w:w="740" w:type="dxa"/>
            <w:vAlign w:val="bottom"/>
          </w:tcPr>
          <w:p>
            <w:pPr>
              <w:jc w:val="right"/>
              <w:ind w:right="72"/>
              <w:spacing w:after="0"/>
              <w:rPr>
                <w:sz w:val="20"/>
                <w:szCs w:val="20"/>
                <w:color w:val="auto"/>
              </w:rPr>
            </w:pPr>
            <w:r>
              <w:rPr>
                <w:rFonts w:ascii="Arial" w:cs="Arial" w:eastAsia="Arial" w:hAnsi="Arial"/>
                <w:sz w:val="14"/>
                <w:szCs w:val="14"/>
                <w:b w:val="1"/>
                <w:bCs w:val="1"/>
                <w:color w:val="auto"/>
              </w:rPr>
              <w:t>Balance</w:t>
            </w:r>
          </w:p>
        </w:tc>
        <w:tc>
          <w:tcPr>
            <w:tcW w:w="40" w:type="dxa"/>
            <w:vAlign w:val="bottom"/>
          </w:tcPr>
          <w:p>
            <w:pPr>
              <w:spacing w:after="0"/>
              <w:rPr>
                <w:sz w:val="15"/>
                <w:szCs w:val="15"/>
                <w:color w:val="auto"/>
              </w:rPr>
            </w:pPr>
          </w:p>
        </w:tc>
        <w:tc>
          <w:tcPr>
            <w:tcW w:w="760" w:type="dxa"/>
            <w:vAlign w:val="bottom"/>
          </w:tcPr>
          <w:p>
            <w:pPr>
              <w:jc w:val="right"/>
              <w:ind w:right="92"/>
              <w:spacing w:after="0"/>
              <w:rPr>
                <w:sz w:val="20"/>
                <w:szCs w:val="20"/>
                <w:color w:val="auto"/>
              </w:rPr>
            </w:pPr>
            <w:r>
              <w:rPr>
                <w:rFonts w:ascii="Arial" w:cs="Arial" w:eastAsia="Arial" w:hAnsi="Arial"/>
                <w:sz w:val="14"/>
                <w:szCs w:val="14"/>
                <w:b w:val="1"/>
                <w:bCs w:val="1"/>
                <w:color w:val="auto"/>
              </w:rPr>
              <w:t>Earned</w:t>
            </w:r>
          </w:p>
        </w:tc>
        <w:tc>
          <w:tcPr>
            <w:tcW w:w="40" w:type="dxa"/>
            <w:vAlign w:val="bottom"/>
          </w:tcPr>
          <w:p>
            <w:pPr>
              <w:spacing w:after="0"/>
              <w:rPr>
                <w:sz w:val="15"/>
                <w:szCs w:val="15"/>
                <w:color w:val="auto"/>
              </w:rPr>
            </w:pPr>
          </w:p>
        </w:tc>
        <w:tc>
          <w:tcPr>
            <w:tcW w:w="740" w:type="dxa"/>
            <w:vAlign w:val="bottom"/>
          </w:tcPr>
          <w:p>
            <w:pPr>
              <w:jc w:val="right"/>
              <w:ind w:right="152"/>
              <w:spacing w:after="0"/>
              <w:rPr>
                <w:sz w:val="20"/>
                <w:szCs w:val="20"/>
                <w:color w:val="auto"/>
              </w:rPr>
            </w:pPr>
            <w:r>
              <w:rPr>
                <w:rFonts w:ascii="Arial" w:cs="Arial" w:eastAsia="Arial" w:hAnsi="Arial"/>
                <w:sz w:val="14"/>
                <w:szCs w:val="14"/>
                <w:b w:val="1"/>
                <w:bCs w:val="1"/>
                <w:color w:val="auto"/>
              </w:rPr>
              <w:t>Rate</w:t>
            </w:r>
          </w:p>
        </w:tc>
        <w:tc>
          <w:tcPr>
            <w:tcW w:w="6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5"/>
              </w:rPr>
              <w:t>Rate</w:t>
            </w:r>
          </w:p>
        </w:tc>
        <w:tc>
          <w:tcPr>
            <w:tcW w:w="6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Balance</w:t>
            </w:r>
          </w:p>
        </w:tc>
        <w:tc>
          <w:tcPr>
            <w:tcW w:w="800" w:type="dxa"/>
            <w:vAlign w:val="bottom"/>
            <w:gridSpan w:val="2"/>
          </w:tcPr>
          <w:p>
            <w:pPr>
              <w:ind w:left="160"/>
              <w:spacing w:after="0"/>
              <w:rPr>
                <w:sz w:val="20"/>
                <w:szCs w:val="20"/>
                <w:color w:val="auto"/>
              </w:rPr>
            </w:pPr>
            <w:r>
              <w:rPr>
                <w:rFonts w:ascii="Arial" w:cs="Arial" w:eastAsia="Arial" w:hAnsi="Arial"/>
                <w:sz w:val="14"/>
                <w:szCs w:val="14"/>
                <w:b w:val="1"/>
                <w:bCs w:val="1"/>
                <w:color w:val="auto"/>
              </w:rPr>
              <w:t>Earned</w:t>
            </w: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Rate</w:t>
            </w:r>
          </w:p>
        </w:tc>
        <w:tc>
          <w:tcPr>
            <w:tcW w:w="8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6"/>
              </w:rPr>
              <w:t>Avg. Rate</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Balance</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Earned</w:t>
            </w:r>
          </w:p>
        </w:tc>
        <w:tc>
          <w:tcPr>
            <w:tcW w:w="8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5"/>
              </w:rPr>
              <w:t>Rate</w:t>
            </w:r>
          </w:p>
        </w:tc>
        <w:tc>
          <w:tcPr>
            <w:tcW w:w="740" w:type="dxa"/>
            <w:vAlign w:val="bottom"/>
          </w:tcPr>
          <w:p>
            <w:pPr>
              <w:jc w:val="right"/>
              <w:ind w:right="32"/>
              <w:spacing w:after="0"/>
              <w:rPr>
                <w:sz w:val="20"/>
                <w:szCs w:val="20"/>
                <w:color w:val="auto"/>
              </w:rPr>
            </w:pPr>
            <w:r>
              <w:rPr>
                <w:rFonts w:ascii="Arial" w:cs="Arial" w:eastAsia="Arial" w:hAnsi="Arial"/>
                <w:sz w:val="14"/>
                <w:szCs w:val="14"/>
                <w:b w:val="1"/>
                <w:bCs w:val="1"/>
                <w:color w:val="auto"/>
                <w:w w:val="95"/>
              </w:rPr>
              <w:t>Avg. Rate</w:t>
            </w:r>
          </w:p>
        </w:tc>
      </w:tr>
      <w:tr>
        <w:trPr>
          <w:trHeight w:val="149"/>
        </w:trPr>
        <w:tc>
          <w:tcPr>
            <w:tcW w:w="1840" w:type="dxa"/>
            <w:vAlign w:val="bottom"/>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r>
      <w:tr>
        <w:trPr>
          <w:trHeight w:val="331"/>
        </w:trPr>
        <w:tc>
          <w:tcPr>
            <w:tcW w:w="1840" w:type="dxa"/>
            <w:vAlign w:val="bottom"/>
          </w:tcPr>
          <w:p>
            <w:pPr>
              <w:ind w:left="40"/>
              <w:spacing w:after="0"/>
              <w:rPr>
                <w:sz w:val="20"/>
                <w:szCs w:val="20"/>
                <w:color w:val="auto"/>
              </w:rPr>
            </w:pPr>
            <w:r>
              <w:rPr>
                <w:rFonts w:ascii="Arial" w:cs="Arial" w:eastAsia="Arial" w:hAnsi="Arial"/>
                <w:sz w:val="14"/>
                <w:szCs w:val="14"/>
                <w:i w:val="1"/>
                <w:iCs w:val="1"/>
                <w:color w:val="auto"/>
              </w:rPr>
              <w:t>Interest-earning assets:</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80" w:type="dxa"/>
            <w:vAlign w:val="bottom"/>
            <w:gridSpan w:val="8"/>
          </w:tcPr>
          <w:p>
            <w:pPr>
              <w:jc w:val="center"/>
              <w:ind w:right="60"/>
              <w:spacing w:after="0"/>
              <w:rPr>
                <w:sz w:val="20"/>
                <w:szCs w:val="20"/>
                <w:color w:val="auto"/>
              </w:rPr>
            </w:pPr>
            <w:r>
              <w:rPr>
                <w:rFonts w:ascii="Arial" w:cs="Arial" w:eastAsia="Arial" w:hAnsi="Arial"/>
                <w:sz w:val="14"/>
                <w:szCs w:val="14"/>
                <w:color w:val="auto"/>
                <w:w w:val="86"/>
              </w:rPr>
              <w:t>(U.S. Dollars in thousands, except percentages)</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1840" w:type="dxa"/>
            <w:vAlign w:val="bottom"/>
          </w:tcPr>
          <w:p>
            <w:pPr>
              <w:ind w:left="40"/>
              <w:spacing w:after="0"/>
              <w:rPr>
                <w:sz w:val="20"/>
                <w:szCs w:val="20"/>
                <w:color w:val="auto"/>
              </w:rPr>
            </w:pPr>
            <w:r>
              <w:rPr>
                <w:rFonts w:ascii="Arial" w:cs="Arial" w:eastAsia="Arial" w:hAnsi="Arial"/>
                <w:sz w:val="14"/>
                <w:szCs w:val="14"/>
                <w:color w:val="auto"/>
              </w:rPr>
              <w:t>Deposits in Central Bank</w:t>
            </w: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840" w:type="dxa"/>
            <w:vAlign w:val="bottom"/>
          </w:tcPr>
          <w:p>
            <w:pPr>
              <w:ind w:left="180"/>
              <w:spacing w:after="0"/>
              <w:rPr>
                <w:sz w:val="20"/>
                <w:szCs w:val="20"/>
                <w:color w:val="auto"/>
              </w:rPr>
            </w:pPr>
            <w:r>
              <w:rPr>
                <w:rFonts w:ascii="Arial" w:cs="Arial" w:eastAsia="Arial" w:hAnsi="Arial"/>
                <w:sz w:val="14"/>
                <w:szCs w:val="14"/>
                <w:color w:val="auto"/>
              </w:rPr>
              <w:t>Nuevos Soles</w:t>
            </w:r>
          </w:p>
        </w:tc>
        <w:tc>
          <w:tcPr>
            <w:tcW w:w="740" w:type="dxa"/>
            <w:vAlign w:val="bottom"/>
          </w:tcPr>
          <w:p>
            <w:pPr>
              <w:jc w:val="right"/>
              <w:spacing w:after="0"/>
              <w:rPr>
                <w:sz w:val="20"/>
                <w:szCs w:val="20"/>
                <w:color w:val="auto"/>
              </w:rPr>
            </w:pPr>
            <w:r>
              <w:rPr>
                <w:rFonts w:ascii="Arial" w:cs="Arial" w:eastAsia="Arial" w:hAnsi="Arial"/>
                <w:sz w:val="14"/>
                <w:szCs w:val="14"/>
                <w:color w:val="auto"/>
              </w:rPr>
              <w:t>US$ —</w:t>
            </w:r>
          </w:p>
        </w:tc>
        <w:tc>
          <w:tcPr>
            <w:tcW w:w="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US$ —</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0.13%</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0.00%</w:t>
            </w:r>
          </w:p>
        </w:tc>
        <w:tc>
          <w:tcPr>
            <w:tcW w:w="6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US$ —</w:t>
            </w:r>
          </w:p>
        </w:tc>
        <w:tc>
          <w:tcPr>
            <w:tcW w:w="800" w:type="dxa"/>
            <w:vAlign w:val="bottom"/>
            <w:gridSpan w:val="2"/>
          </w:tcPr>
          <w:p>
            <w:pPr>
              <w:ind w:left="320"/>
              <w:spacing w:after="0"/>
              <w:rPr>
                <w:sz w:val="20"/>
                <w:szCs w:val="20"/>
                <w:color w:val="auto"/>
              </w:rPr>
            </w:pPr>
            <w:r>
              <w:rPr>
                <w:rFonts w:ascii="Arial" w:cs="Arial" w:eastAsia="Arial" w:hAnsi="Arial"/>
                <w:sz w:val="14"/>
                <w:szCs w:val="14"/>
                <w:color w:val="auto"/>
              </w:rPr>
              <w:t>US$ —</w:t>
            </w: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-1.48%</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0.00%</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US$ —</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US$ 6</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-2.44%</w:t>
            </w:r>
          </w:p>
        </w:tc>
        <w:tc>
          <w:tcPr>
            <w:tcW w:w="74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03"/>
        </w:trPr>
        <w:tc>
          <w:tcPr>
            <w:tcW w:w="1840" w:type="dxa"/>
            <w:vAlign w:val="bottom"/>
          </w:tcPr>
          <w:p>
            <w:pPr>
              <w:ind w:left="180"/>
              <w:spacing w:after="0"/>
              <w:rPr>
                <w:sz w:val="20"/>
                <w:szCs w:val="20"/>
                <w:color w:val="auto"/>
              </w:rPr>
            </w:pPr>
            <w:r>
              <w:rPr>
                <w:rFonts w:ascii="Arial" w:cs="Arial" w:eastAsia="Arial" w:hAnsi="Arial"/>
                <w:sz w:val="14"/>
                <w:szCs w:val="14"/>
                <w:color w:val="auto"/>
              </w:rPr>
              <w:t>Foreign Currency</w:t>
            </w:r>
          </w:p>
        </w:tc>
        <w:tc>
          <w:tcPr>
            <w:tcW w:w="740" w:type="dxa"/>
            <w:vAlign w:val="bottom"/>
          </w:tcPr>
          <w:p>
            <w:pPr>
              <w:jc w:val="right"/>
              <w:spacing w:after="0"/>
              <w:rPr>
                <w:sz w:val="20"/>
                <w:szCs w:val="20"/>
                <w:color w:val="auto"/>
              </w:rPr>
            </w:pPr>
            <w:r>
              <w:rPr>
                <w:rFonts w:ascii="Arial" w:cs="Arial" w:eastAsia="Arial" w:hAnsi="Arial"/>
                <w:sz w:val="14"/>
                <w:szCs w:val="14"/>
                <w:color w:val="auto"/>
              </w:rPr>
              <w:t>1,033,486</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39,472</w:t>
            </w:r>
          </w:p>
        </w:tc>
        <w:tc>
          <w:tcPr>
            <w:tcW w:w="780" w:type="dxa"/>
            <w:vAlign w:val="bottom"/>
            <w:gridSpan w:val="2"/>
          </w:tcPr>
          <w:p>
            <w:pPr>
              <w:jc w:val="right"/>
              <w:ind w:right="32"/>
              <w:spacing w:after="0"/>
              <w:rPr>
                <w:sz w:val="20"/>
                <w:szCs w:val="20"/>
                <w:color w:val="auto"/>
              </w:rPr>
            </w:pPr>
            <w:r>
              <w:rPr>
                <w:rFonts w:ascii="Arial" w:cs="Arial" w:eastAsia="Arial" w:hAnsi="Arial"/>
                <w:sz w:val="14"/>
                <w:szCs w:val="14"/>
                <w:color w:val="auto"/>
              </w:rPr>
              <w:t>-2.05</w:t>
            </w:r>
          </w:p>
        </w:tc>
        <w:tc>
          <w:tcPr>
            <w:tcW w:w="800" w:type="dxa"/>
            <w:vAlign w:val="bottom"/>
            <w:gridSpan w:val="2"/>
          </w:tcPr>
          <w:p>
            <w:pPr>
              <w:jc w:val="right"/>
              <w:ind w:right="32"/>
              <w:spacing w:after="0"/>
              <w:rPr>
                <w:sz w:val="20"/>
                <w:szCs w:val="20"/>
                <w:color w:val="auto"/>
              </w:rPr>
            </w:pPr>
            <w:r>
              <w:rPr>
                <w:rFonts w:ascii="Arial" w:cs="Arial" w:eastAsia="Arial" w:hAnsi="Arial"/>
                <w:sz w:val="14"/>
                <w:szCs w:val="14"/>
                <w:color w:val="auto"/>
              </w:rPr>
              <w:t>3.82</w:t>
            </w:r>
          </w:p>
        </w:tc>
        <w:tc>
          <w:tcPr>
            <w:tcW w:w="860" w:type="dxa"/>
            <w:vAlign w:val="bottom"/>
            <w:gridSpan w:val="3"/>
          </w:tcPr>
          <w:p>
            <w:pPr>
              <w:jc w:val="right"/>
              <w:ind w:right="60"/>
              <w:spacing w:after="0"/>
              <w:rPr>
                <w:sz w:val="20"/>
                <w:szCs w:val="20"/>
                <w:color w:val="auto"/>
              </w:rPr>
            </w:pPr>
            <w:r>
              <w:rPr>
                <w:rFonts w:ascii="Arial" w:cs="Arial" w:eastAsia="Arial" w:hAnsi="Arial"/>
                <w:sz w:val="14"/>
                <w:szCs w:val="14"/>
                <w:color w:val="auto"/>
              </w:rPr>
              <w:t>1,161,511</w:t>
            </w:r>
          </w:p>
        </w:tc>
        <w:tc>
          <w:tcPr>
            <w:tcW w:w="740" w:type="dxa"/>
            <w:vAlign w:val="bottom"/>
          </w:tcPr>
          <w:p>
            <w:pPr>
              <w:jc w:val="right"/>
              <w:spacing w:after="0"/>
              <w:rPr>
                <w:sz w:val="20"/>
                <w:szCs w:val="20"/>
                <w:color w:val="auto"/>
              </w:rPr>
            </w:pPr>
            <w:r>
              <w:rPr>
                <w:rFonts w:ascii="Arial" w:cs="Arial" w:eastAsia="Arial" w:hAnsi="Arial"/>
                <w:sz w:val="14"/>
                <w:szCs w:val="14"/>
                <w:color w:val="auto"/>
              </w:rPr>
              <w:t>20,752</w:t>
            </w:r>
          </w:p>
        </w:tc>
        <w:tc>
          <w:tcPr>
            <w:tcW w:w="60" w:type="dxa"/>
            <w:vAlign w:val="bottom"/>
          </w:tcPr>
          <w:p>
            <w:pPr>
              <w:spacing w:after="0"/>
              <w:rPr>
                <w:sz w:val="17"/>
                <w:szCs w:val="17"/>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2.32</w:t>
            </w:r>
          </w:p>
        </w:tc>
        <w:tc>
          <w:tcPr>
            <w:tcW w:w="40" w:type="dxa"/>
            <w:vAlign w:val="bottom"/>
          </w:tcPr>
          <w:p>
            <w:pPr>
              <w:spacing w:after="0"/>
              <w:rPr>
                <w:sz w:val="17"/>
                <w:szCs w:val="17"/>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1.79</w:t>
            </w:r>
          </w:p>
        </w:tc>
        <w:tc>
          <w:tcPr>
            <w:tcW w:w="4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1,193,120</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13,742</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-2.75</w:t>
            </w:r>
          </w:p>
        </w:tc>
        <w:tc>
          <w:tcPr>
            <w:tcW w:w="60" w:type="dxa"/>
            <w:vAlign w:val="bottom"/>
          </w:tcPr>
          <w:p>
            <w:pPr>
              <w:spacing w:after="0"/>
              <w:rPr>
                <w:sz w:val="17"/>
                <w:szCs w:val="17"/>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1.15</w:t>
            </w:r>
          </w:p>
        </w:tc>
      </w:tr>
      <w:tr>
        <w:trPr>
          <w:trHeight w:val="203"/>
        </w:trPr>
        <w:tc>
          <w:tcPr>
            <w:tcW w:w="1840" w:type="dxa"/>
            <w:vAlign w:val="bottom"/>
          </w:tcPr>
          <w:p>
            <w:pPr>
              <w:ind w:left="160"/>
              <w:spacing w:after="0"/>
              <w:rPr>
                <w:sz w:val="20"/>
                <w:szCs w:val="20"/>
                <w:color w:val="auto"/>
              </w:rPr>
            </w:pPr>
            <w:r>
              <w:rPr>
                <w:rFonts w:ascii="Arial" w:cs="Arial" w:eastAsia="Arial" w:hAnsi="Arial"/>
                <w:sz w:val="14"/>
                <w:szCs w:val="14"/>
                <w:color w:val="auto"/>
              </w:rPr>
              <w:t>Total .</w:t>
            </w:r>
          </w:p>
        </w:tc>
        <w:tc>
          <w:tcPr>
            <w:tcW w:w="740" w:type="dxa"/>
            <w:vAlign w:val="bottom"/>
          </w:tcPr>
          <w:p>
            <w:pPr>
              <w:jc w:val="right"/>
              <w:spacing w:after="0"/>
              <w:rPr>
                <w:sz w:val="20"/>
                <w:szCs w:val="20"/>
                <w:color w:val="auto"/>
              </w:rPr>
            </w:pPr>
            <w:r>
              <w:rPr>
                <w:rFonts w:ascii="Arial" w:cs="Arial" w:eastAsia="Arial" w:hAnsi="Arial"/>
                <w:sz w:val="14"/>
                <w:szCs w:val="14"/>
                <w:color w:val="auto"/>
              </w:rPr>
              <w:t>1,033,486</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39,472</w:t>
            </w:r>
          </w:p>
        </w:tc>
        <w:tc>
          <w:tcPr>
            <w:tcW w:w="780" w:type="dxa"/>
            <w:vAlign w:val="bottom"/>
            <w:gridSpan w:val="2"/>
          </w:tcPr>
          <w:p>
            <w:pPr>
              <w:jc w:val="right"/>
              <w:ind w:right="32"/>
              <w:spacing w:after="0"/>
              <w:rPr>
                <w:sz w:val="20"/>
                <w:szCs w:val="20"/>
                <w:color w:val="auto"/>
              </w:rPr>
            </w:pPr>
            <w:r>
              <w:rPr>
                <w:rFonts w:ascii="Arial" w:cs="Arial" w:eastAsia="Arial" w:hAnsi="Arial"/>
                <w:sz w:val="14"/>
                <w:szCs w:val="14"/>
                <w:color w:val="auto"/>
              </w:rPr>
              <w:t>-2.05</w:t>
            </w:r>
          </w:p>
        </w:tc>
        <w:tc>
          <w:tcPr>
            <w:tcW w:w="800" w:type="dxa"/>
            <w:vAlign w:val="bottom"/>
            <w:gridSpan w:val="2"/>
          </w:tcPr>
          <w:p>
            <w:pPr>
              <w:jc w:val="right"/>
              <w:ind w:right="32"/>
              <w:spacing w:after="0"/>
              <w:rPr>
                <w:sz w:val="20"/>
                <w:szCs w:val="20"/>
                <w:color w:val="auto"/>
              </w:rPr>
            </w:pPr>
            <w:r>
              <w:rPr>
                <w:rFonts w:ascii="Arial" w:cs="Arial" w:eastAsia="Arial" w:hAnsi="Arial"/>
                <w:sz w:val="14"/>
                <w:szCs w:val="14"/>
                <w:color w:val="auto"/>
              </w:rPr>
              <w:t>3.82</w:t>
            </w:r>
          </w:p>
        </w:tc>
        <w:tc>
          <w:tcPr>
            <w:tcW w:w="860" w:type="dxa"/>
            <w:vAlign w:val="bottom"/>
            <w:gridSpan w:val="3"/>
          </w:tcPr>
          <w:p>
            <w:pPr>
              <w:jc w:val="right"/>
              <w:ind w:right="60"/>
              <w:spacing w:after="0"/>
              <w:rPr>
                <w:sz w:val="20"/>
                <w:szCs w:val="20"/>
                <w:color w:val="auto"/>
              </w:rPr>
            </w:pPr>
            <w:r>
              <w:rPr>
                <w:rFonts w:ascii="Arial" w:cs="Arial" w:eastAsia="Arial" w:hAnsi="Arial"/>
                <w:sz w:val="14"/>
                <w:szCs w:val="14"/>
                <w:color w:val="auto"/>
              </w:rPr>
              <w:t>1,161,511</w:t>
            </w:r>
          </w:p>
        </w:tc>
        <w:tc>
          <w:tcPr>
            <w:tcW w:w="740" w:type="dxa"/>
            <w:vAlign w:val="bottom"/>
          </w:tcPr>
          <w:p>
            <w:pPr>
              <w:jc w:val="right"/>
              <w:spacing w:after="0"/>
              <w:rPr>
                <w:sz w:val="20"/>
                <w:szCs w:val="20"/>
                <w:color w:val="auto"/>
              </w:rPr>
            </w:pPr>
            <w:r>
              <w:rPr>
                <w:rFonts w:ascii="Arial" w:cs="Arial" w:eastAsia="Arial" w:hAnsi="Arial"/>
                <w:sz w:val="14"/>
                <w:szCs w:val="14"/>
                <w:color w:val="auto"/>
              </w:rPr>
              <w:t>20,752</w:t>
            </w:r>
          </w:p>
        </w:tc>
        <w:tc>
          <w:tcPr>
            <w:tcW w:w="60" w:type="dxa"/>
            <w:vAlign w:val="bottom"/>
          </w:tcPr>
          <w:p>
            <w:pPr>
              <w:spacing w:after="0"/>
              <w:rPr>
                <w:sz w:val="17"/>
                <w:szCs w:val="17"/>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2.32</w:t>
            </w:r>
          </w:p>
        </w:tc>
        <w:tc>
          <w:tcPr>
            <w:tcW w:w="40" w:type="dxa"/>
            <w:vAlign w:val="bottom"/>
          </w:tcPr>
          <w:p>
            <w:pPr>
              <w:spacing w:after="0"/>
              <w:rPr>
                <w:sz w:val="17"/>
                <w:szCs w:val="17"/>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1.79</w:t>
            </w:r>
          </w:p>
        </w:tc>
        <w:tc>
          <w:tcPr>
            <w:tcW w:w="4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1,193,120</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13,748</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-2.75</w:t>
            </w:r>
          </w:p>
        </w:tc>
        <w:tc>
          <w:tcPr>
            <w:tcW w:w="60" w:type="dxa"/>
            <w:vAlign w:val="bottom"/>
          </w:tcPr>
          <w:p>
            <w:pPr>
              <w:spacing w:after="0"/>
              <w:rPr>
                <w:sz w:val="17"/>
                <w:szCs w:val="17"/>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1.15</w:t>
            </w:r>
          </w:p>
        </w:tc>
      </w:tr>
      <w:tr>
        <w:trPr>
          <w:trHeight w:val="203"/>
        </w:trPr>
        <w:tc>
          <w:tcPr>
            <w:tcW w:w="1840" w:type="dxa"/>
            <w:vAlign w:val="bottom"/>
          </w:tcPr>
          <w:p>
            <w:pPr>
              <w:ind w:left="40"/>
              <w:spacing w:after="0"/>
              <w:rPr>
                <w:sz w:val="20"/>
                <w:szCs w:val="20"/>
                <w:color w:val="auto"/>
              </w:rPr>
            </w:pPr>
            <w:r>
              <w:rPr>
                <w:rFonts w:ascii="Arial" w:cs="Arial" w:eastAsia="Arial" w:hAnsi="Arial"/>
                <w:sz w:val="14"/>
                <w:szCs w:val="14"/>
                <w:color w:val="auto"/>
              </w:rPr>
              <w:t>Deposits in other banks</w:t>
            </w: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840" w:type="dxa"/>
            <w:vAlign w:val="bottom"/>
          </w:tcPr>
          <w:p>
            <w:pPr>
              <w:ind w:left="180"/>
              <w:spacing w:after="0"/>
              <w:rPr>
                <w:sz w:val="20"/>
                <w:szCs w:val="20"/>
                <w:color w:val="auto"/>
              </w:rPr>
            </w:pPr>
            <w:r>
              <w:rPr>
                <w:rFonts w:ascii="Arial" w:cs="Arial" w:eastAsia="Arial" w:hAnsi="Arial"/>
                <w:sz w:val="14"/>
                <w:szCs w:val="14"/>
                <w:color w:val="auto"/>
              </w:rPr>
              <w:t>Nuevos Soles</w:t>
            </w:r>
          </w:p>
        </w:tc>
        <w:tc>
          <w:tcPr>
            <w:tcW w:w="740" w:type="dxa"/>
            <w:vAlign w:val="bottom"/>
          </w:tcPr>
          <w:p>
            <w:pPr>
              <w:jc w:val="right"/>
              <w:spacing w:after="0"/>
              <w:rPr>
                <w:sz w:val="20"/>
                <w:szCs w:val="20"/>
                <w:color w:val="auto"/>
              </w:rPr>
            </w:pPr>
            <w:r>
              <w:rPr>
                <w:rFonts w:ascii="Arial" w:cs="Arial" w:eastAsia="Arial" w:hAnsi="Arial"/>
                <w:sz w:val="14"/>
                <w:szCs w:val="14"/>
                <w:color w:val="auto"/>
              </w:rPr>
              <w:t>14,775</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2,465</w:t>
            </w:r>
          </w:p>
        </w:tc>
        <w:tc>
          <w:tcPr>
            <w:tcW w:w="780" w:type="dxa"/>
            <w:vAlign w:val="bottom"/>
            <w:gridSpan w:val="2"/>
          </w:tcPr>
          <w:p>
            <w:pPr>
              <w:jc w:val="right"/>
              <w:ind w:right="32"/>
              <w:spacing w:after="0"/>
              <w:rPr>
                <w:sz w:val="20"/>
                <w:szCs w:val="20"/>
                <w:color w:val="auto"/>
              </w:rPr>
            </w:pPr>
            <w:r>
              <w:rPr>
                <w:rFonts w:ascii="Arial" w:cs="Arial" w:eastAsia="Arial" w:hAnsi="Arial"/>
                <w:sz w:val="14"/>
                <w:szCs w:val="14"/>
                <w:color w:val="auto"/>
              </w:rPr>
              <w:t>12.52</w:t>
            </w:r>
          </w:p>
        </w:tc>
        <w:tc>
          <w:tcPr>
            <w:tcW w:w="800" w:type="dxa"/>
            <w:vAlign w:val="bottom"/>
            <w:gridSpan w:val="2"/>
          </w:tcPr>
          <w:p>
            <w:pPr>
              <w:jc w:val="right"/>
              <w:ind w:right="32"/>
              <w:spacing w:after="0"/>
              <w:rPr>
                <w:sz w:val="20"/>
                <w:szCs w:val="20"/>
                <w:color w:val="auto"/>
              </w:rPr>
            </w:pPr>
            <w:r>
              <w:rPr>
                <w:rFonts w:ascii="Arial" w:cs="Arial" w:eastAsia="Arial" w:hAnsi="Arial"/>
                <w:sz w:val="14"/>
                <w:szCs w:val="14"/>
                <w:color w:val="auto"/>
              </w:rPr>
              <w:t>16.68</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23,589</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2,805</w:t>
            </w:r>
          </w:p>
        </w:tc>
        <w:tc>
          <w:tcPr>
            <w:tcW w:w="60" w:type="dxa"/>
            <w:vAlign w:val="bottom"/>
          </w:tcPr>
          <w:p>
            <w:pPr>
              <w:spacing w:after="0"/>
              <w:rPr>
                <w:sz w:val="17"/>
                <w:szCs w:val="17"/>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10.24</w:t>
            </w:r>
          </w:p>
        </w:tc>
        <w:tc>
          <w:tcPr>
            <w:tcW w:w="40" w:type="dxa"/>
            <w:vAlign w:val="bottom"/>
          </w:tcPr>
          <w:p>
            <w:pPr>
              <w:spacing w:after="0"/>
              <w:rPr>
                <w:sz w:val="17"/>
                <w:szCs w:val="17"/>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11.89</w:t>
            </w:r>
          </w:p>
        </w:tc>
        <w:tc>
          <w:tcPr>
            <w:tcW w:w="4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17,475</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1,989</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8.67</w:t>
            </w:r>
          </w:p>
        </w:tc>
        <w:tc>
          <w:tcPr>
            <w:tcW w:w="60" w:type="dxa"/>
            <w:vAlign w:val="bottom"/>
          </w:tcPr>
          <w:p>
            <w:pPr>
              <w:spacing w:after="0"/>
              <w:rPr>
                <w:sz w:val="17"/>
                <w:szCs w:val="17"/>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11.38</w:t>
            </w:r>
          </w:p>
        </w:tc>
      </w:tr>
      <w:tr>
        <w:trPr>
          <w:trHeight w:val="203"/>
        </w:trPr>
        <w:tc>
          <w:tcPr>
            <w:tcW w:w="1840" w:type="dxa"/>
            <w:vAlign w:val="bottom"/>
          </w:tcPr>
          <w:p>
            <w:pPr>
              <w:ind w:left="180"/>
              <w:spacing w:after="0"/>
              <w:rPr>
                <w:sz w:val="20"/>
                <w:szCs w:val="20"/>
                <w:color w:val="auto"/>
              </w:rPr>
            </w:pPr>
            <w:r>
              <w:rPr>
                <w:rFonts w:ascii="Arial" w:cs="Arial" w:eastAsia="Arial" w:hAnsi="Arial"/>
                <w:sz w:val="14"/>
                <w:szCs w:val="14"/>
                <w:color w:val="auto"/>
              </w:rPr>
              <w:t>Foreign Currency</w:t>
            </w:r>
          </w:p>
        </w:tc>
        <w:tc>
          <w:tcPr>
            <w:tcW w:w="740" w:type="dxa"/>
            <w:vAlign w:val="bottom"/>
          </w:tcPr>
          <w:p>
            <w:pPr>
              <w:jc w:val="right"/>
              <w:spacing w:after="0"/>
              <w:rPr>
                <w:sz w:val="20"/>
                <w:szCs w:val="20"/>
                <w:color w:val="auto"/>
              </w:rPr>
            </w:pPr>
            <w:r>
              <w:rPr>
                <w:rFonts w:ascii="Arial" w:cs="Arial" w:eastAsia="Arial" w:hAnsi="Arial"/>
                <w:sz w:val="14"/>
                <w:szCs w:val="14"/>
                <w:color w:val="auto"/>
              </w:rPr>
              <w:t>605,492</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23,586</w:t>
            </w:r>
          </w:p>
        </w:tc>
        <w:tc>
          <w:tcPr>
            <w:tcW w:w="780" w:type="dxa"/>
            <w:vAlign w:val="bottom"/>
            <w:gridSpan w:val="2"/>
          </w:tcPr>
          <w:p>
            <w:pPr>
              <w:jc w:val="right"/>
              <w:ind w:right="32"/>
              <w:spacing w:after="0"/>
              <w:rPr>
                <w:sz w:val="20"/>
                <w:szCs w:val="20"/>
                <w:color w:val="auto"/>
              </w:rPr>
            </w:pPr>
            <w:r>
              <w:rPr>
                <w:rFonts w:ascii="Arial" w:cs="Arial" w:eastAsia="Arial" w:hAnsi="Arial"/>
                <w:sz w:val="14"/>
                <w:szCs w:val="14"/>
                <w:color w:val="auto"/>
              </w:rPr>
              <w:t>-1.97</w:t>
            </w:r>
          </w:p>
        </w:tc>
        <w:tc>
          <w:tcPr>
            <w:tcW w:w="800" w:type="dxa"/>
            <w:vAlign w:val="bottom"/>
            <w:gridSpan w:val="2"/>
          </w:tcPr>
          <w:p>
            <w:pPr>
              <w:jc w:val="right"/>
              <w:ind w:right="32"/>
              <w:spacing w:after="0"/>
              <w:rPr>
                <w:sz w:val="20"/>
                <w:szCs w:val="20"/>
                <w:color w:val="auto"/>
              </w:rPr>
            </w:pPr>
            <w:r>
              <w:rPr>
                <w:rFonts w:ascii="Arial" w:cs="Arial" w:eastAsia="Arial" w:hAnsi="Arial"/>
                <w:sz w:val="14"/>
                <w:szCs w:val="14"/>
                <w:color w:val="auto"/>
              </w:rPr>
              <w:t>3.90</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467,546</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12,959</w:t>
            </w:r>
          </w:p>
        </w:tc>
        <w:tc>
          <w:tcPr>
            <w:tcW w:w="60" w:type="dxa"/>
            <w:vAlign w:val="bottom"/>
          </w:tcPr>
          <w:p>
            <w:pPr>
              <w:spacing w:after="0"/>
              <w:rPr>
                <w:sz w:val="17"/>
                <w:szCs w:val="17"/>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3.31</w:t>
            </w:r>
          </w:p>
        </w:tc>
        <w:tc>
          <w:tcPr>
            <w:tcW w:w="40" w:type="dxa"/>
            <w:vAlign w:val="bottom"/>
          </w:tcPr>
          <w:p>
            <w:pPr>
              <w:spacing w:after="0"/>
              <w:rPr>
                <w:sz w:val="17"/>
                <w:szCs w:val="17"/>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2.77</w:t>
            </w:r>
          </w:p>
        </w:tc>
        <w:tc>
          <w:tcPr>
            <w:tcW w:w="4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389,137</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3,089</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-3.09</w:t>
            </w:r>
          </w:p>
        </w:tc>
        <w:tc>
          <w:tcPr>
            <w:tcW w:w="60" w:type="dxa"/>
            <w:vAlign w:val="bottom"/>
          </w:tcPr>
          <w:p>
            <w:pPr>
              <w:spacing w:after="0"/>
              <w:rPr>
                <w:sz w:val="17"/>
                <w:szCs w:val="17"/>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0.79</w:t>
            </w:r>
          </w:p>
        </w:tc>
      </w:tr>
      <w:tr>
        <w:trPr>
          <w:trHeight w:val="203"/>
        </w:trPr>
        <w:tc>
          <w:tcPr>
            <w:tcW w:w="1840" w:type="dxa"/>
            <w:vAlign w:val="bottom"/>
          </w:tcPr>
          <w:p>
            <w:pPr>
              <w:ind w:left="160"/>
              <w:spacing w:after="0"/>
              <w:rPr>
                <w:sz w:val="20"/>
                <w:szCs w:val="20"/>
                <w:color w:val="auto"/>
              </w:rPr>
            </w:pPr>
            <w:r>
              <w:rPr>
                <w:rFonts w:ascii="Arial" w:cs="Arial" w:eastAsia="Arial" w:hAnsi="Arial"/>
                <w:sz w:val="14"/>
                <w:szCs w:val="14"/>
                <w:color w:val="auto"/>
              </w:rPr>
              <w:t>Total</w:t>
            </w:r>
          </w:p>
        </w:tc>
        <w:tc>
          <w:tcPr>
            <w:tcW w:w="740" w:type="dxa"/>
            <w:vAlign w:val="bottom"/>
          </w:tcPr>
          <w:p>
            <w:pPr>
              <w:jc w:val="right"/>
              <w:spacing w:after="0"/>
              <w:rPr>
                <w:sz w:val="20"/>
                <w:szCs w:val="20"/>
                <w:color w:val="auto"/>
              </w:rPr>
            </w:pPr>
            <w:r>
              <w:rPr>
                <w:rFonts w:ascii="Arial" w:cs="Arial" w:eastAsia="Arial" w:hAnsi="Arial"/>
                <w:sz w:val="14"/>
                <w:szCs w:val="14"/>
                <w:color w:val="auto"/>
              </w:rPr>
              <w:t>620,267</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26,051</w:t>
            </w:r>
          </w:p>
        </w:tc>
        <w:tc>
          <w:tcPr>
            <w:tcW w:w="780" w:type="dxa"/>
            <w:vAlign w:val="bottom"/>
            <w:gridSpan w:val="2"/>
          </w:tcPr>
          <w:p>
            <w:pPr>
              <w:jc w:val="right"/>
              <w:ind w:right="32"/>
              <w:spacing w:after="0"/>
              <w:rPr>
                <w:sz w:val="20"/>
                <w:szCs w:val="20"/>
                <w:color w:val="auto"/>
              </w:rPr>
            </w:pPr>
            <w:r>
              <w:rPr>
                <w:rFonts w:ascii="Arial" w:cs="Arial" w:eastAsia="Arial" w:hAnsi="Arial"/>
                <w:sz w:val="14"/>
                <w:szCs w:val="14"/>
                <w:color w:val="auto"/>
              </w:rPr>
              <w:t>-1.63</w:t>
            </w:r>
          </w:p>
        </w:tc>
        <w:tc>
          <w:tcPr>
            <w:tcW w:w="800" w:type="dxa"/>
            <w:vAlign w:val="bottom"/>
            <w:gridSpan w:val="2"/>
          </w:tcPr>
          <w:p>
            <w:pPr>
              <w:jc w:val="right"/>
              <w:ind w:right="32"/>
              <w:spacing w:after="0"/>
              <w:rPr>
                <w:sz w:val="20"/>
                <w:szCs w:val="20"/>
                <w:color w:val="auto"/>
              </w:rPr>
            </w:pPr>
            <w:r>
              <w:rPr>
                <w:rFonts w:ascii="Arial" w:cs="Arial" w:eastAsia="Arial" w:hAnsi="Arial"/>
                <w:sz w:val="14"/>
                <w:szCs w:val="14"/>
                <w:color w:val="auto"/>
              </w:rPr>
              <w:t>4.20</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491,135</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15,764</w:t>
            </w:r>
          </w:p>
        </w:tc>
        <w:tc>
          <w:tcPr>
            <w:tcW w:w="60" w:type="dxa"/>
            <w:vAlign w:val="bottom"/>
          </w:tcPr>
          <w:p>
            <w:pPr>
              <w:spacing w:after="0"/>
              <w:rPr>
                <w:sz w:val="17"/>
                <w:szCs w:val="17"/>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3.64</w:t>
            </w:r>
          </w:p>
        </w:tc>
        <w:tc>
          <w:tcPr>
            <w:tcW w:w="40" w:type="dxa"/>
            <w:vAlign w:val="bottom"/>
          </w:tcPr>
          <w:p>
            <w:pPr>
              <w:spacing w:after="0"/>
              <w:rPr>
                <w:sz w:val="17"/>
                <w:szCs w:val="17"/>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3.21</w:t>
            </w:r>
          </w:p>
        </w:tc>
        <w:tc>
          <w:tcPr>
            <w:tcW w:w="4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406,613</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5,078</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-2.59</w:t>
            </w:r>
          </w:p>
        </w:tc>
        <w:tc>
          <w:tcPr>
            <w:tcW w:w="60" w:type="dxa"/>
            <w:vAlign w:val="bottom"/>
          </w:tcPr>
          <w:p>
            <w:pPr>
              <w:spacing w:after="0"/>
              <w:rPr>
                <w:sz w:val="17"/>
                <w:szCs w:val="17"/>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1.25</w:t>
            </w:r>
          </w:p>
        </w:tc>
      </w:tr>
      <w:tr>
        <w:trPr>
          <w:trHeight w:val="203"/>
        </w:trPr>
        <w:tc>
          <w:tcPr>
            <w:tcW w:w="1840" w:type="dxa"/>
            <w:vAlign w:val="bottom"/>
          </w:tcPr>
          <w:p>
            <w:pPr>
              <w:ind w:left="40"/>
              <w:spacing w:after="0"/>
              <w:rPr>
                <w:sz w:val="20"/>
                <w:szCs w:val="20"/>
                <w:color w:val="auto"/>
              </w:rPr>
            </w:pPr>
            <w:r>
              <w:rPr>
                <w:rFonts w:ascii="Arial" w:cs="Arial" w:eastAsia="Arial" w:hAnsi="Arial"/>
                <w:sz w:val="14"/>
                <w:szCs w:val="14"/>
                <w:color w:val="auto"/>
              </w:rPr>
              <w:t>Investment securities</w:t>
            </w: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840" w:type="dxa"/>
            <w:vAlign w:val="bottom"/>
          </w:tcPr>
          <w:p>
            <w:pPr>
              <w:ind w:left="180"/>
              <w:spacing w:after="0"/>
              <w:rPr>
                <w:sz w:val="20"/>
                <w:szCs w:val="20"/>
                <w:color w:val="auto"/>
              </w:rPr>
            </w:pPr>
            <w:r>
              <w:rPr>
                <w:rFonts w:ascii="Arial" w:cs="Arial" w:eastAsia="Arial" w:hAnsi="Arial"/>
                <w:sz w:val="14"/>
                <w:szCs w:val="14"/>
                <w:color w:val="auto"/>
              </w:rPr>
              <w:t>Nuevos Soles</w:t>
            </w:r>
          </w:p>
        </w:tc>
        <w:tc>
          <w:tcPr>
            <w:tcW w:w="740" w:type="dxa"/>
            <w:vAlign w:val="bottom"/>
          </w:tcPr>
          <w:p>
            <w:pPr>
              <w:jc w:val="right"/>
              <w:spacing w:after="0"/>
              <w:rPr>
                <w:sz w:val="20"/>
                <w:szCs w:val="20"/>
                <w:color w:val="auto"/>
              </w:rPr>
            </w:pPr>
            <w:r>
              <w:rPr>
                <w:rFonts w:ascii="Arial" w:cs="Arial" w:eastAsia="Arial" w:hAnsi="Arial"/>
                <w:sz w:val="14"/>
                <w:szCs w:val="14"/>
                <w:color w:val="auto"/>
              </w:rPr>
              <w:t>131,314</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15,725</w:t>
            </w:r>
          </w:p>
        </w:tc>
        <w:tc>
          <w:tcPr>
            <w:tcW w:w="780" w:type="dxa"/>
            <w:vAlign w:val="bottom"/>
            <w:gridSpan w:val="2"/>
          </w:tcPr>
          <w:p>
            <w:pPr>
              <w:jc w:val="right"/>
              <w:ind w:right="32"/>
              <w:spacing w:after="0"/>
              <w:rPr>
                <w:sz w:val="20"/>
                <w:szCs w:val="20"/>
                <w:color w:val="auto"/>
              </w:rPr>
            </w:pPr>
            <w:r>
              <w:rPr>
                <w:rFonts w:ascii="Arial" w:cs="Arial" w:eastAsia="Arial" w:hAnsi="Arial"/>
                <w:sz w:val="14"/>
                <w:szCs w:val="14"/>
                <w:color w:val="auto"/>
              </w:rPr>
              <w:t>7.98</w:t>
            </w:r>
          </w:p>
        </w:tc>
        <w:tc>
          <w:tcPr>
            <w:tcW w:w="800" w:type="dxa"/>
            <w:vAlign w:val="bottom"/>
            <w:gridSpan w:val="2"/>
          </w:tcPr>
          <w:p>
            <w:pPr>
              <w:jc w:val="right"/>
              <w:ind w:right="32"/>
              <w:spacing w:after="0"/>
              <w:rPr>
                <w:sz w:val="20"/>
                <w:szCs w:val="20"/>
                <w:color w:val="auto"/>
              </w:rPr>
            </w:pPr>
            <w:r>
              <w:rPr>
                <w:rFonts w:ascii="Arial" w:cs="Arial" w:eastAsia="Arial" w:hAnsi="Arial"/>
                <w:sz w:val="14"/>
                <w:szCs w:val="14"/>
                <w:color w:val="auto"/>
              </w:rPr>
              <w:t>11.97</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195,829</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9,775</w:t>
            </w:r>
          </w:p>
        </w:tc>
        <w:tc>
          <w:tcPr>
            <w:tcW w:w="60" w:type="dxa"/>
            <w:vAlign w:val="bottom"/>
          </w:tcPr>
          <w:p>
            <w:pPr>
              <w:spacing w:after="0"/>
              <w:rPr>
                <w:sz w:val="17"/>
                <w:szCs w:val="17"/>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3.44</w:t>
            </w:r>
          </w:p>
        </w:tc>
        <w:tc>
          <w:tcPr>
            <w:tcW w:w="40" w:type="dxa"/>
            <w:vAlign w:val="bottom"/>
          </w:tcPr>
          <w:p>
            <w:pPr>
              <w:spacing w:after="0"/>
              <w:rPr>
                <w:sz w:val="17"/>
                <w:szCs w:val="17"/>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4.99</w:t>
            </w:r>
          </w:p>
        </w:tc>
        <w:tc>
          <w:tcPr>
            <w:tcW w:w="4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273,416</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13,388</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2.34</w:t>
            </w:r>
          </w:p>
        </w:tc>
        <w:tc>
          <w:tcPr>
            <w:tcW w:w="60" w:type="dxa"/>
            <w:vAlign w:val="bottom"/>
          </w:tcPr>
          <w:p>
            <w:pPr>
              <w:spacing w:after="0"/>
              <w:rPr>
                <w:sz w:val="17"/>
                <w:szCs w:val="17"/>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4.90</w:t>
            </w:r>
          </w:p>
        </w:tc>
      </w:tr>
      <w:tr>
        <w:trPr>
          <w:trHeight w:val="203"/>
        </w:trPr>
        <w:tc>
          <w:tcPr>
            <w:tcW w:w="1840" w:type="dxa"/>
            <w:vAlign w:val="bottom"/>
          </w:tcPr>
          <w:p>
            <w:pPr>
              <w:ind w:left="180"/>
              <w:spacing w:after="0"/>
              <w:rPr>
                <w:sz w:val="20"/>
                <w:szCs w:val="20"/>
                <w:color w:val="auto"/>
              </w:rPr>
            </w:pPr>
            <w:r>
              <w:rPr>
                <w:rFonts w:ascii="Arial" w:cs="Arial" w:eastAsia="Arial" w:hAnsi="Arial"/>
                <w:sz w:val="14"/>
                <w:szCs w:val="14"/>
                <w:color w:val="auto"/>
              </w:rPr>
              <w:t>Foreign Currency</w:t>
            </w:r>
          </w:p>
        </w:tc>
        <w:tc>
          <w:tcPr>
            <w:tcW w:w="740" w:type="dxa"/>
            <w:vAlign w:val="bottom"/>
          </w:tcPr>
          <w:p>
            <w:pPr>
              <w:jc w:val="right"/>
              <w:spacing w:after="0"/>
              <w:rPr>
                <w:sz w:val="20"/>
                <w:szCs w:val="20"/>
                <w:color w:val="auto"/>
              </w:rPr>
            </w:pPr>
            <w:r>
              <w:rPr>
                <w:rFonts w:ascii="Arial" w:cs="Arial" w:eastAsia="Arial" w:hAnsi="Arial"/>
                <w:sz w:val="14"/>
                <w:szCs w:val="14"/>
                <w:color w:val="auto"/>
              </w:rPr>
              <w:t>734,574</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66,882</w:t>
            </w:r>
          </w:p>
        </w:tc>
        <w:tc>
          <w:tcPr>
            <w:tcW w:w="780" w:type="dxa"/>
            <w:vAlign w:val="bottom"/>
            <w:gridSpan w:val="2"/>
          </w:tcPr>
          <w:p>
            <w:pPr>
              <w:jc w:val="right"/>
              <w:ind w:right="32"/>
              <w:spacing w:after="0"/>
              <w:rPr>
                <w:sz w:val="20"/>
                <w:szCs w:val="20"/>
                <w:color w:val="auto"/>
              </w:rPr>
            </w:pPr>
            <w:r>
              <w:rPr>
                <w:rFonts w:ascii="Arial" w:cs="Arial" w:eastAsia="Arial" w:hAnsi="Arial"/>
                <w:sz w:val="14"/>
                <w:szCs w:val="14"/>
                <w:color w:val="auto"/>
              </w:rPr>
              <w:t>2.94</w:t>
            </w:r>
          </w:p>
        </w:tc>
        <w:tc>
          <w:tcPr>
            <w:tcW w:w="800" w:type="dxa"/>
            <w:vAlign w:val="bottom"/>
            <w:gridSpan w:val="2"/>
          </w:tcPr>
          <w:p>
            <w:pPr>
              <w:jc w:val="right"/>
              <w:ind w:right="32"/>
              <w:spacing w:after="0"/>
              <w:rPr>
                <w:sz w:val="20"/>
                <w:szCs w:val="20"/>
                <w:color w:val="auto"/>
              </w:rPr>
            </w:pPr>
            <w:r>
              <w:rPr>
                <w:rFonts w:ascii="Arial" w:cs="Arial" w:eastAsia="Arial" w:hAnsi="Arial"/>
                <w:sz w:val="14"/>
                <w:szCs w:val="14"/>
                <w:color w:val="auto"/>
              </w:rPr>
              <w:t>9.11</w:t>
            </w:r>
          </w:p>
        </w:tc>
        <w:tc>
          <w:tcPr>
            <w:tcW w:w="860" w:type="dxa"/>
            <w:vAlign w:val="bottom"/>
            <w:gridSpan w:val="3"/>
          </w:tcPr>
          <w:p>
            <w:pPr>
              <w:jc w:val="right"/>
              <w:ind w:right="60"/>
              <w:spacing w:after="0"/>
              <w:rPr>
                <w:sz w:val="20"/>
                <w:szCs w:val="20"/>
                <w:color w:val="auto"/>
              </w:rPr>
            </w:pPr>
            <w:r>
              <w:rPr>
                <w:rFonts w:ascii="Arial" w:cs="Arial" w:eastAsia="Arial" w:hAnsi="Arial"/>
                <w:sz w:val="14"/>
                <w:szCs w:val="14"/>
                <w:color w:val="auto"/>
              </w:rPr>
              <w:t>711,860</w:t>
            </w:r>
          </w:p>
        </w:tc>
        <w:tc>
          <w:tcPr>
            <w:tcW w:w="740" w:type="dxa"/>
            <w:vAlign w:val="bottom"/>
          </w:tcPr>
          <w:p>
            <w:pPr>
              <w:jc w:val="right"/>
              <w:spacing w:after="0"/>
              <w:rPr>
                <w:sz w:val="20"/>
                <w:szCs w:val="20"/>
                <w:color w:val="auto"/>
              </w:rPr>
            </w:pPr>
            <w:r>
              <w:rPr>
                <w:rFonts w:ascii="Arial" w:cs="Arial" w:eastAsia="Arial" w:hAnsi="Arial"/>
                <w:sz w:val="14"/>
                <w:szCs w:val="14"/>
                <w:color w:val="auto"/>
              </w:rPr>
              <w:t>62,949</w:t>
            </w:r>
          </w:p>
        </w:tc>
        <w:tc>
          <w:tcPr>
            <w:tcW w:w="60" w:type="dxa"/>
            <w:vAlign w:val="bottom"/>
          </w:tcPr>
          <w:p>
            <w:pPr>
              <w:spacing w:after="0"/>
              <w:rPr>
                <w:sz w:val="17"/>
                <w:szCs w:val="17"/>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9.41</w:t>
            </w:r>
          </w:p>
        </w:tc>
        <w:tc>
          <w:tcPr>
            <w:tcW w:w="40" w:type="dxa"/>
            <w:vAlign w:val="bottom"/>
          </w:tcPr>
          <w:p>
            <w:pPr>
              <w:spacing w:after="0"/>
              <w:rPr>
                <w:sz w:val="17"/>
                <w:szCs w:val="17"/>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8.84</w:t>
            </w:r>
          </w:p>
        </w:tc>
        <w:tc>
          <w:tcPr>
            <w:tcW w:w="4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1,062,548</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47,067</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0.40</w:t>
            </w:r>
          </w:p>
        </w:tc>
        <w:tc>
          <w:tcPr>
            <w:tcW w:w="60" w:type="dxa"/>
            <w:vAlign w:val="bottom"/>
          </w:tcPr>
          <w:p>
            <w:pPr>
              <w:spacing w:after="0"/>
              <w:rPr>
                <w:sz w:val="17"/>
                <w:szCs w:val="17"/>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4.43</w:t>
            </w:r>
          </w:p>
        </w:tc>
      </w:tr>
      <w:tr>
        <w:trPr>
          <w:trHeight w:val="203"/>
        </w:trPr>
        <w:tc>
          <w:tcPr>
            <w:tcW w:w="1840" w:type="dxa"/>
            <w:vAlign w:val="bottom"/>
          </w:tcPr>
          <w:p>
            <w:pPr>
              <w:ind w:left="160"/>
              <w:spacing w:after="0"/>
              <w:rPr>
                <w:sz w:val="20"/>
                <w:szCs w:val="20"/>
                <w:color w:val="auto"/>
              </w:rPr>
            </w:pPr>
            <w:r>
              <w:rPr>
                <w:rFonts w:ascii="Arial" w:cs="Arial" w:eastAsia="Arial" w:hAnsi="Arial"/>
                <w:sz w:val="14"/>
                <w:szCs w:val="14"/>
                <w:color w:val="auto"/>
              </w:rPr>
              <w:t>Total</w:t>
            </w:r>
          </w:p>
        </w:tc>
        <w:tc>
          <w:tcPr>
            <w:tcW w:w="740" w:type="dxa"/>
            <w:vAlign w:val="bottom"/>
          </w:tcPr>
          <w:p>
            <w:pPr>
              <w:jc w:val="right"/>
              <w:spacing w:after="0"/>
              <w:rPr>
                <w:sz w:val="20"/>
                <w:szCs w:val="20"/>
                <w:color w:val="auto"/>
              </w:rPr>
            </w:pPr>
            <w:r>
              <w:rPr>
                <w:rFonts w:ascii="Arial" w:cs="Arial" w:eastAsia="Arial" w:hAnsi="Arial"/>
                <w:sz w:val="14"/>
                <w:szCs w:val="14"/>
                <w:color w:val="auto"/>
              </w:rPr>
              <w:t>865,888</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82,607</w:t>
            </w:r>
          </w:p>
        </w:tc>
        <w:tc>
          <w:tcPr>
            <w:tcW w:w="780" w:type="dxa"/>
            <w:vAlign w:val="bottom"/>
            <w:gridSpan w:val="2"/>
          </w:tcPr>
          <w:p>
            <w:pPr>
              <w:jc w:val="right"/>
              <w:ind w:right="32"/>
              <w:spacing w:after="0"/>
              <w:rPr>
                <w:sz w:val="20"/>
                <w:szCs w:val="20"/>
                <w:color w:val="auto"/>
              </w:rPr>
            </w:pPr>
            <w:r>
              <w:rPr>
                <w:rFonts w:ascii="Arial" w:cs="Arial" w:eastAsia="Arial" w:hAnsi="Arial"/>
                <w:sz w:val="14"/>
                <w:szCs w:val="14"/>
                <w:color w:val="auto"/>
              </w:rPr>
              <w:t>3.70</w:t>
            </w:r>
          </w:p>
        </w:tc>
        <w:tc>
          <w:tcPr>
            <w:tcW w:w="800" w:type="dxa"/>
            <w:vAlign w:val="bottom"/>
            <w:gridSpan w:val="2"/>
          </w:tcPr>
          <w:p>
            <w:pPr>
              <w:jc w:val="right"/>
              <w:ind w:right="32"/>
              <w:spacing w:after="0"/>
              <w:rPr>
                <w:sz w:val="20"/>
                <w:szCs w:val="20"/>
                <w:color w:val="auto"/>
              </w:rPr>
            </w:pPr>
            <w:r>
              <w:rPr>
                <w:rFonts w:ascii="Arial" w:cs="Arial" w:eastAsia="Arial" w:hAnsi="Arial"/>
                <w:sz w:val="14"/>
                <w:szCs w:val="14"/>
                <w:color w:val="auto"/>
              </w:rPr>
              <w:t>9.54</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907,689</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72,724</w:t>
            </w:r>
          </w:p>
        </w:tc>
        <w:tc>
          <w:tcPr>
            <w:tcW w:w="60" w:type="dxa"/>
            <w:vAlign w:val="bottom"/>
          </w:tcPr>
          <w:p>
            <w:pPr>
              <w:spacing w:after="0"/>
              <w:rPr>
                <w:sz w:val="17"/>
                <w:szCs w:val="17"/>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8.13</w:t>
            </w:r>
          </w:p>
        </w:tc>
        <w:tc>
          <w:tcPr>
            <w:tcW w:w="40" w:type="dxa"/>
            <w:vAlign w:val="bottom"/>
          </w:tcPr>
          <w:p>
            <w:pPr>
              <w:spacing w:after="0"/>
              <w:rPr>
                <w:sz w:val="17"/>
                <w:szCs w:val="17"/>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8.01</w:t>
            </w:r>
          </w:p>
        </w:tc>
        <w:tc>
          <w:tcPr>
            <w:tcW w:w="4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1,335,964</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60,455</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0.80</w:t>
            </w:r>
          </w:p>
        </w:tc>
        <w:tc>
          <w:tcPr>
            <w:tcW w:w="60" w:type="dxa"/>
            <w:vAlign w:val="bottom"/>
          </w:tcPr>
          <w:p>
            <w:pPr>
              <w:spacing w:after="0"/>
              <w:rPr>
                <w:sz w:val="17"/>
                <w:szCs w:val="17"/>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4.53</w:t>
            </w:r>
          </w:p>
        </w:tc>
      </w:tr>
      <w:tr>
        <w:trPr>
          <w:trHeight w:val="203"/>
        </w:trPr>
        <w:tc>
          <w:tcPr>
            <w:tcW w:w="1840" w:type="dxa"/>
            <w:vAlign w:val="bottom"/>
          </w:tcPr>
          <w:p>
            <w:pPr>
              <w:ind w:left="40"/>
              <w:spacing w:after="0"/>
              <w:rPr>
                <w:sz w:val="20"/>
                <w:szCs w:val="20"/>
                <w:color w:val="auto"/>
              </w:rPr>
            </w:pPr>
            <w:r>
              <w:rPr>
                <w:rFonts w:ascii="Arial" w:cs="Arial" w:eastAsia="Arial" w:hAnsi="Arial"/>
                <w:sz w:val="14"/>
                <w:szCs w:val="14"/>
                <w:color w:val="auto"/>
              </w:rPr>
              <w:t>Total loans (2)</w:t>
            </w: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840" w:type="dxa"/>
            <w:vAlign w:val="bottom"/>
          </w:tcPr>
          <w:p>
            <w:pPr>
              <w:ind w:left="180"/>
              <w:spacing w:after="0"/>
              <w:rPr>
                <w:sz w:val="20"/>
                <w:szCs w:val="20"/>
                <w:color w:val="auto"/>
              </w:rPr>
            </w:pPr>
            <w:r>
              <w:rPr>
                <w:rFonts w:ascii="Arial" w:cs="Arial" w:eastAsia="Arial" w:hAnsi="Arial"/>
                <w:sz w:val="14"/>
                <w:szCs w:val="14"/>
                <w:color w:val="auto"/>
              </w:rPr>
              <w:t>Nuevos Soles</w:t>
            </w:r>
          </w:p>
        </w:tc>
        <w:tc>
          <w:tcPr>
            <w:tcW w:w="740" w:type="dxa"/>
            <w:vAlign w:val="bottom"/>
          </w:tcPr>
          <w:p>
            <w:pPr>
              <w:jc w:val="right"/>
              <w:spacing w:after="0"/>
              <w:rPr>
                <w:sz w:val="20"/>
                <w:szCs w:val="20"/>
                <w:color w:val="auto"/>
              </w:rPr>
            </w:pPr>
            <w:r>
              <w:rPr>
                <w:rFonts w:ascii="Arial" w:cs="Arial" w:eastAsia="Arial" w:hAnsi="Arial"/>
                <w:sz w:val="14"/>
                <w:szCs w:val="14"/>
                <w:color w:val="auto"/>
              </w:rPr>
              <w:t>559,968</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137,438</w:t>
            </w:r>
          </w:p>
        </w:tc>
        <w:tc>
          <w:tcPr>
            <w:tcW w:w="780" w:type="dxa"/>
            <w:vAlign w:val="bottom"/>
            <w:gridSpan w:val="2"/>
          </w:tcPr>
          <w:p>
            <w:pPr>
              <w:jc w:val="right"/>
              <w:ind w:right="32"/>
              <w:spacing w:after="0"/>
              <w:rPr>
                <w:sz w:val="20"/>
                <w:szCs w:val="20"/>
                <w:color w:val="auto"/>
              </w:rPr>
            </w:pPr>
            <w:r>
              <w:rPr>
                <w:rFonts w:ascii="Arial" w:cs="Arial" w:eastAsia="Arial" w:hAnsi="Arial"/>
                <w:sz w:val="14"/>
                <w:szCs w:val="14"/>
                <w:color w:val="auto"/>
              </w:rPr>
              <w:t>20.10</w:t>
            </w:r>
          </w:p>
        </w:tc>
        <w:tc>
          <w:tcPr>
            <w:tcW w:w="800" w:type="dxa"/>
            <w:vAlign w:val="bottom"/>
            <w:gridSpan w:val="2"/>
          </w:tcPr>
          <w:p>
            <w:pPr>
              <w:jc w:val="right"/>
              <w:ind w:right="32"/>
              <w:spacing w:after="0"/>
              <w:rPr>
                <w:sz w:val="20"/>
                <w:szCs w:val="20"/>
                <w:color w:val="auto"/>
              </w:rPr>
            </w:pPr>
            <w:r>
              <w:rPr>
                <w:rFonts w:ascii="Arial" w:cs="Arial" w:eastAsia="Arial" w:hAnsi="Arial"/>
                <w:sz w:val="14"/>
                <w:szCs w:val="14"/>
                <w:color w:val="auto"/>
              </w:rPr>
              <w:t>24.54</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560,090</w:t>
            </w:r>
          </w:p>
        </w:tc>
        <w:tc>
          <w:tcPr>
            <w:tcW w:w="6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114,509</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18.66</w:t>
            </w:r>
          </w:p>
        </w:tc>
        <w:tc>
          <w:tcPr>
            <w:tcW w:w="40" w:type="dxa"/>
            <w:vAlign w:val="bottom"/>
          </w:tcPr>
          <w:p>
            <w:pPr>
              <w:spacing w:after="0"/>
              <w:rPr>
                <w:sz w:val="17"/>
                <w:szCs w:val="17"/>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20.44</w:t>
            </w:r>
          </w:p>
        </w:tc>
        <w:tc>
          <w:tcPr>
            <w:tcW w:w="4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692,580</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127,774</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15.56</w:t>
            </w:r>
          </w:p>
        </w:tc>
        <w:tc>
          <w:tcPr>
            <w:tcW w:w="60" w:type="dxa"/>
            <w:vAlign w:val="bottom"/>
          </w:tcPr>
          <w:p>
            <w:pPr>
              <w:spacing w:after="0"/>
              <w:rPr>
                <w:sz w:val="17"/>
                <w:szCs w:val="17"/>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18.45</w:t>
            </w:r>
          </w:p>
        </w:tc>
      </w:tr>
      <w:tr>
        <w:trPr>
          <w:trHeight w:val="203"/>
        </w:trPr>
        <w:tc>
          <w:tcPr>
            <w:tcW w:w="1840" w:type="dxa"/>
            <w:vAlign w:val="bottom"/>
          </w:tcPr>
          <w:p>
            <w:pPr>
              <w:ind w:left="180"/>
              <w:spacing w:after="0"/>
              <w:rPr>
                <w:sz w:val="20"/>
                <w:szCs w:val="20"/>
                <w:color w:val="auto"/>
              </w:rPr>
            </w:pPr>
            <w:r>
              <w:rPr>
                <w:rFonts w:ascii="Arial" w:cs="Arial" w:eastAsia="Arial" w:hAnsi="Arial"/>
                <w:sz w:val="14"/>
                <w:szCs w:val="14"/>
                <w:color w:val="auto"/>
              </w:rPr>
              <w:t>Foreign Currency</w:t>
            </w:r>
          </w:p>
        </w:tc>
        <w:tc>
          <w:tcPr>
            <w:tcW w:w="740" w:type="dxa"/>
            <w:vAlign w:val="bottom"/>
          </w:tcPr>
          <w:p>
            <w:pPr>
              <w:jc w:val="right"/>
              <w:spacing w:after="0"/>
              <w:rPr>
                <w:sz w:val="20"/>
                <w:szCs w:val="20"/>
                <w:color w:val="auto"/>
              </w:rPr>
            </w:pPr>
            <w:r>
              <w:rPr>
                <w:rFonts w:ascii="Arial" w:cs="Arial" w:eastAsia="Arial" w:hAnsi="Arial"/>
                <w:sz w:val="14"/>
                <w:szCs w:val="14"/>
                <w:color w:val="auto"/>
              </w:rPr>
              <w:t>3,819,865</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406,817</w:t>
            </w:r>
          </w:p>
        </w:tc>
        <w:tc>
          <w:tcPr>
            <w:tcW w:w="780" w:type="dxa"/>
            <w:vAlign w:val="bottom"/>
            <w:gridSpan w:val="2"/>
          </w:tcPr>
          <w:p>
            <w:pPr>
              <w:jc w:val="right"/>
              <w:ind w:right="32"/>
              <w:spacing w:after="0"/>
              <w:rPr>
                <w:sz w:val="20"/>
                <w:szCs w:val="20"/>
                <w:color w:val="auto"/>
              </w:rPr>
            </w:pPr>
            <w:r>
              <w:rPr>
                <w:rFonts w:ascii="Arial" w:cs="Arial" w:eastAsia="Arial" w:hAnsi="Arial"/>
                <w:sz w:val="14"/>
                <w:szCs w:val="14"/>
                <w:color w:val="auto"/>
              </w:rPr>
              <w:t>4.40</w:t>
            </w:r>
          </w:p>
        </w:tc>
        <w:tc>
          <w:tcPr>
            <w:tcW w:w="800" w:type="dxa"/>
            <w:vAlign w:val="bottom"/>
            <w:gridSpan w:val="2"/>
          </w:tcPr>
          <w:p>
            <w:pPr>
              <w:jc w:val="right"/>
              <w:ind w:right="32"/>
              <w:spacing w:after="0"/>
              <w:rPr>
                <w:sz w:val="20"/>
                <w:szCs w:val="20"/>
                <w:color w:val="auto"/>
              </w:rPr>
            </w:pPr>
            <w:r>
              <w:rPr>
                <w:rFonts w:ascii="Arial" w:cs="Arial" w:eastAsia="Arial" w:hAnsi="Arial"/>
                <w:sz w:val="14"/>
                <w:szCs w:val="14"/>
                <w:color w:val="auto"/>
              </w:rPr>
              <w:t>10.65</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3,595,232</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305,832</w:t>
            </w:r>
          </w:p>
        </w:tc>
        <w:tc>
          <w:tcPr>
            <w:tcW w:w="60" w:type="dxa"/>
            <w:vAlign w:val="bottom"/>
          </w:tcPr>
          <w:p>
            <w:pPr>
              <w:spacing w:after="0"/>
              <w:rPr>
                <w:sz w:val="17"/>
                <w:szCs w:val="17"/>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9.08</w:t>
            </w:r>
          </w:p>
        </w:tc>
        <w:tc>
          <w:tcPr>
            <w:tcW w:w="40" w:type="dxa"/>
            <w:vAlign w:val="bottom"/>
          </w:tcPr>
          <w:p>
            <w:pPr>
              <w:spacing w:after="0"/>
              <w:rPr>
                <w:sz w:val="17"/>
                <w:szCs w:val="17"/>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8.51</w:t>
            </w:r>
          </w:p>
        </w:tc>
        <w:tc>
          <w:tcPr>
            <w:tcW w:w="4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3,755,212</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330,052</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4.60</w:t>
            </w:r>
          </w:p>
        </w:tc>
        <w:tc>
          <w:tcPr>
            <w:tcW w:w="60" w:type="dxa"/>
            <w:vAlign w:val="bottom"/>
          </w:tcPr>
          <w:p>
            <w:pPr>
              <w:spacing w:after="0"/>
              <w:rPr>
                <w:sz w:val="17"/>
                <w:szCs w:val="17"/>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8.79</w:t>
            </w:r>
          </w:p>
        </w:tc>
      </w:tr>
      <w:tr>
        <w:trPr>
          <w:trHeight w:val="203"/>
        </w:trPr>
        <w:tc>
          <w:tcPr>
            <w:tcW w:w="1840" w:type="dxa"/>
            <w:vAlign w:val="bottom"/>
          </w:tcPr>
          <w:p>
            <w:pPr>
              <w:ind w:left="160"/>
              <w:spacing w:after="0"/>
              <w:rPr>
                <w:sz w:val="20"/>
                <w:szCs w:val="20"/>
                <w:color w:val="auto"/>
              </w:rPr>
            </w:pPr>
            <w:r>
              <w:rPr>
                <w:rFonts w:ascii="Arial" w:cs="Arial" w:eastAsia="Arial" w:hAnsi="Arial"/>
                <w:sz w:val="14"/>
                <w:szCs w:val="14"/>
                <w:color w:val="auto"/>
              </w:rPr>
              <w:t>Total</w:t>
            </w:r>
          </w:p>
        </w:tc>
        <w:tc>
          <w:tcPr>
            <w:tcW w:w="740" w:type="dxa"/>
            <w:vAlign w:val="bottom"/>
          </w:tcPr>
          <w:p>
            <w:pPr>
              <w:jc w:val="right"/>
              <w:spacing w:after="0"/>
              <w:rPr>
                <w:sz w:val="20"/>
                <w:szCs w:val="20"/>
                <w:color w:val="auto"/>
              </w:rPr>
            </w:pPr>
            <w:r>
              <w:rPr>
                <w:rFonts w:ascii="Arial" w:cs="Arial" w:eastAsia="Arial" w:hAnsi="Arial"/>
                <w:sz w:val="14"/>
                <w:szCs w:val="14"/>
                <w:color w:val="auto"/>
              </w:rPr>
              <w:t>4,379,833</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544,255</w:t>
            </w:r>
          </w:p>
        </w:tc>
        <w:tc>
          <w:tcPr>
            <w:tcW w:w="780" w:type="dxa"/>
            <w:vAlign w:val="bottom"/>
            <w:gridSpan w:val="2"/>
          </w:tcPr>
          <w:p>
            <w:pPr>
              <w:jc w:val="right"/>
              <w:ind w:right="32"/>
              <w:spacing w:after="0"/>
              <w:rPr>
                <w:sz w:val="20"/>
                <w:szCs w:val="20"/>
                <w:color w:val="auto"/>
              </w:rPr>
            </w:pPr>
            <w:r>
              <w:rPr>
                <w:rFonts w:ascii="Arial" w:cs="Arial" w:eastAsia="Arial" w:hAnsi="Arial"/>
                <w:sz w:val="14"/>
                <w:szCs w:val="14"/>
                <w:color w:val="auto"/>
              </w:rPr>
              <w:t>6.41</w:t>
            </w:r>
          </w:p>
        </w:tc>
        <w:tc>
          <w:tcPr>
            <w:tcW w:w="800" w:type="dxa"/>
            <w:vAlign w:val="bottom"/>
            <w:gridSpan w:val="2"/>
          </w:tcPr>
          <w:p>
            <w:pPr>
              <w:jc w:val="right"/>
              <w:ind w:right="32"/>
              <w:spacing w:after="0"/>
              <w:rPr>
                <w:sz w:val="20"/>
                <w:szCs w:val="20"/>
                <w:color w:val="auto"/>
              </w:rPr>
            </w:pPr>
            <w:r>
              <w:rPr>
                <w:rFonts w:ascii="Arial" w:cs="Arial" w:eastAsia="Arial" w:hAnsi="Arial"/>
                <w:sz w:val="14"/>
                <w:szCs w:val="14"/>
                <w:color w:val="auto"/>
              </w:rPr>
              <w:t>12.43</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4,155,322</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420,341</w:t>
            </w:r>
          </w:p>
        </w:tc>
        <w:tc>
          <w:tcPr>
            <w:tcW w:w="60" w:type="dxa"/>
            <w:vAlign w:val="bottom"/>
          </w:tcPr>
          <w:p>
            <w:pPr>
              <w:spacing w:after="0"/>
              <w:rPr>
                <w:sz w:val="17"/>
                <w:szCs w:val="17"/>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10.37</w:t>
            </w:r>
          </w:p>
        </w:tc>
        <w:tc>
          <w:tcPr>
            <w:tcW w:w="40" w:type="dxa"/>
            <w:vAlign w:val="bottom"/>
          </w:tcPr>
          <w:p>
            <w:pPr>
              <w:spacing w:after="0"/>
              <w:rPr>
                <w:sz w:val="17"/>
                <w:szCs w:val="17"/>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10.12</w:t>
            </w:r>
          </w:p>
        </w:tc>
        <w:tc>
          <w:tcPr>
            <w:tcW w:w="4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4,447,792</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457,826</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6.30</w:t>
            </w:r>
          </w:p>
        </w:tc>
        <w:tc>
          <w:tcPr>
            <w:tcW w:w="60" w:type="dxa"/>
            <w:vAlign w:val="bottom"/>
          </w:tcPr>
          <w:p>
            <w:pPr>
              <w:spacing w:after="0"/>
              <w:rPr>
                <w:sz w:val="17"/>
                <w:szCs w:val="17"/>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10.29</w:t>
            </w:r>
          </w:p>
        </w:tc>
      </w:tr>
      <w:tr>
        <w:trPr>
          <w:trHeight w:val="179"/>
        </w:trPr>
        <w:tc>
          <w:tcPr>
            <w:tcW w:w="1840" w:type="dxa"/>
            <w:vAlign w:val="bottom"/>
          </w:tcPr>
          <w:p>
            <w:pPr>
              <w:ind w:left="40"/>
              <w:spacing w:after="0"/>
              <w:rPr>
                <w:sz w:val="20"/>
                <w:szCs w:val="20"/>
                <w:color w:val="auto"/>
              </w:rPr>
            </w:pPr>
            <w:r>
              <w:rPr>
                <w:rFonts w:ascii="Arial" w:cs="Arial" w:eastAsia="Arial" w:hAnsi="Arial"/>
                <w:sz w:val="14"/>
                <w:szCs w:val="14"/>
                <w:color w:val="auto"/>
                <w:w w:val="97"/>
              </w:rPr>
              <w:t>Total dividend-earning assets</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2"/>
        </w:trPr>
        <w:tc>
          <w:tcPr>
            <w:tcW w:w="1840" w:type="dxa"/>
            <w:vAlign w:val="bottom"/>
          </w:tcPr>
          <w:p>
            <w:pPr>
              <w:ind w:left="40"/>
              <w:spacing w:after="0"/>
              <w:rPr>
                <w:sz w:val="20"/>
                <w:szCs w:val="20"/>
                <w:color w:val="auto"/>
              </w:rPr>
            </w:pPr>
            <w:r>
              <w:rPr>
                <w:rFonts w:ascii="Arial" w:cs="Arial" w:eastAsia="Arial" w:hAnsi="Arial"/>
                <w:sz w:val="14"/>
                <w:szCs w:val="14"/>
                <w:color w:val="auto"/>
              </w:rPr>
              <w:t>(3)</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03"/>
        </w:trPr>
        <w:tc>
          <w:tcPr>
            <w:tcW w:w="1840" w:type="dxa"/>
            <w:vAlign w:val="bottom"/>
          </w:tcPr>
          <w:p>
            <w:pPr>
              <w:ind w:left="180"/>
              <w:spacing w:after="0"/>
              <w:rPr>
                <w:sz w:val="20"/>
                <w:szCs w:val="20"/>
                <w:color w:val="auto"/>
              </w:rPr>
            </w:pPr>
            <w:r>
              <w:rPr>
                <w:rFonts w:ascii="Arial" w:cs="Arial" w:eastAsia="Arial" w:hAnsi="Arial"/>
                <w:sz w:val="14"/>
                <w:szCs w:val="14"/>
                <w:color w:val="auto"/>
              </w:rPr>
              <w:t>Nuevos Soles</w:t>
            </w:r>
          </w:p>
        </w:tc>
        <w:tc>
          <w:tcPr>
            <w:tcW w:w="740" w:type="dxa"/>
            <w:vAlign w:val="bottom"/>
          </w:tcPr>
          <w:p>
            <w:pPr>
              <w:jc w:val="right"/>
              <w:spacing w:after="0"/>
              <w:rPr>
                <w:sz w:val="20"/>
                <w:szCs w:val="20"/>
                <w:color w:val="auto"/>
              </w:rPr>
            </w:pPr>
            <w:r>
              <w:rPr>
                <w:rFonts w:ascii="Arial" w:cs="Arial" w:eastAsia="Arial" w:hAnsi="Arial"/>
                <w:sz w:val="14"/>
                <w:szCs w:val="14"/>
                <w:color w:val="auto"/>
              </w:rPr>
              <w:t>124,130</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1,106</w:t>
            </w:r>
          </w:p>
        </w:tc>
        <w:tc>
          <w:tcPr>
            <w:tcW w:w="780" w:type="dxa"/>
            <w:vAlign w:val="bottom"/>
            <w:gridSpan w:val="2"/>
          </w:tcPr>
          <w:p>
            <w:pPr>
              <w:jc w:val="right"/>
              <w:ind w:right="32"/>
              <w:spacing w:after="0"/>
              <w:rPr>
                <w:sz w:val="20"/>
                <w:szCs w:val="20"/>
                <w:color w:val="auto"/>
              </w:rPr>
            </w:pPr>
            <w:r>
              <w:rPr>
                <w:rFonts w:ascii="Arial" w:cs="Arial" w:eastAsia="Arial" w:hAnsi="Arial"/>
                <w:sz w:val="14"/>
                <w:szCs w:val="14"/>
                <w:color w:val="auto"/>
              </w:rPr>
              <w:t>-2.71</w:t>
            </w:r>
          </w:p>
        </w:tc>
        <w:tc>
          <w:tcPr>
            <w:tcW w:w="800" w:type="dxa"/>
            <w:vAlign w:val="bottom"/>
            <w:gridSpan w:val="2"/>
          </w:tcPr>
          <w:p>
            <w:pPr>
              <w:jc w:val="right"/>
              <w:ind w:right="32"/>
              <w:spacing w:after="0"/>
              <w:rPr>
                <w:sz w:val="20"/>
                <w:szCs w:val="20"/>
                <w:color w:val="auto"/>
              </w:rPr>
            </w:pPr>
            <w:r>
              <w:rPr>
                <w:rFonts w:ascii="Arial" w:cs="Arial" w:eastAsia="Arial" w:hAnsi="Arial"/>
                <w:sz w:val="14"/>
                <w:szCs w:val="14"/>
                <w:color w:val="auto"/>
              </w:rPr>
              <w:t>0.89</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104,523</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439</w:t>
            </w:r>
          </w:p>
        </w:tc>
        <w:tc>
          <w:tcPr>
            <w:tcW w:w="60" w:type="dxa"/>
            <w:vAlign w:val="bottom"/>
          </w:tcPr>
          <w:p>
            <w:pPr>
              <w:spacing w:after="0"/>
              <w:rPr>
                <w:sz w:val="17"/>
                <w:szCs w:val="17"/>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-1.06</w:t>
            </w:r>
          </w:p>
        </w:tc>
        <w:tc>
          <w:tcPr>
            <w:tcW w:w="40" w:type="dxa"/>
            <w:vAlign w:val="bottom"/>
          </w:tcPr>
          <w:p>
            <w:pPr>
              <w:spacing w:after="0"/>
              <w:rPr>
                <w:sz w:val="17"/>
                <w:szCs w:val="17"/>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0.42</w:t>
            </w:r>
          </w:p>
        </w:tc>
        <w:tc>
          <w:tcPr>
            <w:tcW w:w="4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42,164</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330</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-1.68</w:t>
            </w:r>
          </w:p>
        </w:tc>
        <w:tc>
          <w:tcPr>
            <w:tcW w:w="60" w:type="dxa"/>
            <w:vAlign w:val="bottom"/>
          </w:tcPr>
          <w:p>
            <w:pPr>
              <w:spacing w:after="0"/>
              <w:rPr>
                <w:sz w:val="17"/>
                <w:szCs w:val="17"/>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0.78</w:t>
            </w:r>
          </w:p>
        </w:tc>
      </w:tr>
      <w:tr>
        <w:trPr>
          <w:trHeight w:val="203"/>
        </w:trPr>
        <w:tc>
          <w:tcPr>
            <w:tcW w:w="1840" w:type="dxa"/>
            <w:vAlign w:val="bottom"/>
          </w:tcPr>
          <w:p>
            <w:pPr>
              <w:ind w:left="180"/>
              <w:spacing w:after="0"/>
              <w:rPr>
                <w:sz w:val="20"/>
                <w:szCs w:val="20"/>
                <w:color w:val="auto"/>
              </w:rPr>
            </w:pPr>
            <w:r>
              <w:rPr>
                <w:rFonts w:ascii="Arial" w:cs="Arial" w:eastAsia="Arial" w:hAnsi="Arial"/>
                <w:sz w:val="14"/>
                <w:szCs w:val="14"/>
                <w:color w:val="auto"/>
              </w:rPr>
              <w:t>Foreign Currency</w:t>
            </w:r>
          </w:p>
        </w:tc>
        <w:tc>
          <w:tcPr>
            <w:tcW w:w="740" w:type="dxa"/>
            <w:vAlign w:val="bottom"/>
          </w:tcPr>
          <w:p>
            <w:pPr>
              <w:jc w:val="right"/>
              <w:spacing w:after="0"/>
              <w:rPr>
                <w:sz w:val="20"/>
                <w:szCs w:val="20"/>
                <w:color w:val="auto"/>
              </w:rPr>
            </w:pPr>
            <w:r>
              <w:rPr>
                <w:rFonts w:ascii="Arial" w:cs="Arial" w:eastAsia="Arial" w:hAnsi="Arial"/>
                <w:sz w:val="14"/>
                <w:szCs w:val="14"/>
                <w:color w:val="auto"/>
              </w:rPr>
              <w:t>108,545</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1,281</w:t>
            </w:r>
          </w:p>
        </w:tc>
        <w:tc>
          <w:tcPr>
            <w:tcW w:w="780" w:type="dxa"/>
            <w:vAlign w:val="bottom"/>
            <w:gridSpan w:val="2"/>
          </w:tcPr>
          <w:p>
            <w:pPr>
              <w:jc w:val="right"/>
              <w:ind w:right="32"/>
              <w:spacing w:after="0"/>
              <w:rPr>
                <w:sz w:val="20"/>
                <w:szCs w:val="20"/>
                <w:color w:val="auto"/>
              </w:rPr>
            </w:pPr>
            <w:r>
              <w:rPr>
                <w:rFonts w:ascii="Arial" w:cs="Arial" w:eastAsia="Arial" w:hAnsi="Arial"/>
                <w:sz w:val="14"/>
                <w:szCs w:val="14"/>
                <w:color w:val="auto"/>
              </w:rPr>
              <w:t>-4.54</w:t>
            </w:r>
          </w:p>
        </w:tc>
        <w:tc>
          <w:tcPr>
            <w:tcW w:w="800" w:type="dxa"/>
            <w:vAlign w:val="bottom"/>
            <w:gridSpan w:val="2"/>
          </w:tcPr>
          <w:p>
            <w:pPr>
              <w:jc w:val="right"/>
              <w:ind w:right="32"/>
              <w:spacing w:after="0"/>
              <w:rPr>
                <w:sz w:val="20"/>
                <w:szCs w:val="20"/>
                <w:color w:val="auto"/>
              </w:rPr>
            </w:pPr>
            <w:r>
              <w:rPr>
                <w:rFonts w:ascii="Arial" w:cs="Arial" w:eastAsia="Arial" w:hAnsi="Arial"/>
                <w:sz w:val="14"/>
                <w:szCs w:val="14"/>
                <w:color w:val="auto"/>
              </w:rPr>
              <w:t>1.18</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155,536</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1,854</w:t>
            </w:r>
          </w:p>
        </w:tc>
        <w:tc>
          <w:tcPr>
            <w:tcW w:w="60" w:type="dxa"/>
            <w:vAlign w:val="bottom"/>
          </w:tcPr>
          <w:p>
            <w:pPr>
              <w:spacing w:after="0"/>
              <w:rPr>
                <w:sz w:val="17"/>
                <w:szCs w:val="17"/>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1.72</w:t>
            </w:r>
          </w:p>
        </w:tc>
        <w:tc>
          <w:tcPr>
            <w:tcW w:w="40" w:type="dxa"/>
            <w:vAlign w:val="bottom"/>
          </w:tcPr>
          <w:p>
            <w:pPr>
              <w:spacing w:after="0"/>
              <w:rPr>
                <w:sz w:val="17"/>
                <w:szCs w:val="17"/>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1.19</w:t>
            </w:r>
          </w:p>
        </w:tc>
        <w:tc>
          <w:tcPr>
            <w:tcW w:w="4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75,766</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10,848</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9.91</w:t>
            </w:r>
          </w:p>
        </w:tc>
        <w:tc>
          <w:tcPr>
            <w:tcW w:w="60" w:type="dxa"/>
            <w:vAlign w:val="bottom"/>
          </w:tcPr>
          <w:p>
            <w:pPr>
              <w:spacing w:after="0"/>
              <w:rPr>
                <w:sz w:val="17"/>
                <w:szCs w:val="17"/>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14.32</w:t>
            </w:r>
          </w:p>
        </w:tc>
      </w:tr>
      <w:tr>
        <w:trPr>
          <w:trHeight w:val="203"/>
        </w:trPr>
        <w:tc>
          <w:tcPr>
            <w:tcW w:w="1840" w:type="dxa"/>
            <w:vAlign w:val="bottom"/>
          </w:tcPr>
          <w:p>
            <w:pPr>
              <w:ind w:left="160"/>
              <w:spacing w:after="0"/>
              <w:rPr>
                <w:sz w:val="20"/>
                <w:szCs w:val="20"/>
                <w:color w:val="auto"/>
              </w:rPr>
            </w:pPr>
            <w:r>
              <w:rPr>
                <w:rFonts w:ascii="Arial" w:cs="Arial" w:eastAsia="Arial" w:hAnsi="Arial"/>
                <w:sz w:val="14"/>
                <w:szCs w:val="14"/>
                <w:color w:val="auto"/>
              </w:rPr>
              <w:t>Total .</w:t>
            </w:r>
          </w:p>
        </w:tc>
        <w:tc>
          <w:tcPr>
            <w:tcW w:w="740" w:type="dxa"/>
            <w:vAlign w:val="bottom"/>
          </w:tcPr>
          <w:p>
            <w:pPr>
              <w:jc w:val="right"/>
              <w:spacing w:after="0"/>
              <w:rPr>
                <w:sz w:val="20"/>
                <w:szCs w:val="20"/>
                <w:color w:val="auto"/>
              </w:rPr>
            </w:pPr>
            <w:r>
              <w:rPr>
                <w:rFonts w:ascii="Arial" w:cs="Arial" w:eastAsia="Arial" w:hAnsi="Arial"/>
                <w:sz w:val="14"/>
                <w:szCs w:val="14"/>
                <w:color w:val="auto"/>
              </w:rPr>
              <w:t>232,675</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2,387</w:t>
            </w:r>
          </w:p>
        </w:tc>
        <w:tc>
          <w:tcPr>
            <w:tcW w:w="780" w:type="dxa"/>
            <w:vAlign w:val="bottom"/>
            <w:gridSpan w:val="2"/>
          </w:tcPr>
          <w:p>
            <w:pPr>
              <w:jc w:val="right"/>
              <w:ind w:right="32"/>
              <w:spacing w:after="0"/>
              <w:rPr>
                <w:sz w:val="20"/>
                <w:szCs w:val="20"/>
                <w:color w:val="auto"/>
              </w:rPr>
            </w:pPr>
            <w:r>
              <w:rPr>
                <w:rFonts w:ascii="Arial" w:cs="Arial" w:eastAsia="Arial" w:hAnsi="Arial"/>
                <w:sz w:val="14"/>
                <w:szCs w:val="14"/>
                <w:color w:val="auto"/>
              </w:rPr>
              <w:t>-3.56</w:t>
            </w:r>
          </w:p>
        </w:tc>
        <w:tc>
          <w:tcPr>
            <w:tcW w:w="800" w:type="dxa"/>
            <w:vAlign w:val="bottom"/>
            <w:gridSpan w:val="2"/>
          </w:tcPr>
          <w:p>
            <w:pPr>
              <w:jc w:val="right"/>
              <w:ind w:right="32"/>
              <w:spacing w:after="0"/>
              <w:rPr>
                <w:sz w:val="20"/>
                <w:szCs w:val="20"/>
                <w:color w:val="auto"/>
              </w:rPr>
            </w:pPr>
            <w:r>
              <w:rPr>
                <w:rFonts w:ascii="Arial" w:cs="Arial" w:eastAsia="Arial" w:hAnsi="Arial"/>
                <w:sz w:val="14"/>
                <w:szCs w:val="14"/>
                <w:color w:val="auto"/>
              </w:rPr>
              <w:t>1.03</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260,059</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2,293</w:t>
            </w:r>
          </w:p>
        </w:tc>
        <w:tc>
          <w:tcPr>
            <w:tcW w:w="60" w:type="dxa"/>
            <w:vAlign w:val="bottom"/>
          </w:tcPr>
          <w:p>
            <w:pPr>
              <w:spacing w:after="0"/>
              <w:rPr>
                <w:sz w:val="17"/>
                <w:szCs w:val="17"/>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0.60</w:t>
            </w:r>
          </w:p>
        </w:tc>
        <w:tc>
          <w:tcPr>
            <w:tcW w:w="40" w:type="dxa"/>
            <w:vAlign w:val="bottom"/>
          </w:tcPr>
          <w:p>
            <w:pPr>
              <w:spacing w:after="0"/>
              <w:rPr>
                <w:sz w:val="17"/>
                <w:szCs w:val="17"/>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0.88</w:t>
            </w:r>
          </w:p>
        </w:tc>
        <w:tc>
          <w:tcPr>
            <w:tcW w:w="4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117,931</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11,178</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5.77</w:t>
            </w:r>
          </w:p>
        </w:tc>
        <w:tc>
          <w:tcPr>
            <w:tcW w:w="60" w:type="dxa"/>
            <w:vAlign w:val="bottom"/>
          </w:tcPr>
          <w:p>
            <w:pPr>
              <w:spacing w:after="0"/>
              <w:rPr>
                <w:sz w:val="17"/>
                <w:szCs w:val="17"/>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9.48</w:t>
            </w:r>
          </w:p>
        </w:tc>
      </w:tr>
      <w:tr>
        <w:trPr>
          <w:trHeight w:val="203"/>
        </w:trPr>
        <w:tc>
          <w:tcPr>
            <w:tcW w:w="1840" w:type="dxa"/>
            <w:vAlign w:val="bottom"/>
          </w:tcPr>
          <w:p>
            <w:pPr>
              <w:ind w:left="40"/>
              <w:spacing w:after="0"/>
              <w:rPr>
                <w:sz w:val="20"/>
                <w:szCs w:val="20"/>
                <w:color w:val="auto"/>
              </w:rPr>
            </w:pPr>
            <w:r>
              <w:rPr>
                <w:rFonts w:ascii="Arial" w:cs="Arial" w:eastAsia="Arial" w:hAnsi="Arial"/>
                <w:sz w:val="14"/>
                <w:szCs w:val="14"/>
                <w:color w:val="auto"/>
              </w:rPr>
              <w:t>Total interest-earning assets</w:t>
            </w: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840" w:type="dxa"/>
            <w:vAlign w:val="bottom"/>
          </w:tcPr>
          <w:p>
            <w:pPr>
              <w:ind w:left="180"/>
              <w:spacing w:after="0"/>
              <w:rPr>
                <w:sz w:val="20"/>
                <w:szCs w:val="20"/>
                <w:color w:val="auto"/>
              </w:rPr>
            </w:pPr>
            <w:r>
              <w:rPr>
                <w:rFonts w:ascii="Arial" w:cs="Arial" w:eastAsia="Arial" w:hAnsi="Arial"/>
                <w:sz w:val="14"/>
                <w:szCs w:val="14"/>
                <w:color w:val="auto"/>
              </w:rPr>
              <w:t>Nuevos Soles</w:t>
            </w:r>
          </w:p>
        </w:tc>
        <w:tc>
          <w:tcPr>
            <w:tcW w:w="740" w:type="dxa"/>
            <w:vAlign w:val="bottom"/>
          </w:tcPr>
          <w:p>
            <w:pPr>
              <w:jc w:val="right"/>
              <w:spacing w:after="0"/>
              <w:rPr>
                <w:sz w:val="20"/>
                <w:szCs w:val="20"/>
                <w:color w:val="auto"/>
              </w:rPr>
            </w:pPr>
            <w:r>
              <w:rPr>
                <w:rFonts w:ascii="Arial" w:cs="Arial" w:eastAsia="Arial" w:hAnsi="Arial"/>
                <w:sz w:val="14"/>
                <w:szCs w:val="14"/>
                <w:color w:val="auto"/>
              </w:rPr>
              <w:t>830,187</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156,734</w:t>
            </w:r>
          </w:p>
        </w:tc>
        <w:tc>
          <w:tcPr>
            <w:tcW w:w="780" w:type="dxa"/>
            <w:vAlign w:val="bottom"/>
            <w:gridSpan w:val="2"/>
          </w:tcPr>
          <w:p>
            <w:pPr>
              <w:jc w:val="right"/>
              <w:ind w:right="32"/>
              <w:spacing w:after="0"/>
              <w:rPr>
                <w:sz w:val="20"/>
                <w:szCs w:val="20"/>
                <w:color w:val="auto"/>
              </w:rPr>
            </w:pPr>
            <w:r>
              <w:rPr>
                <w:rFonts w:ascii="Arial" w:cs="Arial" w:eastAsia="Arial" w:hAnsi="Arial"/>
                <w:sz w:val="14"/>
                <w:szCs w:val="14"/>
                <w:color w:val="auto"/>
              </w:rPr>
              <w:t>14.64</w:t>
            </w:r>
          </w:p>
        </w:tc>
        <w:tc>
          <w:tcPr>
            <w:tcW w:w="800" w:type="dxa"/>
            <w:vAlign w:val="bottom"/>
            <w:gridSpan w:val="2"/>
          </w:tcPr>
          <w:p>
            <w:pPr>
              <w:jc w:val="right"/>
              <w:ind w:right="32"/>
              <w:spacing w:after="0"/>
              <w:rPr>
                <w:sz w:val="20"/>
                <w:szCs w:val="20"/>
                <w:color w:val="auto"/>
              </w:rPr>
            </w:pPr>
            <w:r>
              <w:rPr>
                <w:rFonts w:ascii="Arial" w:cs="Arial" w:eastAsia="Arial" w:hAnsi="Arial"/>
                <w:sz w:val="14"/>
                <w:szCs w:val="14"/>
                <w:color w:val="auto"/>
              </w:rPr>
              <w:t>18.88</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884,031</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127,528</w:t>
            </w:r>
          </w:p>
        </w:tc>
        <w:tc>
          <w:tcPr>
            <w:tcW w:w="60" w:type="dxa"/>
            <w:vAlign w:val="bottom"/>
          </w:tcPr>
          <w:p>
            <w:pPr>
              <w:spacing w:after="0"/>
              <w:rPr>
                <w:sz w:val="17"/>
                <w:szCs w:val="17"/>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12.73</w:t>
            </w:r>
          </w:p>
        </w:tc>
        <w:tc>
          <w:tcPr>
            <w:tcW w:w="40" w:type="dxa"/>
            <w:vAlign w:val="bottom"/>
          </w:tcPr>
          <w:p>
            <w:pPr>
              <w:spacing w:after="0"/>
              <w:rPr>
                <w:sz w:val="17"/>
                <w:szCs w:val="17"/>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14.43</w:t>
            </w:r>
          </w:p>
        </w:tc>
        <w:tc>
          <w:tcPr>
            <w:tcW w:w="4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1,025,636</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143,486</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11.21</w:t>
            </w:r>
          </w:p>
        </w:tc>
        <w:tc>
          <w:tcPr>
            <w:tcW w:w="60" w:type="dxa"/>
            <w:vAlign w:val="bottom"/>
          </w:tcPr>
          <w:p>
            <w:pPr>
              <w:spacing w:after="0"/>
              <w:rPr>
                <w:sz w:val="17"/>
                <w:szCs w:val="17"/>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13.99</w:t>
            </w:r>
          </w:p>
        </w:tc>
      </w:tr>
      <w:tr>
        <w:trPr>
          <w:trHeight w:val="203"/>
        </w:trPr>
        <w:tc>
          <w:tcPr>
            <w:tcW w:w="1840" w:type="dxa"/>
            <w:vAlign w:val="bottom"/>
          </w:tcPr>
          <w:p>
            <w:pPr>
              <w:ind w:left="180"/>
              <w:spacing w:after="0"/>
              <w:rPr>
                <w:sz w:val="20"/>
                <w:szCs w:val="20"/>
                <w:color w:val="auto"/>
              </w:rPr>
            </w:pPr>
            <w:r>
              <w:rPr>
                <w:rFonts w:ascii="Arial" w:cs="Arial" w:eastAsia="Arial" w:hAnsi="Arial"/>
                <w:sz w:val="14"/>
                <w:szCs w:val="14"/>
                <w:color w:val="auto"/>
              </w:rPr>
              <w:t>Foreign Currency</w:t>
            </w:r>
          </w:p>
        </w:tc>
        <w:tc>
          <w:tcPr>
            <w:tcW w:w="740" w:type="dxa"/>
            <w:vAlign w:val="bottom"/>
          </w:tcPr>
          <w:p>
            <w:pPr>
              <w:jc w:val="right"/>
              <w:spacing w:after="0"/>
              <w:rPr>
                <w:sz w:val="20"/>
                <w:szCs w:val="20"/>
                <w:color w:val="auto"/>
              </w:rPr>
            </w:pPr>
            <w:r>
              <w:rPr>
                <w:rFonts w:ascii="Arial" w:cs="Arial" w:eastAsia="Arial" w:hAnsi="Arial"/>
                <w:sz w:val="14"/>
                <w:szCs w:val="14"/>
                <w:color w:val="auto"/>
              </w:rPr>
              <w:t>6,301,962</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538,038</w:t>
            </w:r>
          </w:p>
        </w:tc>
        <w:tc>
          <w:tcPr>
            <w:tcW w:w="780" w:type="dxa"/>
            <w:vAlign w:val="bottom"/>
            <w:gridSpan w:val="2"/>
          </w:tcPr>
          <w:p>
            <w:pPr>
              <w:jc w:val="right"/>
              <w:ind w:right="32"/>
              <w:spacing w:after="0"/>
              <w:rPr>
                <w:sz w:val="20"/>
                <w:szCs w:val="20"/>
                <w:color w:val="auto"/>
              </w:rPr>
            </w:pPr>
            <w:r>
              <w:rPr>
                <w:rFonts w:ascii="Arial" w:cs="Arial" w:eastAsia="Arial" w:hAnsi="Arial"/>
                <w:sz w:val="14"/>
                <w:szCs w:val="14"/>
                <w:color w:val="auto"/>
              </w:rPr>
              <w:t>2.41</w:t>
            </w:r>
          </w:p>
        </w:tc>
        <w:tc>
          <w:tcPr>
            <w:tcW w:w="800" w:type="dxa"/>
            <w:vAlign w:val="bottom"/>
            <w:gridSpan w:val="2"/>
          </w:tcPr>
          <w:p>
            <w:pPr>
              <w:jc w:val="right"/>
              <w:ind w:right="32"/>
              <w:spacing w:after="0"/>
              <w:rPr>
                <w:sz w:val="20"/>
                <w:szCs w:val="20"/>
                <w:color w:val="auto"/>
              </w:rPr>
            </w:pPr>
            <w:r>
              <w:rPr>
                <w:rFonts w:ascii="Arial" w:cs="Arial" w:eastAsia="Arial" w:hAnsi="Arial"/>
                <w:sz w:val="14"/>
                <w:szCs w:val="14"/>
                <w:color w:val="auto"/>
              </w:rPr>
              <w:t>8.54</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6,091,685</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404,346</w:t>
            </w:r>
          </w:p>
        </w:tc>
        <w:tc>
          <w:tcPr>
            <w:tcW w:w="60" w:type="dxa"/>
            <w:vAlign w:val="bottom"/>
          </w:tcPr>
          <w:p>
            <w:pPr>
              <w:spacing w:after="0"/>
              <w:rPr>
                <w:sz w:val="17"/>
                <w:szCs w:val="17"/>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7.20</w:t>
            </w:r>
          </w:p>
        </w:tc>
        <w:tc>
          <w:tcPr>
            <w:tcW w:w="40" w:type="dxa"/>
            <w:vAlign w:val="bottom"/>
          </w:tcPr>
          <w:p>
            <w:pPr>
              <w:spacing w:after="0"/>
              <w:rPr>
                <w:sz w:val="17"/>
                <w:szCs w:val="17"/>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6.64</w:t>
            </w:r>
          </w:p>
        </w:tc>
        <w:tc>
          <w:tcPr>
            <w:tcW w:w="4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6,475,784</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404,799</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2.16</w:t>
            </w:r>
          </w:p>
        </w:tc>
        <w:tc>
          <w:tcPr>
            <w:tcW w:w="60" w:type="dxa"/>
            <w:vAlign w:val="bottom"/>
          </w:tcPr>
          <w:p>
            <w:pPr>
              <w:spacing w:after="0"/>
              <w:rPr>
                <w:sz w:val="17"/>
                <w:szCs w:val="17"/>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6.25</w:t>
            </w:r>
          </w:p>
        </w:tc>
      </w:tr>
      <w:tr>
        <w:trPr>
          <w:trHeight w:val="203"/>
        </w:trPr>
        <w:tc>
          <w:tcPr>
            <w:tcW w:w="1840" w:type="dxa"/>
            <w:vAlign w:val="bottom"/>
          </w:tcPr>
          <w:p>
            <w:pPr>
              <w:ind w:left="160"/>
              <w:spacing w:after="0"/>
              <w:rPr>
                <w:sz w:val="20"/>
                <w:szCs w:val="20"/>
                <w:color w:val="auto"/>
              </w:rPr>
            </w:pPr>
            <w:r>
              <w:rPr>
                <w:rFonts w:ascii="Arial" w:cs="Arial" w:eastAsia="Arial" w:hAnsi="Arial"/>
                <w:sz w:val="14"/>
                <w:szCs w:val="14"/>
                <w:color w:val="auto"/>
              </w:rPr>
              <w:t>Total</w:t>
            </w:r>
          </w:p>
        </w:tc>
        <w:tc>
          <w:tcPr>
            <w:tcW w:w="740" w:type="dxa"/>
            <w:vAlign w:val="bottom"/>
          </w:tcPr>
          <w:p>
            <w:pPr>
              <w:jc w:val="right"/>
              <w:spacing w:after="0"/>
              <w:rPr>
                <w:sz w:val="20"/>
                <w:szCs w:val="20"/>
                <w:color w:val="auto"/>
              </w:rPr>
            </w:pPr>
            <w:r>
              <w:rPr>
                <w:rFonts w:ascii="Arial" w:cs="Arial" w:eastAsia="Arial" w:hAnsi="Arial"/>
                <w:sz w:val="14"/>
                <w:szCs w:val="14"/>
                <w:color w:val="auto"/>
              </w:rPr>
              <w:t>7,132,149</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694,772</w:t>
            </w:r>
          </w:p>
        </w:tc>
        <w:tc>
          <w:tcPr>
            <w:tcW w:w="780" w:type="dxa"/>
            <w:vAlign w:val="bottom"/>
            <w:gridSpan w:val="2"/>
          </w:tcPr>
          <w:p>
            <w:pPr>
              <w:jc w:val="right"/>
              <w:ind w:right="32"/>
              <w:spacing w:after="0"/>
              <w:rPr>
                <w:sz w:val="20"/>
                <w:szCs w:val="20"/>
                <w:color w:val="auto"/>
              </w:rPr>
            </w:pPr>
            <w:r>
              <w:rPr>
                <w:rFonts w:ascii="Arial" w:cs="Arial" w:eastAsia="Arial" w:hAnsi="Arial"/>
                <w:sz w:val="14"/>
                <w:szCs w:val="14"/>
                <w:color w:val="auto"/>
              </w:rPr>
              <w:t>3.83</w:t>
            </w:r>
          </w:p>
        </w:tc>
        <w:tc>
          <w:tcPr>
            <w:tcW w:w="800" w:type="dxa"/>
            <w:vAlign w:val="bottom"/>
            <w:gridSpan w:val="2"/>
          </w:tcPr>
          <w:p>
            <w:pPr>
              <w:jc w:val="right"/>
              <w:ind w:right="32"/>
              <w:spacing w:after="0"/>
              <w:rPr>
                <w:sz w:val="20"/>
                <w:szCs w:val="20"/>
                <w:color w:val="auto"/>
              </w:rPr>
            </w:pPr>
            <w:r>
              <w:rPr>
                <w:rFonts w:ascii="Arial" w:cs="Arial" w:eastAsia="Arial" w:hAnsi="Arial"/>
                <w:sz w:val="14"/>
                <w:szCs w:val="14"/>
                <w:color w:val="auto"/>
              </w:rPr>
              <w:t>9.74</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6,975,716</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531,874</w:t>
            </w:r>
          </w:p>
        </w:tc>
        <w:tc>
          <w:tcPr>
            <w:tcW w:w="60" w:type="dxa"/>
            <w:vAlign w:val="bottom"/>
          </w:tcPr>
          <w:p>
            <w:pPr>
              <w:spacing w:after="0"/>
              <w:rPr>
                <w:sz w:val="17"/>
                <w:szCs w:val="17"/>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7.90</w:t>
            </w:r>
          </w:p>
        </w:tc>
        <w:tc>
          <w:tcPr>
            <w:tcW w:w="40" w:type="dxa"/>
            <w:vAlign w:val="bottom"/>
          </w:tcPr>
          <w:p>
            <w:pPr>
              <w:spacing w:after="0"/>
              <w:rPr>
                <w:sz w:val="17"/>
                <w:szCs w:val="17"/>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7.62</w:t>
            </w:r>
          </w:p>
        </w:tc>
        <w:tc>
          <w:tcPr>
            <w:tcW w:w="4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7,501,420</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548,285</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3.39</w:t>
            </w:r>
          </w:p>
        </w:tc>
        <w:tc>
          <w:tcPr>
            <w:tcW w:w="60" w:type="dxa"/>
            <w:vAlign w:val="bottom"/>
          </w:tcPr>
          <w:p>
            <w:pPr>
              <w:spacing w:after="0"/>
              <w:rPr>
                <w:sz w:val="17"/>
                <w:szCs w:val="17"/>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7.31</w:t>
            </w:r>
          </w:p>
        </w:tc>
      </w:tr>
      <w:tr>
        <w:trPr>
          <w:trHeight w:val="179"/>
        </w:trPr>
        <w:tc>
          <w:tcPr>
            <w:tcW w:w="1840" w:type="dxa"/>
            <w:vAlign w:val="bottom"/>
          </w:tcPr>
          <w:p>
            <w:pPr>
              <w:ind w:left="40"/>
              <w:spacing w:after="0"/>
              <w:rPr>
                <w:sz w:val="20"/>
                <w:szCs w:val="20"/>
                <w:color w:val="auto"/>
              </w:rPr>
            </w:pPr>
            <w:r>
              <w:rPr>
                <w:rFonts w:ascii="Arial" w:cs="Arial" w:eastAsia="Arial" w:hAnsi="Arial"/>
                <w:sz w:val="14"/>
                <w:szCs w:val="14"/>
                <w:i w:val="1"/>
                <w:iCs w:val="1"/>
                <w:color w:val="auto"/>
              </w:rPr>
              <w:t>Noninterest-earning assets:</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2"/>
        </w:trPr>
        <w:tc>
          <w:tcPr>
            <w:tcW w:w="1840" w:type="dxa"/>
            <w:vAlign w:val="bottom"/>
          </w:tcPr>
          <w:p>
            <w:pPr>
              <w:ind w:left="40"/>
              <w:spacing w:after="0"/>
              <w:rPr>
                <w:sz w:val="20"/>
                <w:szCs w:val="20"/>
                <w:color w:val="auto"/>
              </w:rPr>
            </w:pPr>
            <w:r>
              <w:rPr>
                <w:rFonts w:ascii="Arial" w:cs="Arial" w:eastAsia="Arial" w:hAnsi="Arial"/>
                <w:sz w:val="14"/>
                <w:szCs w:val="14"/>
                <w:color w:val="auto"/>
              </w:rPr>
              <w:t>Cash and due from banks</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03"/>
        </w:trPr>
        <w:tc>
          <w:tcPr>
            <w:tcW w:w="1840" w:type="dxa"/>
            <w:vAlign w:val="bottom"/>
          </w:tcPr>
          <w:p>
            <w:pPr>
              <w:ind w:left="180"/>
              <w:spacing w:after="0"/>
              <w:rPr>
                <w:sz w:val="20"/>
                <w:szCs w:val="20"/>
                <w:color w:val="auto"/>
              </w:rPr>
            </w:pPr>
            <w:r>
              <w:rPr>
                <w:rFonts w:ascii="Arial" w:cs="Arial" w:eastAsia="Arial" w:hAnsi="Arial"/>
                <w:sz w:val="14"/>
                <w:szCs w:val="14"/>
                <w:color w:val="auto"/>
              </w:rPr>
              <w:t>Nuevos Soles</w:t>
            </w:r>
          </w:p>
        </w:tc>
        <w:tc>
          <w:tcPr>
            <w:tcW w:w="740" w:type="dxa"/>
            <w:vAlign w:val="bottom"/>
          </w:tcPr>
          <w:p>
            <w:pPr>
              <w:jc w:val="right"/>
              <w:spacing w:after="0"/>
              <w:rPr>
                <w:sz w:val="20"/>
                <w:szCs w:val="20"/>
                <w:color w:val="auto"/>
              </w:rPr>
            </w:pPr>
            <w:r>
              <w:rPr>
                <w:rFonts w:ascii="Arial" w:cs="Arial" w:eastAsia="Arial" w:hAnsi="Arial"/>
                <w:sz w:val="14"/>
                <w:szCs w:val="14"/>
                <w:color w:val="auto"/>
              </w:rPr>
              <w:t>77,033</w:t>
            </w: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4"/>
                <w:szCs w:val="14"/>
                <w:color w:val="auto"/>
              </w:rPr>
              <w:t>112,584</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95,264</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840" w:type="dxa"/>
            <w:vAlign w:val="bottom"/>
          </w:tcPr>
          <w:p>
            <w:pPr>
              <w:ind w:left="180"/>
              <w:spacing w:after="0"/>
              <w:rPr>
                <w:sz w:val="20"/>
                <w:szCs w:val="20"/>
                <w:color w:val="auto"/>
              </w:rPr>
            </w:pPr>
            <w:r>
              <w:rPr>
                <w:rFonts w:ascii="Arial" w:cs="Arial" w:eastAsia="Arial" w:hAnsi="Arial"/>
                <w:sz w:val="14"/>
                <w:szCs w:val="14"/>
                <w:color w:val="auto"/>
              </w:rPr>
              <w:t>Foreign Currency</w:t>
            </w:r>
          </w:p>
        </w:tc>
        <w:tc>
          <w:tcPr>
            <w:tcW w:w="740" w:type="dxa"/>
            <w:vAlign w:val="bottom"/>
          </w:tcPr>
          <w:p>
            <w:pPr>
              <w:jc w:val="right"/>
              <w:spacing w:after="0"/>
              <w:rPr>
                <w:sz w:val="20"/>
                <w:szCs w:val="20"/>
                <w:color w:val="auto"/>
              </w:rPr>
            </w:pPr>
            <w:r>
              <w:rPr>
                <w:rFonts w:ascii="Arial" w:cs="Arial" w:eastAsia="Arial" w:hAnsi="Arial"/>
                <w:sz w:val="14"/>
                <w:szCs w:val="14"/>
                <w:color w:val="auto"/>
              </w:rPr>
              <w:t>189,794</w:t>
            </w: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156,748</w:t>
            </w: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157,670</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840" w:type="dxa"/>
            <w:vAlign w:val="bottom"/>
          </w:tcPr>
          <w:p>
            <w:pPr>
              <w:ind w:left="160"/>
              <w:spacing w:after="0"/>
              <w:rPr>
                <w:sz w:val="20"/>
                <w:szCs w:val="20"/>
                <w:color w:val="auto"/>
              </w:rPr>
            </w:pPr>
            <w:r>
              <w:rPr>
                <w:rFonts w:ascii="Arial" w:cs="Arial" w:eastAsia="Arial" w:hAnsi="Arial"/>
                <w:sz w:val="14"/>
                <w:szCs w:val="14"/>
                <w:color w:val="auto"/>
              </w:rPr>
              <w:t>Total</w:t>
            </w:r>
          </w:p>
        </w:tc>
        <w:tc>
          <w:tcPr>
            <w:tcW w:w="740" w:type="dxa"/>
            <w:vAlign w:val="bottom"/>
          </w:tcPr>
          <w:p>
            <w:pPr>
              <w:jc w:val="right"/>
              <w:spacing w:after="0"/>
              <w:rPr>
                <w:sz w:val="20"/>
                <w:szCs w:val="20"/>
                <w:color w:val="auto"/>
              </w:rPr>
            </w:pPr>
            <w:r>
              <w:rPr>
                <w:rFonts w:ascii="Arial" w:cs="Arial" w:eastAsia="Arial" w:hAnsi="Arial"/>
                <w:sz w:val="14"/>
                <w:szCs w:val="14"/>
                <w:color w:val="auto"/>
              </w:rPr>
              <w:t>266,827</w:t>
            </w: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269,332</w:t>
            </w: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252,934</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840" w:type="dxa"/>
            <w:vAlign w:val="bottom"/>
          </w:tcPr>
          <w:p>
            <w:pPr>
              <w:ind w:left="40"/>
              <w:spacing w:after="0"/>
              <w:rPr>
                <w:sz w:val="20"/>
                <w:szCs w:val="20"/>
                <w:color w:val="auto"/>
              </w:rPr>
            </w:pPr>
            <w:r>
              <w:rPr>
                <w:rFonts w:ascii="Arial" w:cs="Arial" w:eastAsia="Arial" w:hAnsi="Arial"/>
                <w:sz w:val="14"/>
                <w:szCs w:val="14"/>
                <w:color w:val="auto"/>
              </w:rPr>
              <w:t>Reserves for loan losses</w:t>
            </w: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840" w:type="dxa"/>
            <w:vAlign w:val="bottom"/>
          </w:tcPr>
          <w:p>
            <w:pPr>
              <w:ind w:left="180"/>
              <w:spacing w:after="0"/>
              <w:rPr>
                <w:sz w:val="20"/>
                <w:szCs w:val="20"/>
                <w:color w:val="auto"/>
              </w:rPr>
            </w:pPr>
            <w:r>
              <w:rPr>
                <w:rFonts w:ascii="Arial" w:cs="Arial" w:eastAsia="Arial" w:hAnsi="Arial"/>
                <w:sz w:val="14"/>
                <w:szCs w:val="14"/>
                <w:color w:val="auto"/>
              </w:rPr>
              <w:t>Nuevos Soles</w:t>
            </w:r>
          </w:p>
        </w:tc>
        <w:tc>
          <w:tcPr>
            <w:tcW w:w="740" w:type="dxa"/>
            <w:vAlign w:val="bottom"/>
          </w:tcPr>
          <w:p>
            <w:pPr>
              <w:jc w:val="right"/>
              <w:spacing w:after="0"/>
              <w:rPr>
                <w:sz w:val="20"/>
                <w:szCs w:val="20"/>
                <w:color w:val="auto"/>
              </w:rPr>
            </w:pPr>
            <w:r>
              <w:rPr>
                <w:rFonts w:ascii="Arial" w:cs="Arial" w:eastAsia="Arial" w:hAnsi="Arial"/>
                <w:sz w:val="14"/>
                <w:szCs w:val="14"/>
                <w:color w:val="auto"/>
              </w:rPr>
              <w:t>(30,588)</w:t>
            </w: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4"/>
                <w:szCs w:val="14"/>
                <w:color w:val="auto"/>
              </w:rPr>
              <w:t>(27,897)</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(53,333)</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840" w:type="dxa"/>
            <w:vAlign w:val="bottom"/>
          </w:tcPr>
          <w:p>
            <w:pPr>
              <w:ind w:left="180"/>
              <w:spacing w:after="0"/>
              <w:rPr>
                <w:sz w:val="20"/>
                <w:szCs w:val="20"/>
                <w:color w:val="auto"/>
              </w:rPr>
            </w:pPr>
            <w:r>
              <w:rPr>
                <w:rFonts w:ascii="Arial" w:cs="Arial" w:eastAsia="Arial" w:hAnsi="Arial"/>
                <w:sz w:val="14"/>
                <w:szCs w:val="14"/>
                <w:color w:val="auto"/>
              </w:rPr>
              <w:t>Foreign Currency</w:t>
            </w:r>
          </w:p>
        </w:tc>
        <w:tc>
          <w:tcPr>
            <w:tcW w:w="740" w:type="dxa"/>
            <w:vAlign w:val="bottom"/>
          </w:tcPr>
          <w:p>
            <w:pPr>
              <w:jc w:val="right"/>
              <w:spacing w:after="0"/>
              <w:rPr>
                <w:sz w:val="20"/>
                <w:szCs w:val="20"/>
                <w:color w:val="auto"/>
              </w:rPr>
            </w:pPr>
            <w:r>
              <w:rPr>
                <w:rFonts w:ascii="Arial" w:cs="Arial" w:eastAsia="Arial" w:hAnsi="Arial"/>
                <w:sz w:val="14"/>
                <w:szCs w:val="14"/>
                <w:color w:val="auto"/>
              </w:rPr>
              <w:t>(316,810)</w:t>
            </w: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4"/>
                <w:szCs w:val="14"/>
                <w:color w:val="auto"/>
              </w:rPr>
              <w:t>(318,030)</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(326,019)</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840" w:type="dxa"/>
            <w:vAlign w:val="bottom"/>
          </w:tcPr>
          <w:p>
            <w:pPr>
              <w:ind w:left="160"/>
              <w:spacing w:after="0"/>
              <w:rPr>
                <w:sz w:val="20"/>
                <w:szCs w:val="20"/>
                <w:color w:val="auto"/>
              </w:rPr>
            </w:pPr>
            <w:r>
              <w:rPr>
                <w:rFonts w:ascii="Arial" w:cs="Arial" w:eastAsia="Arial" w:hAnsi="Arial"/>
                <w:sz w:val="14"/>
                <w:szCs w:val="14"/>
                <w:color w:val="auto"/>
              </w:rPr>
              <w:t>Total</w:t>
            </w:r>
          </w:p>
        </w:tc>
        <w:tc>
          <w:tcPr>
            <w:tcW w:w="740" w:type="dxa"/>
            <w:vAlign w:val="bottom"/>
          </w:tcPr>
          <w:p>
            <w:pPr>
              <w:jc w:val="right"/>
              <w:spacing w:after="0"/>
              <w:rPr>
                <w:sz w:val="20"/>
                <w:szCs w:val="20"/>
                <w:color w:val="auto"/>
              </w:rPr>
            </w:pPr>
            <w:r>
              <w:rPr>
                <w:rFonts w:ascii="Arial" w:cs="Arial" w:eastAsia="Arial" w:hAnsi="Arial"/>
                <w:sz w:val="14"/>
                <w:szCs w:val="14"/>
                <w:color w:val="auto"/>
              </w:rPr>
              <w:t>(347,398)</w:t>
            </w: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4"/>
                <w:szCs w:val="14"/>
                <w:color w:val="auto"/>
              </w:rPr>
              <w:t>(345,927)</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(379,352)</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840" w:type="dxa"/>
            <w:vAlign w:val="bottom"/>
          </w:tcPr>
          <w:p>
            <w:pPr>
              <w:ind w:left="40"/>
              <w:spacing w:after="0"/>
              <w:rPr>
                <w:sz w:val="20"/>
                <w:szCs w:val="20"/>
                <w:color w:val="auto"/>
              </w:rPr>
            </w:pPr>
            <w:r>
              <w:rPr>
                <w:rFonts w:ascii="Arial" w:cs="Arial" w:eastAsia="Arial" w:hAnsi="Arial"/>
                <w:sz w:val="14"/>
                <w:szCs w:val="14"/>
                <w:color w:val="auto"/>
              </w:rPr>
              <w:t>Premises and equipment</w:t>
            </w: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840" w:type="dxa"/>
            <w:vAlign w:val="bottom"/>
          </w:tcPr>
          <w:p>
            <w:pPr>
              <w:ind w:left="180"/>
              <w:spacing w:after="0"/>
              <w:rPr>
                <w:sz w:val="20"/>
                <w:szCs w:val="20"/>
                <w:color w:val="auto"/>
              </w:rPr>
            </w:pPr>
            <w:r>
              <w:rPr>
                <w:rFonts w:ascii="Arial" w:cs="Arial" w:eastAsia="Arial" w:hAnsi="Arial"/>
                <w:sz w:val="14"/>
                <w:szCs w:val="14"/>
                <w:color w:val="auto"/>
              </w:rPr>
              <w:t>Nuevos Soles</w:t>
            </w:r>
          </w:p>
        </w:tc>
        <w:tc>
          <w:tcPr>
            <w:tcW w:w="740" w:type="dxa"/>
            <w:vAlign w:val="bottom"/>
          </w:tcPr>
          <w:p>
            <w:pPr>
              <w:jc w:val="right"/>
              <w:spacing w:after="0"/>
              <w:rPr>
                <w:sz w:val="20"/>
                <w:szCs w:val="20"/>
                <w:color w:val="auto"/>
              </w:rPr>
            </w:pPr>
            <w:r>
              <w:rPr>
                <w:rFonts w:ascii="Arial" w:cs="Arial" w:eastAsia="Arial" w:hAnsi="Arial"/>
                <w:sz w:val="14"/>
                <w:szCs w:val="14"/>
                <w:color w:val="auto"/>
              </w:rPr>
              <w:t>169,398</w:t>
            </w: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160,807</w:t>
            </w: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192,912</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840" w:type="dxa"/>
            <w:vAlign w:val="bottom"/>
          </w:tcPr>
          <w:p>
            <w:pPr>
              <w:ind w:left="180"/>
              <w:spacing w:after="0"/>
              <w:rPr>
                <w:sz w:val="20"/>
                <w:szCs w:val="20"/>
                <w:color w:val="auto"/>
              </w:rPr>
            </w:pPr>
            <w:r>
              <w:rPr>
                <w:rFonts w:ascii="Arial" w:cs="Arial" w:eastAsia="Arial" w:hAnsi="Arial"/>
                <w:sz w:val="14"/>
                <w:szCs w:val="14"/>
                <w:color w:val="auto"/>
              </w:rPr>
              <w:t>Foreign Currency</w:t>
            </w:r>
          </w:p>
        </w:tc>
        <w:tc>
          <w:tcPr>
            <w:tcW w:w="740" w:type="dxa"/>
            <w:vAlign w:val="bottom"/>
          </w:tcPr>
          <w:p>
            <w:pPr>
              <w:jc w:val="right"/>
              <w:spacing w:after="0"/>
              <w:rPr>
                <w:sz w:val="20"/>
                <w:szCs w:val="20"/>
                <w:color w:val="auto"/>
              </w:rPr>
            </w:pPr>
            <w:r>
              <w:rPr>
                <w:rFonts w:ascii="Arial" w:cs="Arial" w:eastAsia="Arial" w:hAnsi="Arial"/>
                <w:sz w:val="14"/>
                <w:szCs w:val="14"/>
                <w:color w:val="auto"/>
              </w:rPr>
              <w:t>88,335</w:t>
            </w: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97,861</w:t>
            </w: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77,983</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840" w:type="dxa"/>
            <w:vAlign w:val="bottom"/>
          </w:tcPr>
          <w:p>
            <w:pPr>
              <w:ind w:left="160"/>
              <w:spacing w:after="0"/>
              <w:rPr>
                <w:sz w:val="20"/>
                <w:szCs w:val="20"/>
                <w:color w:val="auto"/>
              </w:rPr>
            </w:pPr>
            <w:r>
              <w:rPr>
                <w:rFonts w:ascii="Arial" w:cs="Arial" w:eastAsia="Arial" w:hAnsi="Arial"/>
                <w:sz w:val="14"/>
                <w:szCs w:val="14"/>
                <w:color w:val="auto"/>
              </w:rPr>
              <w:t>Total</w:t>
            </w:r>
          </w:p>
        </w:tc>
        <w:tc>
          <w:tcPr>
            <w:tcW w:w="740" w:type="dxa"/>
            <w:vAlign w:val="bottom"/>
          </w:tcPr>
          <w:p>
            <w:pPr>
              <w:jc w:val="right"/>
              <w:spacing w:after="0"/>
              <w:rPr>
                <w:sz w:val="20"/>
                <w:szCs w:val="20"/>
                <w:color w:val="auto"/>
              </w:rPr>
            </w:pPr>
            <w:r>
              <w:rPr>
                <w:rFonts w:ascii="Arial" w:cs="Arial" w:eastAsia="Arial" w:hAnsi="Arial"/>
                <w:sz w:val="14"/>
                <w:szCs w:val="14"/>
                <w:color w:val="auto"/>
              </w:rPr>
              <w:t>257,733</w:t>
            </w: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258,668</w:t>
            </w: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270,895</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79"/>
        </w:trPr>
        <w:tc>
          <w:tcPr>
            <w:tcW w:w="1840" w:type="dxa"/>
            <w:vAlign w:val="bottom"/>
          </w:tcPr>
          <w:p>
            <w:pPr>
              <w:ind w:left="40"/>
              <w:spacing w:after="0"/>
              <w:rPr>
                <w:sz w:val="20"/>
                <w:szCs w:val="20"/>
                <w:color w:val="auto"/>
              </w:rPr>
            </w:pPr>
            <w:r>
              <w:rPr>
                <w:rFonts w:ascii="Arial" w:cs="Arial" w:eastAsia="Arial" w:hAnsi="Arial"/>
                <w:sz w:val="14"/>
                <w:szCs w:val="14"/>
                <w:color w:val="auto"/>
              </w:rPr>
              <w:t>Other non-interest-earning</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2"/>
        </w:trPr>
        <w:tc>
          <w:tcPr>
            <w:tcW w:w="1840" w:type="dxa"/>
            <w:vAlign w:val="bottom"/>
          </w:tcPr>
          <w:p>
            <w:pPr>
              <w:ind w:left="40"/>
              <w:spacing w:after="0"/>
              <w:rPr>
                <w:sz w:val="20"/>
                <w:szCs w:val="20"/>
                <w:color w:val="auto"/>
              </w:rPr>
            </w:pPr>
            <w:r>
              <w:rPr>
                <w:rFonts w:ascii="Arial" w:cs="Arial" w:eastAsia="Arial" w:hAnsi="Arial"/>
                <w:sz w:val="14"/>
                <w:szCs w:val="14"/>
                <w:color w:val="auto"/>
              </w:rPr>
              <w:t>assets</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03"/>
        </w:trPr>
        <w:tc>
          <w:tcPr>
            <w:tcW w:w="1840" w:type="dxa"/>
            <w:vAlign w:val="bottom"/>
          </w:tcPr>
          <w:p>
            <w:pPr>
              <w:ind w:left="180"/>
              <w:spacing w:after="0"/>
              <w:rPr>
                <w:sz w:val="20"/>
                <w:szCs w:val="20"/>
                <w:color w:val="auto"/>
              </w:rPr>
            </w:pPr>
            <w:r>
              <w:rPr>
                <w:rFonts w:ascii="Arial" w:cs="Arial" w:eastAsia="Arial" w:hAnsi="Arial"/>
                <w:sz w:val="14"/>
                <w:szCs w:val="14"/>
                <w:color w:val="auto"/>
              </w:rPr>
              <w:t>Nuevos Soles</w:t>
            </w:r>
          </w:p>
        </w:tc>
        <w:tc>
          <w:tcPr>
            <w:tcW w:w="740" w:type="dxa"/>
            <w:vAlign w:val="bottom"/>
          </w:tcPr>
          <w:p>
            <w:pPr>
              <w:jc w:val="right"/>
              <w:spacing w:after="0"/>
              <w:rPr>
                <w:sz w:val="20"/>
                <w:szCs w:val="20"/>
                <w:color w:val="auto"/>
              </w:rPr>
            </w:pPr>
            <w:r>
              <w:rPr>
                <w:rFonts w:ascii="Arial" w:cs="Arial" w:eastAsia="Arial" w:hAnsi="Arial"/>
                <w:sz w:val="14"/>
                <w:szCs w:val="14"/>
                <w:color w:val="auto"/>
              </w:rPr>
              <w:t>196,808</w:t>
            </w: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134,430</w:t>
            </w: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167,981</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840" w:type="dxa"/>
            <w:vAlign w:val="bottom"/>
          </w:tcPr>
          <w:p>
            <w:pPr>
              <w:ind w:left="180"/>
              <w:spacing w:after="0"/>
              <w:rPr>
                <w:sz w:val="20"/>
                <w:szCs w:val="20"/>
                <w:color w:val="auto"/>
              </w:rPr>
            </w:pPr>
            <w:r>
              <w:rPr>
                <w:rFonts w:ascii="Arial" w:cs="Arial" w:eastAsia="Arial" w:hAnsi="Arial"/>
                <w:sz w:val="14"/>
                <w:szCs w:val="14"/>
                <w:color w:val="auto"/>
              </w:rPr>
              <w:t>Foreign Currency</w:t>
            </w:r>
          </w:p>
        </w:tc>
        <w:tc>
          <w:tcPr>
            <w:tcW w:w="740" w:type="dxa"/>
            <w:vAlign w:val="bottom"/>
          </w:tcPr>
          <w:p>
            <w:pPr>
              <w:jc w:val="right"/>
              <w:spacing w:after="0"/>
              <w:rPr>
                <w:sz w:val="20"/>
                <w:szCs w:val="20"/>
                <w:color w:val="auto"/>
              </w:rPr>
            </w:pPr>
            <w:r>
              <w:rPr>
                <w:rFonts w:ascii="Arial" w:cs="Arial" w:eastAsia="Arial" w:hAnsi="Arial"/>
                <w:sz w:val="14"/>
                <w:szCs w:val="14"/>
                <w:color w:val="auto"/>
              </w:rPr>
              <w:t>340,796</w:t>
            </w: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435,543</w:t>
            </w: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452,646</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840" w:type="dxa"/>
            <w:vAlign w:val="bottom"/>
          </w:tcPr>
          <w:p>
            <w:pPr>
              <w:ind w:left="160"/>
              <w:spacing w:after="0"/>
              <w:rPr>
                <w:sz w:val="20"/>
                <w:szCs w:val="20"/>
                <w:color w:val="auto"/>
              </w:rPr>
            </w:pPr>
            <w:r>
              <w:rPr>
                <w:rFonts w:ascii="Arial" w:cs="Arial" w:eastAsia="Arial" w:hAnsi="Arial"/>
                <w:sz w:val="14"/>
                <w:szCs w:val="14"/>
                <w:color w:val="auto"/>
              </w:rPr>
              <w:t>Total</w:t>
            </w:r>
          </w:p>
        </w:tc>
        <w:tc>
          <w:tcPr>
            <w:tcW w:w="740" w:type="dxa"/>
            <w:vAlign w:val="bottom"/>
          </w:tcPr>
          <w:p>
            <w:pPr>
              <w:jc w:val="right"/>
              <w:spacing w:after="0"/>
              <w:rPr>
                <w:sz w:val="20"/>
                <w:szCs w:val="20"/>
                <w:color w:val="auto"/>
              </w:rPr>
            </w:pPr>
            <w:r>
              <w:rPr>
                <w:rFonts w:ascii="Arial" w:cs="Arial" w:eastAsia="Arial" w:hAnsi="Arial"/>
                <w:sz w:val="14"/>
                <w:szCs w:val="14"/>
                <w:color w:val="auto"/>
              </w:rPr>
              <w:t>537,604</w:t>
            </w: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569,973</w:t>
            </w: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620,626</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79"/>
        </w:trPr>
        <w:tc>
          <w:tcPr>
            <w:tcW w:w="1840" w:type="dxa"/>
            <w:vAlign w:val="bottom"/>
          </w:tcPr>
          <w:p>
            <w:pPr>
              <w:ind w:left="40"/>
              <w:spacing w:after="0"/>
              <w:rPr>
                <w:sz w:val="20"/>
                <w:szCs w:val="20"/>
                <w:color w:val="auto"/>
              </w:rPr>
            </w:pPr>
            <w:r>
              <w:rPr>
                <w:rFonts w:ascii="Arial" w:cs="Arial" w:eastAsia="Arial" w:hAnsi="Arial"/>
                <w:sz w:val="14"/>
                <w:szCs w:val="14"/>
                <w:color w:val="auto"/>
              </w:rPr>
              <w:t>Total non-interest-earning</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2"/>
        </w:trPr>
        <w:tc>
          <w:tcPr>
            <w:tcW w:w="1840" w:type="dxa"/>
            <w:vAlign w:val="bottom"/>
          </w:tcPr>
          <w:p>
            <w:pPr>
              <w:ind w:left="40"/>
              <w:spacing w:after="0"/>
              <w:rPr>
                <w:sz w:val="20"/>
                <w:szCs w:val="20"/>
                <w:color w:val="auto"/>
              </w:rPr>
            </w:pPr>
            <w:r>
              <w:rPr>
                <w:rFonts w:ascii="Arial" w:cs="Arial" w:eastAsia="Arial" w:hAnsi="Arial"/>
                <w:sz w:val="14"/>
                <w:szCs w:val="14"/>
                <w:color w:val="auto"/>
              </w:rPr>
              <w:t>assets</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03"/>
        </w:trPr>
        <w:tc>
          <w:tcPr>
            <w:tcW w:w="1840" w:type="dxa"/>
            <w:vAlign w:val="bottom"/>
          </w:tcPr>
          <w:p>
            <w:pPr>
              <w:ind w:left="180"/>
              <w:spacing w:after="0"/>
              <w:rPr>
                <w:sz w:val="20"/>
                <w:szCs w:val="20"/>
                <w:color w:val="auto"/>
              </w:rPr>
            </w:pPr>
            <w:r>
              <w:rPr>
                <w:rFonts w:ascii="Arial" w:cs="Arial" w:eastAsia="Arial" w:hAnsi="Arial"/>
                <w:sz w:val="14"/>
                <w:szCs w:val="14"/>
                <w:color w:val="auto"/>
              </w:rPr>
              <w:t>Nuevos Soles</w:t>
            </w:r>
          </w:p>
        </w:tc>
        <w:tc>
          <w:tcPr>
            <w:tcW w:w="740" w:type="dxa"/>
            <w:vAlign w:val="bottom"/>
          </w:tcPr>
          <w:p>
            <w:pPr>
              <w:jc w:val="right"/>
              <w:spacing w:after="0"/>
              <w:rPr>
                <w:sz w:val="20"/>
                <w:szCs w:val="20"/>
                <w:color w:val="auto"/>
              </w:rPr>
            </w:pPr>
            <w:r>
              <w:rPr>
                <w:rFonts w:ascii="Arial" w:cs="Arial" w:eastAsia="Arial" w:hAnsi="Arial"/>
                <w:sz w:val="14"/>
                <w:szCs w:val="14"/>
                <w:color w:val="auto"/>
              </w:rPr>
              <w:t>412,651</w:t>
            </w: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379,924</w:t>
            </w: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402,824</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840" w:type="dxa"/>
            <w:vAlign w:val="bottom"/>
          </w:tcPr>
          <w:p>
            <w:pPr>
              <w:ind w:left="180"/>
              <w:spacing w:after="0"/>
              <w:rPr>
                <w:sz w:val="20"/>
                <w:szCs w:val="20"/>
                <w:color w:val="auto"/>
              </w:rPr>
            </w:pPr>
            <w:r>
              <w:rPr>
                <w:rFonts w:ascii="Arial" w:cs="Arial" w:eastAsia="Arial" w:hAnsi="Arial"/>
                <w:sz w:val="14"/>
                <w:szCs w:val="14"/>
                <w:color w:val="auto"/>
              </w:rPr>
              <w:t>Foreign Currency</w:t>
            </w:r>
          </w:p>
        </w:tc>
        <w:tc>
          <w:tcPr>
            <w:tcW w:w="740" w:type="dxa"/>
            <w:vAlign w:val="bottom"/>
          </w:tcPr>
          <w:p>
            <w:pPr>
              <w:jc w:val="right"/>
              <w:spacing w:after="0"/>
              <w:rPr>
                <w:sz w:val="20"/>
                <w:szCs w:val="20"/>
                <w:color w:val="auto"/>
              </w:rPr>
            </w:pPr>
            <w:r>
              <w:rPr>
                <w:rFonts w:ascii="Arial" w:cs="Arial" w:eastAsia="Arial" w:hAnsi="Arial"/>
                <w:sz w:val="14"/>
                <w:szCs w:val="14"/>
                <w:color w:val="auto"/>
              </w:rPr>
              <w:t>302,115</w:t>
            </w: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372,122</w:t>
            </w: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362,279</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840" w:type="dxa"/>
            <w:vAlign w:val="bottom"/>
          </w:tcPr>
          <w:p>
            <w:pPr>
              <w:ind w:left="160"/>
              <w:spacing w:after="0"/>
              <w:rPr>
                <w:sz w:val="20"/>
                <w:szCs w:val="20"/>
                <w:color w:val="auto"/>
              </w:rPr>
            </w:pPr>
            <w:r>
              <w:rPr>
                <w:rFonts w:ascii="Arial" w:cs="Arial" w:eastAsia="Arial" w:hAnsi="Arial"/>
                <w:sz w:val="14"/>
                <w:szCs w:val="14"/>
                <w:color w:val="auto"/>
              </w:rPr>
              <w:t>Total</w:t>
            </w:r>
          </w:p>
        </w:tc>
        <w:tc>
          <w:tcPr>
            <w:tcW w:w="740" w:type="dxa"/>
            <w:vAlign w:val="bottom"/>
          </w:tcPr>
          <w:p>
            <w:pPr>
              <w:jc w:val="right"/>
              <w:spacing w:after="0"/>
              <w:rPr>
                <w:sz w:val="20"/>
                <w:szCs w:val="20"/>
                <w:color w:val="auto"/>
              </w:rPr>
            </w:pPr>
            <w:r>
              <w:rPr>
                <w:rFonts w:ascii="Arial" w:cs="Arial" w:eastAsia="Arial" w:hAnsi="Arial"/>
                <w:sz w:val="14"/>
                <w:szCs w:val="14"/>
                <w:color w:val="auto"/>
              </w:rPr>
              <w:t>714,766</w:t>
            </w: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752,046</w:t>
            </w: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765,103</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840" w:type="dxa"/>
            <w:vAlign w:val="bottom"/>
          </w:tcPr>
          <w:p>
            <w:pPr>
              <w:ind w:left="40"/>
              <w:spacing w:after="0"/>
              <w:rPr>
                <w:sz w:val="20"/>
                <w:szCs w:val="20"/>
                <w:color w:val="auto"/>
              </w:rPr>
            </w:pPr>
            <w:r>
              <w:rPr>
                <w:rFonts w:ascii="Arial" w:cs="Arial" w:eastAsia="Arial" w:hAnsi="Arial"/>
                <w:sz w:val="14"/>
                <w:szCs w:val="14"/>
                <w:color w:val="auto"/>
              </w:rPr>
              <w:t>Total average assets</w:t>
            </w: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840" w:type="dxa"/>
            <w:vAlign w:val="bottom"/>
          </w:tcPr>
          <w:p>
            <w:pPr>
              <w:ind w:left="180"/>
              <w:spacing w:after="0"/>
              <w:rPr>
                <w:sz w:val="20"/>
                <w:szCs w:val="20"/>
                <w:color w:val="auto"/>
              </w:rPr>
            </w:pPr>
            <w:r>
              <w:rPr>
                <w:rFonts w:ascii="Arial" w:cs="Arial" w:eastAsia="Arial" w:hAnsi="Arial"/>
                <w:sz w:val="14"/>
                <w:szCs w:val="14"/>
                <w:color w:val="auto"/>
              </w:rPr>
              <w:t>Nuevos Soles</w:t>
            </w:r>
          </w:p>
        </w:tc>
        <w:tc>
          <w:tcPr>
            <w:tcW w:w="740" w:type="dxa"/>
            <w:vAlign w:val="bottom"/>
          </w:tcPr>
          <w:p>
            <w:pPr>
              <w:jc w:val="right"/>
              <w:spacing w:after="0"/>
              <w:rPr>
                <w:sz w:val="20"/>
                <w:szCs w:val="20"/>
                <w:color w:val="auto"/>
              </w:rPr>
            </w:pPr>
            <w:r>
              <w:rPr>
                <w:rFonts w:ascii="Arial" w:cs="Arial" w:eastAsia="Arial" w:hAnsi="Arial"/>
                <w:sz w:val="14"/>
                <w:szCs w:val="14"/>
                <w:color w:val="auto"/>
              </w:rPr>
              <w:t>1,242,838</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156,734</w:t>
            </w:r>
          </w:p>
        </w:tc>
        <w:tc>
          <w:tcPr>
            <w:tcW w:w="780" w:type="dxa"/>
            <w:vAlign w:val="bottom"/>
            <w:gridSpan w:val="2"/>
          </w:tcPr>
          <w:p>
            <w:pPr>
              <w:jc w:val="right"/>
              <w:ind w:right="32"/>
              <w:spacing w:after="0"/>
              <w:rPr>
                <w:sz w:val="20"/>
                <w:szCs w:val="20"/>
                <w:color w:val="auto"/>
              </w:rPr>
            </w:pPr>
            <w:r>
              <w:rPr>
                <w:rFonts w:ascii="Arial" w:cs="Arial" w:eastAsia="Arial" w:hAnsi="Arial"/>
                <w:sz w:val="14"/>
                <w:szCs w:val="14"/>
                <w:color w:val="auto"/>
              </w:rPr>
              <w:t>8.59</w:t>
            </w:r>
          </w:p>
        </w:tc>
        <w:tc>
          <w:tcPr>
            <w:tcW w:w="800" w:type="dxa"/>
            <w:vAlign w:val="bottom"/>
            <w:gridSpan w:val="2"/>
          </w:tcPr>
          <w:p>
            <w:pPr>
              <w:jc w:val="right"/>
              <w:ind w:right="32"/>
              <w:spacing w:after="0"/>
              <w:rPr>
                <w:sz w:val="20"/>
                <w:szCs w:val="20"/>
                <w:color w:val="auto"/>
              </w:rPr>
            </w:pPr>
            <w:r>
              <w:rPr>
                <w:rFonts w:ascii="Arial" w:cs="Arial" w:eastAsia="Arial" w:hAnsi="Arial"/>
                <w:sz w:val="14"/>
                <w:szCs w:val="14"/>
                <w:color w:val="auto"/>
              </w:rPr>
              <w:t>12.61</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1,263,954</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127,528</w:t>
            </w:r>
          </w:p>
        </w:tc>
        <w:tc>
          <w:tcPr>
            <w:tcW w:w="60" w:type="dxa"/>
            <w:vAlign w:val="bottom"/>
          </w:tcPr>
          <w:p>
            <w:pPr>
              <w:spacing w:after="0"/>
              <w:rPr>
                <w:sz w:val="17"/>
                <w:szCs w:val="17"/>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8.46</w:t>
            </w:r>
          </w:p>
        </w:tc>
        <w:tc>
          <w:tcPr>
            <w:tcW w:w="40" w:type="dxa"/>
            <w:vAlign w:val="bottom"/>
          </w:tcPr>
          <w:p>
            <w:pPr>
              <w:spacing w:after="0"/>
              <w:rPr>
                <w:sz w:val="17"/>
                <w:szCs w:val="17"/>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10.09</w:t>
            </w:r>
          </w:p>
        </w:tc>
        <w:tc>
          <w:tcPr>
            <w:tcW w:w="4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1,428,460</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143,486</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7.36</w:t>
            </w:r>
          </w:p>
        </w:tc>
        <w:tc>
          <w:tcPr>
            <w:tcW w:w="60" w:type="dxa"/>
            <w:vAlign w:val="bottom"/>
          </w:tcPr>
          <w:p>
            <w:pPr>
              <w:spacing w:after="0"/>
              <w:rPr>
                <w:sz w:val="17"/>
                <w:szCs w:val="17"/>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10.04</w:t>
            </w:r>
          </w:p>
        </w:tc>
      </w:tr>
      <w:tr>
        <w:trPr>
          <w:trHeight w:val="203"/>
        </w:trPr>
        <w:tc>
          <w:tcPr>
            <w:tcW w:w="1840" w:type="dxa"/>
            <w:vAlign w:val="bottom"/>
          </w:tcPr>
          <w:p>
            <w:pPr>
              <w:ind w:left="180"/>
              <w:spacing w:after="0"/>
              <w:rPr>
                <w:sz w:val="20"/>
                <w:szCs w:val="20"/>
                <w:color w:val="auto"/>
              </w:rPr>
            </w:pPr>
            <w:r>
              <w:rPr>
                <w:rFonts w:ascii="Arial" w:cs="Arial" w:eastAsia="Arial" w:hAnsi="Arial"/>
                <w:sz w:val="14"/>
                <w:szCs w:val="14"/>
                <w:color w:val="auto"/>
              </w:rPr>
              <w:t>Foreign Currency</w:t>
            </w:r>
          </w:p>
        </w:tc>
        <w:tc>
          <w:tcPr>
            <w:tcW w:w="740" w:type="dxa"/>
            <w:vAlign w:val="bottom"/>
          </w:tcPr>
          <w:p>
            <w:pPr>
              <w:jc w:val="right"/>
              <w:spacing w:after="0"/>
              <w:rPr>
                <w:sz w:val="20"/>
                <w:szCs w:val="20"/>
                <w:color w:val="auto"/>
              </w:rPr>
            </w:pPr>
            <w:r>
              <w:rPr>
                <w:rFonts w:ascii="Arial" w:cs="Arial" w:eastAsia="Arial" w:hAnsi="Arial"/>
                <w:sz w:val="14"/>
                <w:szCs w:val="14"/>
                <w:color w:val="auto"/>
              </w:rPr>
              <w:t>6,604,078</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538,038</w:t>
            </w:r>
          </w:p>
        </w:tc>
        <w:tc>
          <w:tcPr>
            <w:tcW w:w="780" w:type="dxa"/>
            <w:vAlign w:val="bottom"/>
            <w:gridSpan w:val="2"/>
          </w:tcPr>
          <w:p>
            <w:pPr>
              <w:jc w:val="right"/>
              <w:ind w:right="32"/>
              <w:spacing w:after="0"/>
              <w:rPr>
                <w:sz w:val="20"/>
                <w:szCs w:val="20"/>
                <w:color w:val="auto"/>
              </w:rPr>
            </w:pPr>
            <w:r>
              <w:rPr>
                <w:rFonts w:ascii="Arial" w:cs="Arial" w:eastAsia="Arial" w:hAnsi="Arial"/>
                <w:sz w:val="14"/>
                <w:szCs w:val="14"/>
                <w:color w:val="auto"/>
              </w:rPr>
              <w:t>2.04</w:t>
            </w:r>
          </w:p>
        </w:tc>
        <w:tc>
          <w:tcPr>
            <w:tcW w:w="800" w:type="dxa"/>
            <w:vAlign w:val="bottom"/>
            <w:gridSpan w:val="2"/>
          </w:tcPr>
          <w:p>
            <w:pPr>
              <w:jc w:val="right"/>
              <w:ind w:right="32"/>
              <w:spacing w:after="0"/>
              <w:rPr>
                <w:sz w:val="20"/>
                <w:szCs w:val="20"/>
                <w:color w:val="auto"/>
              </w:rPr>
            </w:pPr>
            <w:r>
              <w:rPr>
                <w:rFonts w:ascii="Arial" w:cs="Arial" w:eastAsia="Arial" w:hAnsi="Arial"/>
                <w:sz w:val="14"/>
                <w:szCs w:val="14"/>
                <w:color w:val="auto"/>
              </w:rPr>
              <w:t>8.15</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6,463,806</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404,346</w:t>
            </w:r>
          </w:p>
        </w:tc>
        <w:tc>
          <w:tcPr>
            <w:tcW w:w="60" w:type="dxa"/>
            <w:vAlign w:val="bottom"/>
          </w:tcPr>
          <w:p>
            <w:pPr>
              <w:spacing w:after="0"/>
              <w:rPr>
                <w:sz w:val="17"/>
                <w:szCs w:val="17"/>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6.81</w:t>
            </w:r>
          </w:p>
        </w:tc>
        <w:tc>
          <w:tcPr>
            <w:tcW w:w="40" w:type="dxa"/>
            <w:vAlign w:val="bottom"/>
          </w:tcPr>
          <w:p>
            <w:pPr>
              <w:spacing w:after="0"/>
              <w:rPr>
                <w:sz w:val="17"/>
                <w:szCs w:val="17"/>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6.26</w:t>
            </w:r>
          </w:p>
        </w:tc>
        <w:tc>
          <w:tcPr>
            <w:tcW w:w="4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6,838,063</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404,799</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1.84</w:t>
            </w:r>
          </w:p>
        </w:tc>
        <w:tc>
          <w:tcPr>
            <w:tcW w:w="60" w:type="dxa"/>
            <w:vAlign w:val="bottom"/>
          </w:tcPr>
          <w:p>
            <w:pPr>
              <w:spacing w:after="0"/>
              <w:rPr>
                <w:sz w:val="17"/>
                <w:szCs w:val="17"/>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5.92</w:t>
            </w:r>
          </w:p>
        </w:tc>
      </w:tr>
      <w:tr>
        <w:trPr>
          <w:trHeight w:val="203"/>
        </w:trPr>
        <w:tc>
          <w:tcPr>
            <w:tcW w:w="1840" w:type="dxa"/>
            <w:vAlign w:val="bottom"/>
          </w:tcPr>
          <w:p>
            <w:pPr>
              <w:ind w:left="160"/>
              <w:spacing w:after="0"/>
              <w:rPr>
                <w:sz w:val="20"/>
                <w:szCs w:val="20"/>
                <w:color w:val="auto"/>
              </w:rPr>
            </w:pPr>
            <w:r>
              <w:rPr>
                <w:rFonts w:ascii="Arial" w:cs="Arial" w:eastAsia="Arial" w:hAnsi="Arial"/>
                <w:sz w:val="14"/>
                <w:szCs w:val="14"/>
                <w:color w:val="auto"/>
              </w:rPr>
              <w:t>Total</w:t>
            </w:r>
          </w:p>
        </w:tc>
        <w:tc>
          <w:tcPr>
            <w:tcW w:w="740" w:type="dxa"/>
            <w:vAlign w:val="bottom"/>
          </w:tcPr>
          <w:p>
            <w:pPr>
              <w:jc w:val="right"/>
              <w:spacing w:after="0"/>
              <w:rPr>
                <w:sz w:val="20"/>
                <w:szCs w:val="20"/>
                <w:color w:val="auto"/>
              </w:rPr>
            </w:pPr>
            <w:r>
              <w:rPr>
                <w:rFonts w:ascii="Arial" w:cs="Arial" w:eastAsia="Arial" w:hAnsi="Arial"/>
                <w:sz w:val="14"/>
                <w:szCs w:val="14"/>
                <w:color w:val="auto"/>
              </w:rPr>
              <w:t>7,846,916</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694,772</w:t>
            </w:r>
          </w:p>
        </w:tc>
        <w:tc>
          <w:tcPr>
            <w:tcW w:w="780" w:type="dxa"/>
            <w:vAlign w:val="bottom"/>
            <w:gridSpan w:val="2"/>
          </w:tcPr>
          <w:p>
            <w:pPr>
              <w:jc w:val="right"/>
              <w:ind w:right="32"/>
              <w:spacing w:after="0"/>
              <w:rPr>
                <w:sz w:val="20"/>
                <w:szCs w:val="20"/>
                <w:color w:val="auto"/>
              </w:rPr>
            </w:pPr>
            <w:r>
              <w:rPr>
                <w:rFonts w:ascii="Arial" w:cs="Arial" w:eastAsia="Arial" w:hAnsi="Arial"/>
                <w:sz w:val="14"/>
                <w:szCs w:val="14"/>
                <w:color w:val="auto"/>
              </w:rPr>
              <w:t>3.08</w:t>
            </w:r>
          </w:p>
        </w:tc>
        <w:tc>
          <w:tcPr>
            <w:tcW w:w="800" w:type="dxa"/>
            <w:vAlign w:val="bottom"/>
            <w:gridSpan w:val="2"/>
          </w:tcPr>
          <w:p>
            <w:pPr>
              <w:jc w:val="right"/>
              <w:ind w:right="32"/>
              <w:spacing w:after="0"/>
              <w:rPr>
                <w:sz w:val="20"/>
                <w:szCs w:val="20"/>
                <w:color w:val="auto"/>
              </w:rPr>
            </w:pPr>
            <w:r>
              <w:rPr>
                <w:rFonts w:ascii="Arial" w:cs="Arial" w:eastAsia="Arial" w:hAnsi="Arial"/>
                <w:sz w:val="14"/>
                <w:szCs w:val="14"/>
                <w:color w:val="auto"/>
              </w:rPr>
              <w:t>8.85</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7,727,760</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531,874</w:t>
            </w:r>
          </w:p>
        </w:tc>
        <w:tc>
          <w:tcPr>
            <w:tcW w:w="60" w:type="dxa"/>
            <w:vAlign w:val="bottom"/>
          </w:tcPr>
          <w:p>
            <w:pPr>
              <w:spacing w:after="0"/>
              <w:rPr>
                <w:sz w:val="17"/>
                <w:szCs w:val="17"/>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7.08</w:t>
            </w:r>
          </w:p>
        </w:tc>
        <w:tc>
          <w:tcPr>
            <w:tcW w:w="40" w:type="dxa"/>
            <w:vAlign w:val="bottom"/>
          </w:tcPr>
          <w:p>
            <w:pPr>
              <w:spacing w:after="0"/>
              <w:rPr>
                <w:sz w:val="17"/>
                <w:szCs w:val="17"/>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6.88</w:t>
            </w:r>
          </w:p>
        </w:tc>
        <w:tc>
          <w:tcPr>
            <w:tcW w:w="4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8,266,523</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548,285</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2.79</w:t>
            </w:r>
          </w:p>
        </w:tc>
        <w:tc>
          <w:tcPr>
            <w:tcW w:w="60" w:type="dxa"/>
            <w:vAlign w:val="bottom"/>
          </w:tcPr>
          <w:p>
            <w:pPr>
              <w:spacing w:after="0"/>
              <w:rPr>
                <w:sz w:val="17"/>
                <w:szCs w:val="17"/>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6.63</w:t>
            </w:r>
          </w:p>
        </w:tc>
      </w:tr>
      <w:tr>
        <w:trPr>
          <w:trHeight w:val="228"/>
        </w:trPr>
        <w:tc>
          <w:tcPr>
            <w:tcW w:w="1840" w:type="dxa"/>
            <w:vAlign w:val="bottom"/>
          </w:tcPr>
          <w:p>
            <w:pPr>
              <w:spacing w:after="0"/>
              <w:rPr>
                <w:sz w:val="20"/>
                <w:szCs w:val="20"/>
                <w:color w:val="auto"/>
              </w:rPr>
            </w:pPr>
            <w:r>
              <w:rPr>
                <w:rFonts w:ascii="Arial" w:cs="Arial" w:eastAsia="Arial" w:hAnsi="Arial"/>
                <w:sz w:val="18"/>
                <w:szCs w:val="18"/>
                <w:color w:val="auto"/>
                <w:w w:val="95"/>
              </w:rPr>
              <w:t>___________________</w:t>
            </w: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-7754620</wp:posOffset>
            </wp:positionV>
            <wp:extent cx="34290" cy="342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5154930</wp:posOffset>
            </wp:positionH>
            <wp:positionV relativeFrom="paragraph">
              <wp:posOffset>-7754620</wp:posOffset>
            </wp:positionV>
            <wp:extent cx="34290"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7178675</wp:posOffset>
            </wp:positionH>
            <wp:positionV relativeFrom="paragraph">
              <wp:posOffset>-7754620</wp:posOffset>
            </wp:positionV>
            <wp:extent cx="34290" cy="342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-7437755</wp:posOffset>
            </wp:positionV>
            <wp:extent cx="34290" cy="34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5154930</wp:posOffset>
            </wp:positionH>
            <wp:positionV relativeFrom="paragraph">
              <wp:posOffset>-7437755</wp:posOffset>
            </wp:positionV>
            <wp:extent cx="34290" cy="342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7178675</wp:posOffset>
            </wp:positionH>
            <wp:positionV relativeFrom="paragraph">
              <wp:posOffset>-7437755</wp:posOffset>
            </wp:positionV>
            <wp:extent cx="34290" cy="342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1613535</wp:posOffset>
            </wp:positionH>
            <wp:positionV relativeFrom="paragraph">
              <wp:posOffset>-6931660</wp:posOffset>
            </wp:positionV>
            <wp:extent cx="34290" cy="342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2118995</wp:posOffset>
            </wp:positionH>
            <wp:positionV relativeFrom="paragraph">
              <wp:posOffset>-6931660</wp:posOffset>
            </wp:positionV>
            <wp:extent cx="34290" cy="342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2625090</wp:posOffset>
            </wp:positionH>
            <wp:positionV relativeFrom="paragraph">
              <wp:posOffset>-6931660</wp:posOffset>
            </wp:positionV>
            <wp:extent cx="34290" cy="342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-6931660</wp:posOffset>
            </wp:positionV>
            <wp:extent cx="34290" cy="342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3637280</wp:posOffset>
            </wp:positionH>
            <wp:positionV relativeFrom="paragraph">
              <wp:posOffset>-6931660</wp:posOffset>
            </wp:positionV>
            <wp:extent cx="34290" cy="342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4143375</wp:posOffset>
            </wp:positionH>
            <wp:positionV relativeFrom="paragraph">
              <wp:posOffset>-6931660</wp:posOffset>
            </wp:positionV>
            <wp:extent cx="34290" cy="342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4648835</wp:posOffset>
            </wp:positionH>
            <wp:positionV relativeFrom="paragraph">
              <wp:posOffset>-6931660</wp:posOffset>
            </wp:positionV>
            <wp:extent cx="34290" cy="342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5154930</wp:posOffset>
            </wp:positionH>
            <wp:positionV relativeFrom="paragraph">
              <wp:posOffset>-6931660</wp:posOffset>
            </wp:positionV>
            <wp:extent cx="34290" cy="342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5661025</wp:posOffset>
            </wp:positionH>
            <wp:positionV relativeFrom="paragraph">
              <wp:posOffset>-6931660</wp:posOffset>
            </wp:positionV>
            <wp:extent cx="34290" cy="342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6167120</wp:posOffset>
            </wp:positionH>
            <wp:positionV relativeFrom="paragraph">
              <wp:posOffset>-6931660</wp:posOffset>
            </wp:positionV>
            <wp:extent cx="34290" cy="342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6673215</wp:posOffset>
            </wp:positionH>
            <wp:positionV relativeFrom="paragraph">
              <wp:posOffset>-6931660</wp:posOffset>
            </wp:positionV>
            <wp:extent cx="34290" cy="342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7178675</wp:posOffset>
            </wp:positionH>
            <wp:positionV relativeFrom="paragraph">
              <wp:posOffset>-6931660</wp:posOffset>
            </wp:positionV>
            <wp:extent cx="34290" cy="342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80" w:hanging="572"/>
        <w:spacing w:after="0" w:line="226" w:lineRule="auto"/>
        <w:tabs>
          <w:tab w:leader="none" w:pos="5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Does not include out-of-period adjustments.</w:t>
      </w:r>
    </w:p>
    <w:p>
      <w:pPr>
        <w:ind w:left="580" w:hanging="572"/>
        <w:spacing w:after="0" w:line="221" w:lineRule="auto"/>
        <w:tabs>
          <w:tab w:leader="none" w:pos="5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Figures for total loans include past due loans, but do not include accrued but unpaid interest on such past due loans in the year in which such loans became past due. Accrued but unpaid interest for years prior to the year in which a loan became past due is included.</w:t>
      </w:r>
    </w:p>
    <w:p>
      <w:pPr>
        <w:ind w:left="580" w:hanging="572"/>
        <w:spacing w:after="0"/>
        <w:tabs>
          <w:tab w:leader="none" w:pos="5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As per IFRS, dividends are considered interest income.</w:t>
      </w:r>
    </w:p>
    <w:p>
      <w:pPr>
        <w:sectPr>
          <w:pgSz w:w="11900" w:h="16838" w:orient="portrait"/>
          <w:cols w:equalWidth="0" w:num="1">
            <w:col w:w="11420"/>
          </w:cols>
          <w:pgMar w:left="240" w:top="125" w:right="239" w:bottom="144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125" w:right="239" w:bottom="1440" w:gutter="0" w:footer="0" w:header="0"/>
          <w:type w:val="continuous"/>
        </w:sectPr>
      </w:pPr>
    </w:p>
    <w:bookmarkStart w:id="61" w:name="page62"/>
    <w:bookmarkEnd w:id="61"/>
    <w:p>
      <w:pPr>
        <w:jc w:val="center"/>
        <w:ind w:right="-19"/>
        <w:spacing w:after="0"/>
        <w:rPr>
          <w:sz w:val="20"/>
          <w:szCs w:val="20"/>
          <w:color w:val="auto"/>
        </w:rPr>
      </w:pPr>
      <w:r>
        <w:rPr>
          <w:rFonts w:ascii="Arial" w:cs="Arial" w:eastAsia="Arial" w:hAnsi="Arial"/>
          <w:sz w:val="18"/>
          <w:szCs w:val="18"/>
          <w:b w:val="1"/>
          <w:bCs w:val="1"/>
          <w:color w:val="auto"/>
        </w:rPr>
        <w:t>Average Balance Sheets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Liabilities, Interest Paid and Average Interest Rates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74"/>
        </w:trPr>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85"/>
              </w:rPr>
              <w:t>Year ended December 31,</w:t>
            </w: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49"/>
        </w:trPr>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r>
      <w:tr>
        <w:trPr>
          <w:trHeight w:val="371"/>
        </w:trPr>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2001</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gridSpan w:val="3"/>
          </w:tcPr>
          <w:p>
            <w:pPr>
              <w:jc w:val="center"/>
              <w:ind w:left="552"/>
              <w:spacing w:after="0"/>
              <w:rPr>
                <w:sz w:val="20"/>
                <w:szCs w:val="20"/>
                <w:color w:val="auto"/>
              </w:rPr>
            </w:pPr>
            <w:r>
              <w:rPr>
                <w:rFonts w:ascii="Arial" w:cs="Arial" w:eastAsia="Arial" w:hAnsi="Arial"/>
                <w:sz w:val="14"/>
                <w:szCs w:val="14"/>
                <w:b w:val="1"/>
                <w:bCs w:val="1"/>
                <w:color w:val="auto"/>
                <w:w w:val="89"/>
              </w:rPr>
              <w:t>2002</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2003</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1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60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60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62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r>
      <w:tr>
        <w:trPr>
          <w:trHeight w:val="305"/>
        </w:trPr>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Average</w:t>
            </w:r>
          </w:p>
        </w:tc>
        <w:tc>
          <w:tcPr>
            <w:tcW w:w="9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Interest</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Real</w:t>
            </w:r>
          </w:p>
        </w:tc>
        <w:tc>
          <w:tcPr>
            <w:tcW w:w="800" w:type="dxa"/>
            <w:vAlign w:val="bottom"/>
            <w:gridSpan w:val="2"/>
          </w:tcPr>
          <w:p>
            <w:pPr>
              <w:jc w:val="center"/>
              <w:ind w:left="32"/>
              <w:spacing w:after="0"/>
              <w:rPr>
                <w:sz w:val="20"/>
                <w:szCs w:val="20"/>
                <w:color w:val="auto"/>
              </w:rPr>
            </w:pPr>
            <w:r>
              <w:rPr>
                <w:rFonts w:ascii="Arial" w:cs="Arial" w:eastAsia="Arial" w:hAnsi="Arial"/>
                <w:sz w:val="14"/>
                <w:szCs w:val="14"/>
                <w:b w:val="1"/>
                <w:bCs w:val="1"/>
                <w:color w:val="auto"/>
                <w:w w:val="90"/>
              </w:rPr>
              <w:t>Nominal</w:t>
            </w:r>
          </w:p>
        </w:tc>
        <w:tc>
          <w:tcPr>
            <w:tcW w:w="780" w:type="dxa"/>
            <w:vAlign w:val="bottom"/>
            <w:gridSpan w:val="2"/>
          </w:tcPr>
          <w:p>
            <w:pPr>
              <w:ind w:left="240"/>
              <w:spacing w:after="0"/>
              <w:rPr>
                <w:sz w:val="20"/>
                <w:szCs w:val="20"/>
                <w:color w:val="auto"/>
              </w:rPr>
            </w:pPr>
            <w:r>
              <w:rPr>
                <w:rFonts w:ascii="Arial" w:cs="Arial" w:eastAsia="Arial" w:hAnsi="Arial"/>
                <w:sz w:val="14"/>
                <w:szCs w:val="14"/>
                <w:b w:val="1"/>
                <w:bCs w:val="1"/>
                <w:color w:val="auto"/>
                <w:w w:val="94"/>
              </w:rPr>
              <w:t>Average</w:t>
            </w:r>
          </w:p>
        </w:tc>
        <w:tc>
          <w:tcPr>
            <w:tcW w:w="940" w:type="dxa"/>
            <w:vAlign w:val="bottom"/>
            <w:gridSpan w:val="3"/>
          </w:tcPr>
          <w:p>
            <w:pPr>
              <w:ind w:left="280"/>
              <w:spacing w:after="0"/>
              <w:rPr>
                <w:sz w:val="20"/>
                <w:szCs w:val="20"/>
                <w:color w:val="auto"/>
              </w:rPr>
            </w:pPr>
            <w:r>
              <w:rPr>
                <w:rFonts w:ascii="Arial" w:cs="Arial" w:eastAsia="Arial" w:hAnsi="Arial"/>
                <w:sz w:val="14"/>
                <w:szCs w:val="14"/>
                <w:b w:val="1"/>
                <w:bCs w:val="1"/>
                <w:color w:val="auto"/>
              </w:rPr>
              <w:t>Interest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7"/>
              </w:rPr>
              <w:t>Real Avg.</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Nominal</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Average</w:t>
            </w:r>
          </w:p>
        </w:tc>
        <w:tc>
          <w:tcPr>
            <w:tcW w:w="9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Interest</w:t>
            </w: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w w:val="97"/>
              </w:rPr>
              <w:t>Real Avg.</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Nominal</w:t>
            </w:r>
          </w:p>
        </w:tc>
      </w:tr>
      <w:tr>
        <w:trPr>
          <w:trHeight w:val="174"/>
        </w:trPr>
        <w:tc>
          <w:tcPr>
            <w:tcW w:w="1100" w:type="dxa"/>
            <w:vAlign w:val="bottom"/>
          </w:tcPr>
          <w:p>
            <w:pPr>
              <w:spacing w:after="0"/>
              <w:rPr>
                <w:sz w:val="20"/>
                <w:szCs w:val="20"/>
                <w:color w:val="auto"/>
              </w:rPr>
            </w:pPr>
            <w:r>
              <w:rPr>
                <w:rFonts w:ascii="Arial" w:cs="Arial" w:eastAsia="Arial" w:hAnsi="Arial"/>
                <w:sz w:val="14"/>
                <w:szCs w:val="14"/>
                <w:b w:val="1"/>
                <w:bCs w:val="1"/>
                <w:color w:val="auto"/>
              </w:rPr>
              <w:t xml:space="preserve">LIABILITIES (1 </w:t>
            </w:r>
            <w:r>
              <w:rPr>
                <w:rFonts w:ascii="Arial" w:cs="Arial" w:eastAsia="Arial" w:hAnsi="Arial"/>
                <w:sz w:val="14"/>
                <w:szCs w:val="14"/>
                <w:color w:val="auto"/>
              </w:rPr>
              <w:t>)</w:t>
            </w:r>
          </w:p>
        </w:tc>
        <w:tc>
          <w:tcPr>
            <w:tcW w:w="74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Balance</w:t>
            </w:r>
          </w:p>
        </w:tc>
        <w:tc>
          <w:tcPr>
            <w:tcW w:w="9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Paid</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Avg. Rate</w:t>
            </w:r>
          </w:p>
        </w:tc>
        <w:tc>
          <w:tcPr>
            <w:tcW w:w="800" w:type="dxa"/>
            <w:vAlign w:val="bottom"/>
            <w:gridSpan w:val="2"/>
          </w:tcPr>
          <w:p>
            <w:pPr>
              <w:jc w:val="center"/>
              <w:ind w:left="52"/>
              <w:spacing w:after="0"/>
              <w:rPr>
                <w:sz w:val="20"/>
                <w:szCs w:val="20"/>
                <w:color w:val="auto"/>
              </w:rPr>
            </w:pPr>
            <w:r>
              <w:rPr>
                <w:rFonts w:ascii="Arial" w:cs="Arial" w:eastAsia="Arial" w:hAnsi="Arial"/>
                <w:sz w:val="14"/>
                <w:szCs w:val="14"/>
                <w:b w:val="1"/>
                <w:bCs w:val="1"/>
                <w:color w:val="auto"/>
                <w:w w:val="86"/>
              </w:rPr>
              <w:t>Avg. Rate</w:t>
            </w:r>
          </w:p>
        </w:tc>
        <w:tc>
          <w:tcPr>
            <w:tcW w:w="7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Balance</w:t>
            </w:r>
          </w:p>
        </w:tc>
        <w:tc>
          <w:tcPr>
            <w:tcW w:w="9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Paid</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Rate</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Avg. Rate</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Balance</w:t>
            </w:r>
          </w:p>
        </w:tc>
        <w:tc>
          <w:tcPr>
            <w:tcW w:w="9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Paid</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Rate</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Avg. Rate</w:t>
            </w:r>
          </w:p>
        </w:tc>
      </w:tr>
      <w:tr>
        <w:trPr>
          <w:trHeight w:val="149"/>
        </w:trPr>
        <w:tc>
          <w:tcPr>
            <w:tcW w:w="1840" w:type="dxa"/>
            <w:vAlign w:val="bottom"/>
            <w:gridSpan w:val="2"/>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Borders>
              <w:bottom w:val="single" w:sz="8" w:color="9A9A9A"/>
            </w:tcBorders>
            <w:gridSpan w:val="2"/>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r>
      <w:tr>
        <w:trPr>
          <w:trHeight w:val="331"/>
        </w:trPr>
        <w:tc>
          <w:tcPr>
            <w:tcW w:w="2640" w:type="dxa"/>
            <w:vAlign w:val="bottom"/>
            <w:gridSpan w:val="4"/>
          </w:tcPr>
          <w:p>
            <w:pPr>
              <w:ind w:left="160"/>
              <w:spacing w:after="0"/>
              <w:rPr>
                <w:sz w:val="20"/>
                <w:szCs w:val="20"/>
                <w:color w:val="auto"/>
              </w:rPr>
            </w:pPr>
            <w:r>
              <w:rPr>
                <w:rFonts w:ascii="Arial" w:cs="Arial" w:eastAsia="Arial" w:hAnsi="Arial"/>
                <w:sz w:val="14"/>
                <w:szCs w:val="14"/>
                <w:i w:val="1"/>
                <w:iCs w:val="1"/>
                <w:color w:val="auto"/>
              </w:rPr>
              <w:t>Interest-bearing liabilities:</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80" w:type="dxa"/>
            <w:vAlign w:val="bottom"/>
            <w:gridSpan w:val="9"/>
          </w:tcPr>
          <w:p>
            <w:pPr>
              <w:jc w:val="center"/>
              <w:ind w:right="80"/>
              <w:spacing w:after="0"/>
              <w:rPr>
                <w:sz w:val="20"/>
                <w:szCs w:val="20"/>
                <w:color w:val="auto"/>
              </w:rPr>
            </w:pPr>
            <w:r>
              <w:rPr>
                <w:rFonts w:ascii="Arial" w:cs="Arial" w:eastAsia="Arial" w:hAnsi="Arial"/>
                <w:sz w:val="14"/>
                <w:szCs w:val="14"/>
                <w:i w:val="1"/>
                <w:iCs w:val="1"/>
                <w:color w:val="auto"/>
                <w:w w:val="86"/>
              </w:rPr>
              <w:t>(U.S. Dollars in thousands, except percentages)</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9"/>
        </w:trPr>
        <w:tc>
          <w:tcPr>
            <w:tcW w:w="1100" w:type="dxa"/>
            <w:vAlign w:val="bottom"/>
          </w:tcPr>
          <w:p>
            <w:pPr>
              <w:spacing w:after="0"/>
              <w:rPr>
                <w:sz w:val="20"/>
                <w:szCs w:val="20"/>
                <w:color w:val="auto"/>
              </w:rPr>
            </w:pPr>
            <w:r>
              <w:rPr>
                <w:rFonts w:ascii="Arial" w:cs="Arial" w:eastAsia="Arial" w:hAnsi="Arial"/>
                <w:sz w:val="14"/>
                <w:szCs w:val="14"/>
                <w:color w:val="auto"/>
                <w:w w:val="99"/>
              </w:rPr>
              <w:t>Demand deposits</w:t>
            </w:r>
          </w:p>
        </w:tc>
        <w:tc>
          <w:tcPr>
            <w:tcW w:w="1540" w:type="dxa"/>
            <w:vAlign w:val="bottom"/>
            <w:gridSpan w:val="3"/>
          </w:tcPr>
          <w:p>
            <w:pPr>
              <w:jc w:val="right"/>
              <w:ind w:right="1120"/>
              <w:spacing w:after="0"/>
              <w:rPr>
                <w:sz w:val="20"/>
                <w:szCs w:val="20"/>
                <w:color w:val="auto"/>
              </w:rPr>
            </w:pPr>
            <w:r>
              <w:rPr>
                <w:rFonts w:ascii="Arial" w:cs="Arial" w:eastAsia="Arial" w:hAnsi="Arial"/>
                <w:sz w:val="14"/>
                <w:szCs w:val="14"/>
                <w:color w:val="auto"/>
                <w:w w:val="84"/>
              </w:rPr>
              <w:t>Nuevos</w:t>
            </w: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2"/>
        </w:trPr>
        <w:tc>
          <w:tcPr>
            <w:tcW w:w="1100" w:type="dxa"/>
            <w:vAlign w:val="bottom"/>
          </w:tcPr>
          <w:p>
            <w:pPr>
              <w:spacing w:after="0"/>
              <w:rPr>
                <w:sz w:val="20"/>
                <w:szCs w:val="20"/>
                <w:color w:val="auto"/>
              </w:rPr>
            </w:pPr>
            <w:r>
              <w:rPr>
                <w:rFonts w:ascii="Arial" w:cs="Arial" w:eastAsia="Arial" w:hAnsi="Arial"/>
                <w:sz w:val="14"/>
                <w:szCs w:val="14"/>
                <w:color w:val="auto"/>
              </w:rPr>
              <w:t>Soles</w:t>
            </w:r>
          </w:p>
        </w:tc>
        <w:tc>
          <w:tcPr>
            <w:tcW w:w="74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w w:val="92"/>
              </w:rPr>
              <w:t>US$210,110</w:t>
            </w:r>
          </w:p>
        </w:tc>
        <w:tc>
          <w:tcPr>
            <w:tcW w:w="940" w:type="dxa"/>
            <w:vAlign w:val="bottom"/>
            <w:gridSpan w:val="3"/>
          </w:tcPr>
          <w:p>
            <w:pPr>
              <w:jc w:val="right"/>
              <w:ind w:right="200"/>
              <w:spacing w:after="0"/>
              <w:rPr>
                <w:sz w:val="20"/>
                <w:szCs w:val="20"/>
                <w:color w:val="auto"/>
              </w:rPr>
            </w:pPr>
            <w:r>
              <w:rPr>
                <w:rFonts w:ascii="Arial" w:cs="Arial" w:eastAsia="Arial" w:hAnsi="Arial"/>
                <w:sz w:val="14"/>
                <w:szCs w:val="14"/>
                <w:color w:val="auto"/>
              </w:rPr>
              <w:t>US$6,532</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-0.57%</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3.11</w:t>
            </w: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w w:val="92"/>
              </w:rPr>
              <w:t>US$222,701</w:t>
            </w:r>
          </w:p>
        </w:tc>
        <w:tc>
          <w:tcPr>
            <w:tcW w:w="940" w:type="dxa"/>
            <w:vAlign w:val="bottom"/>
            <w:gridSpan w:val="3"/>
          </w:tcPr>
          <w:p>
            <w:pPr>
              <w:jc w:val="right"/>
              <w:ind w:right="180"/>
              <w:spacing w:after="0"/>
              <w:rPr>
                <w:sz w:val="20"/>
                <w:szCs w:val="20"/>
                <w:color w:val="auto"/>
              </w:rPr>
            </w:pPr>
            <w:r>
              <w:rPr>
                <w:rFonts w:ascii="Arial" w:cs="Arial" w:eastAsia="Arial" w:hAnsi="Arial"/>
                <w:sz w:val="14"/>
                <w:szCs w:val="14"/>
                <w:color w:val="auto"/>
              </w:rPr>
              <w:t>US$2,003</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-0.59%</w:t>
            </w:r>
          </w:p>
        </w:tc>
        <w:tc>
          <w:tcPr>
            <w:tcW w:w="800" w:type="dxa"/>
            <w:vAlign w:val="bottom"/>
            <w:gridSpan w:val="2"/>
          </w:tcPr>
          <w:p>
            <w:pPr>
              <w:ind w:left="400"/>
              <w:spacing w:after="0"/>
              <w:rPr>
                <w:sz w:val="20"/>
                <w:szCs w:val="20"/>
                <w:color w:val="auto"/>
              </w:rPr>
            </w:pPr>
            <w:r>
              <w:rPr>
                <w:rFonts w:ascii="Arial" w:cs="Arial" w:eastAsia="Arial" w:hAnsi="Arial"/>
                <w:sz w:val="14"/>
                <w:szCs w:val="14"/>
                <w:color w:val="auto"/>
                <w:w w:val="95"/>
              </w:rPr>
              <w:t>0.90%</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w w:val="92"/>
              </w:rPr>
              <w:t>US$319,417</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2,704</w:t>
            </w:r>
          </w:p>
        </w:tc>
        <w:tc>
          <w:tcPr>
            <w:tcW w:w="12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-1.61%</w:t>
            </w:r>
          </w:p>
        </w:tc>
        <w:tc>
          <w:tcPr>
            <w:tcW w:w="740" w:type="dxa"/>
            <w:vAlign w:val="bottom"/>
          </w:tcPr>
          <w:p>
            <w:pPr>
              <w:ind w:left="380"/>
              <w:spacing w:after="0"/>
              <w:rPr>
                <w:sz w:val="20"/>
                <w:szCs w:val="20"/>
                <w:color w:val="auto"/>
              </w:rPr>
            </w:pPr>
            <w:r>
              <w:rPr>
                <w:rFonts w:ascii="Arial" w:cs="Arial" w:eastAsia="Arial" w:hAnsi="Arial"/>
                <w:sz w:val="14"/>
                <w:szCs w:val="14"/>
                <w:color w:val="auto"/>
                <w:w w:val="85"/>
              </w:rPr>
              <w:t>0.85%</w:t>
            </w:r>
          </w:p>
        </w:tc>
      </w:tr>
      <w:tr>
        <w:trPr>
          <w:trHeight w:val="203"/>
        </w:trPr>
        <w:tc>
          <w:tcPr>
            <w:tcW w:w="1100" w:type="dxa"/>
            <w:vAlign w:val="bottom"/>
          </w:tcPr>
          <w:p>
            <w:pPr>
              <w:ind w:left="140"/>
              <w:spacing w:after="0"/>
              <w:rPr>
                <w:sz w:val="20"/>
                <w:szCs w:val="20"/>
                <w:color w:val="auto"/>
              </w:rPr>
            </w:pPr>
            <w:r>
              <w:rPr>
                <w:rFonts w:ascii="Arial" w:cs="Arial" w:eastAsia="Arial" w:hAnsi="Arial"/>
                <w:sz w:val="14"/>
                <w:szCs w:val="14"/>
                <w:color w:val="auto"/>
                <w:w w:val="86"/>
              </w:rPr>
              <w:t>Foreign Currency</w:t>
            </w:r>
          </w:p>
        </w:tc>
        <w:tc>
          <w:tcPr>
            <w:tcW w:w="1540" w:type="dxa"/>
            <w:vAlign w:val="bottom"/>
            <w:gridSpan w:val="3"/>
          </w:tcPr>
          <w:p>
            <w:pPr>
              <w:jc w:val="right"/>
              <w:ind w:right="60"/>
              <w:spacing w:after="0"/>
              <w:rPr>
                <w:sz w:val="20"/>
                <w:szCs w:val="20"/>
                <w:color w:val="auto"/>
              </w:rPr>
            </w:pPr>
            <w:r>
              <w:rPr>
                <w:rFonts w:ascii="Arial" w:cs="Arial" w:eastAsia="Arial" w:hAnsi="Arial"/>
                <w:sz w:val="14"/>
                <w:szCs w:val="14"/>
                <w:color w:val="auto"/>
              </w:rPr>
              <w:t>504,118</w:t>
            </w:r>
          </w:p>
        </w:tc>
        <w:tc>
          <w:tcPr>
            <w:tcW w:w="740" w:type="dxa"/>
            <w:vAlign w:val="bottom"/>
          </w:tcPr>
          <w:p>
            <w:pPr>
              <w:jc w:val="right"/>
              <w:spacing w:after="0"/>
              <w:rPr>
                <w:sz w:val="20"/>
                <w:szCs w:val="20"/>
                <w:color w:val="auto"/>
              </w:rPr>
            </w:pPr>
            <w:r>
              <w:rPr>
                <w:rFonts w:ascii="Arial" w:cs="Arial" w:eastAsia="Arial" w:hAnsi="Arial"/>
                <w:sz w:val="14"/>
                <w:szCs w:val="14"/>
                <w:color w:val="auto"/>
              </w:rPr>
              <w:t>4,785</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-4.75</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0.95</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596,031</w:t>
            </w:r>
          </w:p>
        </w:tc>
        <w:tc>
          <w:tcPr>
            <w:tcW w:w="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2,735</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0.99</w:t>
            </w:r>
          </w:p>
        </w:tc>
        <w:tc>
          <w:tcPr>
            <w:tcW w:w="60" w:type="dxa"/>
            <w:vAlign w:val="bottom"/>
          </w:tcPr>
          <w:p>
            <w:pPr>
              <w:spacing w:after="0"/>
              <w:rPr>
                <w:sz w:val="17"/>
                <w:szCs w:val="17"/>
                <w:color w:val="auto"/>
              </w:rPr>
            </w:pPr>
          </w:p>
        </w:tc>
        <w:tc>
          <w:tcPr>
            <w:tcW w:w="740" w:type="dxa"/>
            <w:vAlign w:val="bottom"/>
          </w:tcPr>
          <w:p>
            <w:pPr>
              <w:ind w:left="400"/>
              <w:spacing w:after="0"/>
              <w:rPr>
                <w:sz w:val="20"/>
                <w:szCs w:val="20"/>
                <w:color w:val="auto"/>
              </w:rPr>
            </w:pPr>
            <w:r>
              <w:rPr>
                <w:rFonts w:ascii="Arial" w:cs="Arial" w:eastAsia="Arial" w:hAnsi="Arial"/>
                <w:sz w:val="14"/>
                <w:szCs w:val="14"/>
                <w:color w:val="auto"/>
              </w:rPr>
              <w:t>0.46</w:t>
            </w:r>
          </w:p>
        </w:tc>
        <w:tc>
          <w:tcPr>
            <w:tcW w:w="6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919,963</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1,825</w:t>
            </w:r>
          </w:p>
        </w:tc>
        <w:tc>
          <w:tcPr>
            <w:tcW w:w="120" w:type="dxa"/>
            <w:vAlign w:val="bottom"/>
          </w:tcPr>
          <w:p>
            <w:pPr>
              <w:spacing w:after="0"/>
              <w:rPr>
                <w:sz w:val="17"/>
                <w:szCs w:val="17"/>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-3.66</w:t>
            </w:r>
          </w:p>
        </w:tc>
        <w:tc>
          <w:tcPr>
            <w:tcW w:w="60" w:type="dxa"/>
            <w:vAlign w:val="bottom"/>
          </w:tcPr>
          <w:p>
            <w:pPr>
              <w:spacing w:after="0"/>
              <w:rPr>
                <w:sz w:val="17"/>
                <w:szCs w:val="17"/>
                <w:color w:val="auto"/>
              </w:rPr>
            </w:pPr>
          </w:p>
        </w:tc>
        <w:tc>
          <w:tcPr>
            <w:tcW w:w="740" w:type="dxa"/>
            <w:vAlign w:val="bottom"/>
          </w:tcPr>
          <w:p>
            <w:pPr>
              <w:ind w:left="400"/>
              <w:spacing w:after="0"/>
              <w:rPr>
                <w:sz w:val="20"/>
                <w:szCs w:val="20"/>
                <w:color w:val="auto"/>
              </w:rPr>
            </w:pPr>
            <w:r>
              <w:rPr>
                <w:rFonts w:ascii="Arial" w:cs="Arial" w:eastAsia="Arial" w:hAnsi="Arial"/>
                <w:sz w:val="14"/>
                <w:szCs w:val="14"/>
                <w:color w:val="auto"/>
              </w:rPr>
              <w:t>0.20</w:t>
            </w:r>
          </w:p>
        </w:tc>
      </w:tr>
      <w:tr>
        <w:trPr>
          <w:trHeight w:val="203"/>
        </w:trPr>
        <w:tc>
          <w:tcPr>
            <w:tcW w:w="1100" w:type="dxa"/>
            <w:vAlign w:val="bottom"/>
          </w:tcPr>
          <w:p>
            <w:pPr>
              <w:ind w:left="120"/>
              <w:spacing w:after="0"/>
              <w:rPr>
                <w:sz w:val="20"/>
                <w:szCs w:val="20"/>
                <w:color w:val="auto"/>
              </w:rPr>
            </w:pPr>
            <w:r>
              <w:rPr>
                <w:rFonts w:ascii="Arial" w:cs="Arial" w:eastAsia="Arial" w:hAnsi="Arial"/>
                <w:sz w:val="14"/>
                <w:szCs w:val="14"/>
                <w:color w:val="auto"/>
              </w:rPr>
              <w:t>Total</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714,228</w:t>
            </w:r>
          </w:p>
        </w:tc>
        <w:tc>
          <w:tcPr>
            <w:tcW w:w="6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11,317</w:t>
            </w:r>
          </w:p>
        </w:tc>
        <w:tc>
          <w:tcPr>
            <w:tcW w:w="140" w:type="dxa"/>
            <w:vAlign w:val="bottom"/>
          </w:tcPr>
          <w:p>
            <w:pPr>
              <w:spacing w:after="0"/>
              <w:rPr>
                <w:sz w:val="17"/>
                <w:szCs w:val="17"/>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-3.52</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1.58</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818,732</w:t>
            </w:r>
          </w:p>
        </w:tc>
        <w:tc>
          <w:tcPr>
            <w:tcW w:w="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4,738</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0.56</w:t>
            </w:r>
          </w:p>
        </w:tc>
        <w:tc>
          <w:tcPr>
            <w:tcW w:w="60" w:type="dxa"/>
            <w:vAlign w:val="bottom"/>
          </w:tcPr>
          <w:p>
            <w:pPr>
              <w:spacing w:after="0"/>
              <w:rPr>
                <w:sz w:val="17"/>
                <w:szCs w:val="17"/>
                <w:color w:val="auto"/>
              </w:rPr>
            </w:pPr>
          </w:p>
        </w:tc>
        <w:tc>
          <w:tcPr>
            <w:tcW w:w="740" w:type="dxa"/>
            <w:vAlign w:val="bottom"/>
          </w:tcPr>
          <w:p>
            <w:pPr>
              <w:ind w:left="400"/>
              <w:spacing w:after="0"/>
              <w:rPr>
                <w:sz w:val="20"/>
                <w:szCs w:val="20"/>
                <w:color w:val="auto"/>
              </w:rPr>
            </w:pPr>
            <w:r>
              <w:rPr>
                <w:rFonts w:ascii="Arial" w:cs="Arial" w:eastAsia="Arial" w:hAnsi="Arial"/>
                <w:sz w:val="14"/>
                <w:szCs w:val="14"/>
                <w:color w:val="auto"/>
              </w:rPr>
              <w:t>0.58</w:t>
            </w:r>
          </w:p>
        </w:tc>
        <w:tc>
          <w:tcPr>
            <w:tcW w:w="6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1,239,380</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4,529</w:t>
            </w:r>
          </w:p>
        </w:tc>
        <w:tc>
          <w:tcPr>
            <w:tcW w:w="120" w:type="dxa"/>
            <w:vAlign w:val="bottom"/>
          </w:tcPr>
          <w:p>
            <w:pPr>
              <w:spacing w:after="0"/>
              <w:rPr>
                <w:sz w:val="17"/>
                <w:szCs w:val="17"/>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-3.14</w:t>
            </w:r>
          </w:p>
        </w:tc>
        <w:tc>
          <w:tcPr>
            <w:tcW w:w="60" w:type="dxa"/>
            <w:vAlign w:val="bottom"/>
          </w:tcPr>
          <w:p>
            <w:pPr>
              <w:spacing w:after="0"/>
              <w:rPr>
                <w:sz w:val="17"/>
                <w:szCs w:val="17"/>
                <w:color w:val="auto"/>
              </w:rPr>
            </w:pPr>
          </w:p>
        </w:tc>
        <w:tc>
          <w:tcPr>
            <w:tcW w:w="740" w:type="dxa"/>
            <w:vAlign w:val="bottom"/>
          </w:tcPr>
          <w:p>
            <w:pPr>
              <w:ind w:left="400"/>
              <w:spacing w:after="0"/>
              <w:rPr>
                <w:sz w:val="20"/>
                <w:szCs w:val="20"/>
                <w:color w:val="auto"/>
              </w:rPr>
            </w:pPr>
            <w:r>
              <w:rPr>
                <w:rFonts w:ascii="Arial" w:cs="Arial" w:eastAsia="Arial" w:hAnsi="Arial"/>
                <w:sz w:val="14"/>
                <w:szCs w:val="14"/>
                <w:color w:val="auto"/>
              </w:rPr>
              <w:t>0.37</w:t>
            </w:r>
          </w:p>
        </w:tc>
      </w:tr>
      <w:tr>
        <w:trPr>
          <w:trHeight w:val="203"/>
        </w:trPr>
        <w:tc>
          <w:tcPr>
            <w:tcW w:w="1100" w:type="dxa"/>
            <w:vAlign w:val="bottom"/>
          </w:tcPr>
          <w:p>
            <w:pPr>
              <w:spacing w:after="0"/>
              <w:rPr>
                <w:sz w:val="20"/>
                <w:szCs w:val="20"/>
                <w:color w:val="auto"/>
              </w:rPr>
            </w:pPr>
            <w:r>
              <w:rPr>
                <w:rFonts w:ascii="Arial" w:cs="Arial" w:eastAsia="Arial" w:hAnsi="Arial"/>
                <w:sz w:val="14"/>
                <w:szCs w:val="14"/>
                <w:color w:val="auto"/>
              </w:rPr>
              <w:t>Savings deposits</w:t>
            </w: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100" w:type="dxa"/>
            <w:vAlign w:val="bottom"/>
          </w:tcPr>
          <w:p>
            <w:pPr>
              <w:ind w:left="140"/>
              <w:spacing w:after="0"/>
              <w:rPr>
                <w:sz w:val="20"/>
                <w:szCs w:val="20"/>
                <w:color w:val="auto"/>
              </w:rPr>
            </w:pPr>
            <w:r>
              <w:rPr>
                <w:rFonts w:ascii="Arial" w:cs="Arial" w:eastAsia="Arial" w:hAnsi="Arial"/>
                <w:sz w:val="14"/>
                <w:szCs w:val="14"/>
                <w:color w:val="auto"/>
                <w:w w:val="87"/>
              </w:rPr>
              <w:t>Nuevos Soles (2)</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236,524</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10,168</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0.58</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4.30</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262,468</w:t>
            </w:r>
          </w:p>
        </w:tc>
        <w:tc>
          <w:tcPr>
            <w:tcW w:w="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3,461</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-0.18</w:t>
            </w:r>
          </w:p>
        </w:tc>
        <w:tc>
          <w:tcPr>
            <w:tcW w:w="60" w:type="dxa"/>
            <w:vAlign w:val="bottom"/>
          </w:tcPr>
          <w:p>
            <w:pPr>
              <w:spacing w:after="0"/>
              <w:rPr>
                <w:sz w:val="17"/>
                <w:szCs w:val="17"/>
                <w:color w:val="auto"/>
              </w:rPr>
            </w:pPr>
          </w:p>
        </w:tc>
        <w:tc>
          <w:tcPr>
            <w:tcW w:w="740" w:type="dxa"/>
            <w:vAlign w:val="bottom"/>
          </w:tcPr>
          <w:p>
            <w:pPr>
              <w:ind w:left="400"/>
              <w:spacing w:after="0"/>
              <w:rPr>
                <w:sz w:val="20"/>
                <w:szCs w:val="20"/>
                <w:color w:val="auto"/>
              </w:rPr>
            </w:pPr>
            <w:r>
              <w:rPr>
                <w:rFonts w:ascii="Arial" w:cs="Arial" w:eastAsia="Arial" w:hAnsi="Arial"/>
                <w:sz w:val="14"/>
                <w:szCs w:val="14"/>
                <w:color w:val="auto"/>
              </w:rPr>
              <w:t>1.32</w:t>
            </w:r>
          </w:p>
        </w:tc>
        <w:tc>
          <w:tcPr>
            <w:tcW w:w="6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301,734</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2,753</w:t>
            </w:r>
          </w:p>
        </w:tc>
        <w:tc>
          <w:tcPr>
            <w:tcW w:w="120" w:type="dxa"/>
            <w:vAlign w:val="bottom"/>
          </w:tcPr>
          <w:p>
            <w:pPr>
              <w:spacing w:after="0"/>
              <w:rPr>
                <w:sz w:val="17"/>
                <w:szCs w:val="17"/>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-1.55</w:t>
            </w:r>
          </w:p>
        </w:tc>
        <w:tc>
          <w:tcPr>
            <w:tcW w:w="60" w:type="dxa"/>
            <w:vAlign w:val="bottom"/>
          </w:tcPr>
          <w:p>
            <w:pPr>
              <w:spacing w:after="0"/>
              <w:rPr>
                <w:sz w:val="17"/>
                <w:szCs w:val="17"/>
                <w:color w:val="auto"/>
              </w:rPr>
            </w:pPr>
          </w:p>
        </w:tc>
        <w:tc>
          <w:tcPr>
            <w:tcW w:w="740" w:type="dxa"/>
            <w:vAlign w:val="bottom"/>
          </w:tcPr>
          <w:p>
            <w:pPr>
              <w:ind w:left="400"/>
              <w:spacing w:after="0"/>
              <w:rPr>
                <w:sz w:val="20"/>
                <w:szCs w:val="20"/>
                <w:color w:val="auto"/>
              </w:rPr>
            </w:pPr>
            <w:r>
              <w:rPr>
                <w:rFonts w:ascii="Arial" w:cs="Arial" w:eastAsia="Arial" w:hAnsi="Arial"/>
                <w:sz w:val="14"/>
                <w:szCs w:val="14"/>
                <w:color w:val="auto"/>
              </w:rPr>
              <w:t>0.91</w:t>
            </w:r>
          </w:p>
        </w:tc>
      </w:tr>
      <w:tr>
        <w:trPr>
          <w:trHeight w:val="203"/>
        </w:trPr>
        <w:tc>
          <w:tcPr>
            <w:tcW w:w="1100" w:type="dxa"/>
            <w:vAlign w:val="bottom"/>
          </w:tcPr>
          <w:p>
            <w:pPr>
              <w:ind w:left="140"/>
              <w:spacing w:after="0"/>
              <w:rPr>
                <w:sz w:val="20"/>
                <w:szCs w:val="20"/>
                <w:color w:val="auto"/>
              </w:rPr>
            </w:pPr>
            <w:r>
              <w:rPr>
                <w:rFonts w:ascii="Arial" w:cs="Arial" w:eastAsia="Arial" w:hAnsi="Arial"/>
                <w:sz w:val="14"/>
                <w:szCs w:val="14"/>
                <w:color w:val="auto"/>
                <w:w w:val="86"/>
              </w:rPr>
              <w:t>Foreign Currency</w:t>
            </w:r>
          </w:p>
        </w:tc>
        <w:tc>
          <w:tcPr>
            <w:tcW w:w="1540" w:type="dxa"/>
            <w:vAlign w:val="bottom"/>
            <w:gridSpan w:val="3"/>
          </w:tcPr>
          <w:p>
            <w:pPr>
              <w:jc w:val="right"/>
              <w:ind w:right="60"/>
              <w:spacing w:after="0"/>
              <w:rPr>
                <w:sz w:val="20"/>
                <w:szCs w:val="20"/>
                <w:color w:val="auto"/>
              </w:rPr>
            </w:pPr>
            <w:r>
              <w:rPr>
                <w:rFonts w:ascii="Arial" w:cs="Arial" w:eastAsia="Arial" w:hAnsi="Arial"/>
                <w:sz w:val="14"/>
                <w:szCs w:val="14"/>
                <w:color w:val="auto"/>
              </w:rPr>
              <w:t>1,061,811</w:t>
            </w:r>
          </w:p>
        </w:tc>
        <w:tc>
          <w:tcPr>
            <w:tcW w:w="740" w:type="dxa"/>
            <w:vAlign w:val="bottom"/>
          </w:tcPr>
          <w:p>
            <w:pPr>
              <w:jc w:val="right"/>
              <w:spacing w:after="0"/>
              <w:rPr>
                <w:sz w:val="20"/>
                <w:szCs w:val="20"/>
                <w:color w:val="auto"/>
              </w:rPr>
            </w:pPr>
            <w:r>
              <w:rPr>
                <w:rFonts w:ascii="Arial" w:cs="Arial" w:eastAsia="Arial" w:hAnsi="Arial"/>
                <w:sz w:val="14"/>
                <w:szCs w:val="14"/>
                <w:color w:val="auto"/>
              </w:rPr>
              <w:t>21,140</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-3.77</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1.99</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1,083,712</w:t>
            </w:r>
          </w:p>
        </w:tc>
        <w:tc>
          <w:tcPr>
            <w:tcW w:w="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5,897</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1.07</w:t>
            </w:r>
          </w:p>
        </w:tc>
        <w:tc>
          <w:tcPr>
            <w:tcW w:w="60" w:type="dxa"/>
            <w:vAlign w:val="bottom"/>
          </w:tcPr>
          <w:p>
            <w:pPr>
              <w:spacing w:after="0"/>
              <w:rPr>
                <w:sz w:val="17"/>
                <w:szCs w:val="17"/>
                <w:color w:val="auto"/>
              </w:rPr>
            </w:pPr>
          </w:p>
        </w:tc>
        <w:tc>
          <w:tcPr>
            <w:tcW w:w="740" w:type="dxa"/>
            <w:vAlign w:val="bottom"/>
          </w:tcPr>
          <w:p>
            <w:pPr>
              <w:ind w:left="400"/>
              <w:spacing w:after="0"/>
              <w:rPr>
                <w:sz w:val="20"/>
                <w:szCs w:val="20"/>
                <w:color w:val="auto"/>
              </w:rPr>
            </w:pPr>
            <w:r>
              <w:rPr>
                <w:rFonts w:ascii="Arial" w:cs="Arial" w:eastAsia="Arial" w:hAnsi="Arial"/>
                <w:sz w:val="14"/>
                <w:szCs w:val="14"/>
                <w:color w:val="auto"/>
              </w:rPr>
              <w:t>0.54</w:t>
            </w:r>
          </w:p>
        </w:tc>
        <w:tc>
          <w:tcPr>
            <w:tcW w:w="6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1,223,843</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3,575</w:t>
            </w:r>
          </w:p>
        </w:tc>
        <w:tc>
          <w:tcPr>
            <w:tcW w:w="120" w:type="dxa"/>
            <w:vAlign w:val="bottom"/>
          </w:tcPr>
          <w:p>
            <w:pPr>
              <w:spacing w:after="0"/>
              <w:rPr>
                <w:sz w:val="17"/>
                <w:szCs w:val="17"/>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-3.57</w:t>
            </w:r>
          </w:p>
        </w:tc>
        <w:tc>
          <w:tcPr>
            <w:tcW w:w="60" w:type="dxa"/>
            <w:vAlign w:val="bottom"/>
          </w:tcPr>
          <w:p>
            <w:pPr>
              <w:spacing w:after="0"/>
              <w:rPr>
                <w:sz w:val="17"/>
                <w:szCs w:val="17"/>
                <w:color w:val="auto"/>
              </w:rPr>
            </w:pPr>
          </w:p>
        </w:tc>
        <w:tc>
          <w:tcPr>
            <w:tcW w:w="740" w:type="dxa"/>
            <w:vAlign w:val="bottom"/>
          </w:tcPr>
          <w:p>
            <w:pPr>
              <w:ind w:left="400"/>
              <w:spacing w:after="0"/>
              <w:rPr>
                <w:sz w:val="20"/>
                <w:szCs w:val="20"/>
                <w:color w:val="auto"/>
              </w:rPr>
            </w:pPr>
            <w:r>
              <w:rPr>
                <w:rFonts w:ascii="Arial" w:cs="Arial" w:eastAsia="Arial" w:hAnsi="Arial"/>
                <w:sz w:val="14"/>
                <w:szCs w:val="14"/>
                <w:color w:val="auto"/>
              </w:rPr>
              <w:t>0.29</w:t>
            </w:r>
          </w:p>
        </w:tc>
      </w:tr>
      <w:tr>
        <w:trPr>
          <w:trHeight w:val="203"/>
        </w:trPr>
        <w:tc>
          <w:tcPr>
            <w:tcW w:w="1100" w:type="dxa"/>
            <w:vAlign w:val="bottom"/>
          </w:tcPr>
          <w:p>
            <w:pPr>
              <w:ind w:left="120"/>
              <w:spacing w:after="0"/>
              <w:rPr>
                <w:sz w:val="20"/>
                <w:szCs w:val="20"/>
                <w:color w:val="auto"/>
              </w:rPr>
            </w:pPr>
            <w:r>
              <w:rPr>
                <w:rFonts w:ascii="Arial" w:cs="Arial" w:eastAsia="Arial" w:hAnsi="Arial"/>
                <w:sz w:val="14"/>
                <w:szCs w:val="14"/>
                <w:color w:val="auto"/>
              </w:rPr>
              <w:t>Total</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1,298,335</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31,308</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-2.98</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2.41</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1,346,180</w:t>
            </w:r>
          </w:p>
        </w:tc>
        <w:tc>
          <w:tcPr>
            <w:tcW w:w="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9,358</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0.83</w:t>
            </w:r>
          </w:p>
        </w:tc>
        <w:tc>
          <w:tcPr>
            <w:tcW w:w="60" w:type="dxa"/>
            <w:vAlign w:val="bottom"/>
          </w:tcPr>
          <w:p>
            <w:pPr>
              <w:spacing w:after="0"/>
              <w:rPr>
                <w:sz w:val="17"/>
                <w:szCs w:val="17"/>
                <w:color w:val="auto"/>
              </w:rPr>
            </w:pPr>
          </w:p>
        </w:tc>
        <w:tc>
          <w:tcPr>
            <w:tcW w:w="740" w:type="dxa"/>
            <w:vAlign w:val="bottom"/>
          </w:tcPr>
          <w:p>
            <w:pPr>
              <w:ind w:left="400"/>
              <w:spacing w:after="0"/>
              <w:rPr>
                <w:sz w:val="20"/>
                <w:szCs w:val="20"/>
                <w:color w:val="auto"/>
              </w:rPr>
            </w:pPr>
            <w:r>
              <w:rPr>
                <w:rFonts w:ascii="Arial" w:cs="Arial" w:eastAsia="Arial" w:hAnsi="Arial"/>
                <w:sz w:val="14"/>
                <w:szCs w:val="14"/>
                <w:color w:val="auto"/>
              </w:rPr>
              <w:t>0.70</w:t>
            </w:r>
          </w:p>
        </w:tc>
        <w:tc>
          <w:tcPr>
            <w:tcW w:w="6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1,525,577</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6,328</w:t>
            </w:r>
          </w:p>
        </w:tc>
        <w:tc>
          <w:tcPr>
            <w:tcW w:w="120" w:type="dxa"/>
            <w:vAlign w:val="bottom"/>
          </w:tcPr>
          <w:p>
            <w:pPr>
              <w:spacing w:after="0"/>
              <w:rPr>
                <w:sz w:val="17"/>
                <w:szCs w:val="17"/>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-3.17</w:t>
            </w:r>
          </w:p>
        </w:tc>
        <w:tc>
          <w:tcPr>
            <w:tcW w:w="60" w:type="dxa"/>
            <w:vAlign w:val="bottom"/>
          </w:tcPr>
          <w:p>
            <w:pPr>
              <w:spacing w:after="0"/>
              <w:rPr>
                <w:sz w:val="17"/>
                <w:szCs w:val="17"/>
                <w:color w:val="auto"/>
              </w:rPr>
            </w:pPr>
          </w:p>
        </w:tc>
        <w:tc>
          <w:tcPr>
            <w:tcW w:w="740" w:type="dxa"/>
            <w:vAlign w:val="bottom"/>
          </w:tcPr>
          <w:p>
            <w:pPr>
              <w:ind w:left="400"/>
              <w:spacing w:after="0"/>
              <w:rPr>
                <w:sz w:val="20"/>
                <w:szCs w:val="20"/>
                <w:color w:val="auto"/>
              </w:rPr>
            </w:pPr>
            <w:r>
              <w:rPr>
                <w:rFonts w:ascii="Arial" w:cs="Arial" w:eastAsia="Arial" w:hAnsi="Arial"/>
                <w:sz w:val="14"/>
                <w:szCs w:val="14"/>
                <w:color w:val="auto"/>
              </w:rPr>
              <w:t>0.41</w:t>
            </w:r>
          </w:p>
        </w:tc>
      </w:tr>
      <w:tr>
        <w:trPr>
          <w:trHeight w:val="203"/>
        </w:trPr>
        <w:tc>
          <w:tcPr>
            <w:tcW w:w="1100" w:type="dxa"/>
            <w:vAlign w:val="bottom"/>
          </w:tcPr>
          <w:p>
            <w:pPr>
              <w:spacing w:after="0"/>
              <w:rPr>
                <w:sz w:val="20"/>
                <w:szCs w:val="20"/>
                <w:color w:val="auto"/>
              </w:rPr>
            </w:pPr>
            <w:r>
              <w:rPr>
                <w:rFonts w:ascii="Arial" w:cs="Arial" w:eastAsia="Arial" w:hAnsi="Arial"/>
                <w:sz w:val="14"/>
                <w:szCs w:val="14"/>
                <w:color w:val="auto"/>
              </w:rPr>
              <w:t>Time deposits</w:t>
            </w: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100" w:type="dxa"/>
            <w:vAlign w:val="bottom"/>
          </w:tcPr>
          <w:p>
            <w:pPr>
              <w:ind w:left="140"/>
              <w:spacing w:after="0"/>
              <w:rPr>
                <w:sz w:val="20"/>
                <w:szCs w:val="20"/>
                <w:color w:val="auto"/>
              </w:rPr>
            </w:pPr>
            <w:r>
              <w:rPr>
                <w:rFonts w:ascii="Arial" w:cs="Arial" w:eastAsia="Arial" w:hAnsi="Arial"/>
                <w:sz w:val="14"/>
                <w:szCs w:val="14"/>
                <w:color w:val="auto"/>
              </w:rPr>
              <w:t>Nuevos Soles</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379,206</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32,854</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4.79</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8.66</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466,783</w:t>
            </w:r>
          </w:p>
        </w:tc>
        <w:tc>
          <w:tcPr>
            <w:tcW w:w="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18,120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2.35</w:t>
            </w:r>
          </w:p>
        </w:tc>
        <w:tc>
          <w:tcPr>
            <w:tcW w:w="60" w:type="dxa"/>
            <w:vAlign w:val="bottom"/>
          </w:tcPr>
          <w:p>
            <w:pPr>
              <w:spacing w:after="0"/>
              <w:rPr>
                <w:sz w:val="17"/>
                <w:szCs w:val="17"/>
                <w:color w:val="auto"/>
              </w:rPr>
            </w:pPr>
          </w:p>
        </w:tc>
        <w:tc>
          <w:tcPr>
            <w:tcW w:w="740" w:type="dxa"/>
            <w:vAlign w:val="bottom"/>
          </w:tcPr>
          <w:p>
            <w:pPr>
              <w:ind w:left="400"/>
              <w:spacing w:after="0"/>
              <w:rPr>
                <w:sz w:val="20"/>
                <w:szCs w:val="20"/>
                <w:color w:val="auto"/>
              </w:rPr>
            </w:pPr>
            <w:r>
              <w:rPr>
                <w:rFonts w:ascii="Arial" w:cs="Arial" w:eastAsia="Arial" w:hAnsi="Arial"/>
                <w:sz w:val="14"/>
                <w:szCs w:val="14"/>
                <w:color w:val="auto"/>
              </w:rPr>
              <w:t>3.88</w:t>
            </w:r>
          </w:p>
        </w:tc>
        <w:tc>
          <w:tcPr>
            <w:tcW w:w="6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570,175</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22,371</w:t>
            </w:r>
          </w:p>
        </w:tc>
        <w:tc>
          <w:tcPr>
            <w:tcW w:w="120" w:type="dxa"/>
            <w:vAlign w:val="bottom"/>
          </w:tcPr>
          <w:p>
            <w:pPr>
              <w:spacing w:after="0"/>
              <w:rPr>
                <w:sz w:val="17"/>
                <w:szCs w:val="17"/>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1.39</w:t>
            </w:r>
          </w:p>
        </w:tc>
        <w:tc>
          <w:tcPr>
            <w:tcW w:w="60" w:type="dxa"/>
            <w:vAlign w:val="bottom"/>
          </w:tcPr>
          <w:p>
            <w:pPr>
              <w:spacing w:after="0"/>
              <w:rPr>
                <w:sz w:val="17"/>
                <w:szCs w:val="17"/>
                <w:color w:val="auto"/>
              </w:rPr>
            </w:pPr>
          </w:p>
        </w:tc>
        <w:tc>
          <w:tcPr>
            <w:tcW w:w="740" w:type="dxa"/>
            <w:vAlign w:val="bottom"/>
          </w:tcPr>
          <w:p>
            <w:pPr>
              <w:ind w:left="400"/>
              <w:spacing w:after="0"/>
              <w:rPr>
                <w:sz w:val="20"/>
                <w:szCs w:val="20"/>
                <w:color w:val="auto"/>
              </w:rPr>
            </w:pPr>
            <w:r>
              <w:rPr>
                <w:rFonts w:ascii="Arial" w:cs="Arial" w:eastAsia="Arial" w:hAnsi="Arial"/>
                <w:sz w:val="14"/>
                <w:szCs w:val="14"/>
                <w:color w:val="auto"/>
              </w:rPr>
              <w:t>3.92</w:t>
            </w:r>
          </w:p>
        </w:tc>
      </w:tr>
      <w:tr>
        <w:trPr>
          <w:trHeight w:val="203"/>
        </w:trPr>
        <w:tc>
          <w:tcPr>
            <w:tcW w:w="1100" w:type="dxa"/>
            <w:vAlign w:val="bottom"/>
          </w:tcPr>
          <w:p>
            <w:pPr>
              <w:ind w:left="140"/>
              <w:spacing w:after="0"/>
              <w:rPr>
                <w:sz w:val="20"/>
                <w:szCs w:val="20"/>
                <w:color w:val="auto"/>
              </w:rPr>
            </w:pPr>
            <w:r>
              <w:rPr>
                <w:rFonts w:ascii="Arial" w:cs="Arial" w:eastAsia="Arial" w:hAnsi="Arial"/>
                <w:sz w:val="14"/>
                <w:szCs w:val="14"/>
                <w:color w:val="auto"/>
                <w:w w:val="86"/>
              </w:rPr>
              <w:t>Foreign Currency</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2,803,521</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183,887</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0.54</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6.56</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2,461,487</w:t>
            </w:r>
          </w:p>
        </w:tc>
        <w:tc>
          <w:tcPr>
            <w:tcW w:w="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120,568</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5.45</w:t>
            </w:r>
          </w:p>
        </w:tc>
        <w:tc>
          <w:tcPr>
            <w:tcW w:w="60" w:type="dxa"/>
            <w:vAlign w:val="bottom"/>
          </w:tcPr>
          <w:p>
            <w:pPr>
              <w:spacing w:after="0"/>
              <w:rPr>
                <w:sz w:val="17"/>
                <w:szCs w:val="17"/>
                <w:color w:val="auto"/>
              </w:rPr>
            </w:pPr>
          </w:p>
        </w:tc>
        <w:tc>
          <w:tcPr>
            <w:tcW w:w="740" w:type="dxa"/>
            <w:vAlign w:val="bottom"/>
          </w:tcPr>
          <w:p>
            <w:pPr>
              <w:ind w:left="400"/>
              <w:spacing w:after="0"/>
              <w:rPr>
                <w:sz w:val="20"/>
                <w:szCs w:val="20"/>
                <w:color w:val="auto"/>
              </w:rPr>
            </w:pPr>
            <w:r>
              <w:rPr>
                <w:rFonts w:ascii="Arial" w:cs="Arial" w:eastAsia="Arial" w:hAnsi="Arial"/>
                <w:sz w:val="14"/>
                <w:szCs w:val="14"/>
                <w:color w:val="auto"/>
              </w:rPr>
              <w:t>4.90</w:t>
            </w:r>
          </w:p>
        </w:tc>
        <w:tc>
          <w:tcPr>
            <w:tcW w:w="6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2,618,399</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111,851</w:t>
            </w:r>
          </w:p>
        </w:tc>
        <w:tc>
          <w:tcPr>
            <w:tcW w:w="120" w:type="dxa"/>
            <w:vAlign w:val="bottom"/>
          </w:tcPr>
          <w:p>
            <w:pPr>
              <w:spacing w:after="0"/>
              <w:rPr>
                <w:sz w:val="17"/>
                <w:szCs w:val="17"/>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0.25</w:t>
            </w:r>
          </w:p>
        </w:tc>
        <w:tc>
          <w:tcPr>
            <w:tcW w:w="60" w:type="dxa"/>
            <w:vAlign w:val="bottom"/>
          </w:tcPr>
          <w:p>
            <w:pPr>
              <w:spacing w:after="0"/>
              <w:rPr>
                <w:sz w:val="17"/>
                <w:szCs w:val="17"/>
                <w:color w:val="auto"/>
              </w:rPr>
            </w:pPr>
          </w:p>
        </w:tc>
        <w:tc>
          <w:tcPr>
            <w:tcW w:w="740" w:type="dxa"/>
            <w:vAlign w:val="bottom"/>
          </w:tcPr>
          <w:p>
            <w:pPr>
              <w:ind w:left="400"/>
              <w:spacing w:after="0"/>
              <w:rPr>
                <w:sz w:val="20"/>
                <w:szCs w:val="20"/>
                <w:color w:val="auto"/>
              </w:rPr>
            </w:pPr>
            <w:r>
              <w:rPr>
                <w:rFonts w:ascii="Arial" w:cs="Arial" w:eastAsia="Arial" w:hAnsi="Arial"/>
                <w:sz w:val="14"/>
                <w:szCs w:val="14"/>
                <w:color w:val="auto"/>
              </w:rPr>
              <w:t>4.27</w:t>
            </w:r>
          </w:p>
        </w:tc>
      </w:tr>
      <w:tr>
        <w:trPr>
          <w:trHeight w:val="203"/>
        </w:trPr>
        <w:tc>
          <w:tcPr>
            <w:tcW w:w="1100" w:type="dxa"/>
            <w:vAlign w:val="bottom"/>
          </w:tcPr>
          <w:p>
            <w:pPr>
              <w:ind w:left="120"/>
              <w:spacing w:after="0"/>
              <w:rPr>
                <w:sz w:val="20"/>
                <w:szCs w:val="20"/>
                <w:color w:val="auto"/>
              </w:rPr>
            </w:pPr>
            <w:r>
              <w:rPr>
                <w:rFonts w:ascii="Arial" w:cs="Arial" w:eastAsia="Arial" w:hAnsi="Arial"/>
                <w:sz w:val="14"/>
                <w:szCs w:val="14"/>
                <w:color w:val="auto"/>
              </w:rPr>
              <w:t>Total</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3,182,727</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216,741</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1.04</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6.81</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2,928,270</w:t>
            </w:r>
          </w:p>
        </w:tc>
        <w:tc>
          <w:tcPr>
            <w:tcW w:w="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138,688</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4.95</w:t>
            </w:r>
          </w:p>
        </w:tc>
        <w:tc>
          <w:tcPr>
            <w:tcW w:w="60" w:type="dxa"/>
            <w:vAlign w:val="bottom"/>
          </w:tcPr>
          <w:p>
            <w:pPr>
              <w:spacing w:after="0"/>
              <w:rPr>
                <w:sz w:val="17"/>
                <w:szCs w:val="17"/>
                <w:color w:val="auto"/>
              </w:rPr>
            </w:pPr>
          </w:p>
        </w:tc>
        <w:tc>
          <w:tcPr>
            <w:tcW w:w="740" w:type="dxa"/>
            <w:vAlign w:val="bottom"/>
          </w:tcPr>
          <w:p>
            <w:pPr>
              <w:ind w:left="400"/>
              <w:spacing w:after="0"/>
              <w:rPr>
                <w:sz w:val="20"/>
                <w:szCs w:val="20"/>
                <w:color w:val="auto"/>
              </w:rPr>
            </w:pPr>
            <w:r>
              <w:rPr>
                <w:rFonts w:ascii="Arial" w:cs="Arial" w:eastAsia="Arial" w:hAnsi="Arial"/>
                <w:sz w:val="14"/>
                <w:szCs w:val="14"/>
                <w:color w:val="auto"/>
              </w:rPr>
              <w:t>4.74</w:t>
            </w:r>
          </w:p>
        </w:tc>
        <w:tc>
          <w:tcPr>
            <w:tcW w:w="6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3,188,573</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134,222</w:t>
            </w:r>
          </w:p>
        </w:tc>
        <w:tc>
          <w:tcPr>
            <w:tcW w:w="120" w:type="dxa"/>
            <w:vAlign w:val="bottom"/>
          </w:tcPr>
          <w:p>
            <w:pPr>
              <w:spacing w:after="0"/>
              <w:rPr>
                <w:sz w:val="17"/>
                <w:szCs w:val="17"/>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0.46</w:t>
            </w:r>
          </w:p>
        </w:tc>
        <w:tc>
          <w:tcPr>
            <w:tcW w:w="60" w:type="dxa"/>
            <w:vAlign w:val="bottom"/>
          </w:tcPr>
          <w:p>
            <w:pPr>
              <w:spacing w:after="0"/>
              <w:rPr>
                <w:sz w:val="17"/>
                <w:szCs w:val="17"/>
                <w:color w:val="auto"/>
              </w:rPr>
            </w:pPr>
          </w:p>
        </w:tc>
        <w:tc>
          <w:tcPr>
            <w:tcW w:w="740" w:type="dxa"/>
            <w:vAlign w:val="bottom"/>
          </w:tcPr>
          <w:p>
            <w:pPr>
              <w:ind w:left="400"/>
              <w:spacing w:after="0"/>
              <w:rPr>
                <w:sz w:val="20"/>
                <w:szCs w:val="20"/>
                <w:color w:val="auto"/>
              </w:rPr>
            </w:pPr>
            <w:r>
              <w:rPr>
                <w:rFonts w:ascii="Arial" w:cs="Arial" w:eastAsia="Arial" w:hAnsi="Arial"/>
                <w:sz w:val="14"/>
                <w:szCs w:val="14"/>
                <w:color w:val="auto"/>
              </w:rPr>
              <w:t>4.21</w:t>
            </w:r>
          </w:p>
        </w:tc>
      </w:tr>
      <w:tr>
        <w:trPr>
          <w:trHeight w:val="179"/>
        </w:trPr>
        <w:tc>
          <w:tcPr>
            <w:tcW w:w="1100" w:type="dxa"/>
            <w:vAlign w:val="bottom"/>
          </w:tcPr>
          <w:p>
            <w:pPr>
              <w:spacing w:after="0"/>
              <w:rPr>
                <w:sz w:val="20"/>
                <w:szCs w:val="20"/>
                <w:color w:val="auto"/>
              </w:rPr>
            </w:pPr>
            <w:r>
              <w:rPr>
                <w:rFonts w:ascii="Arial" w:cs="Arial" w:eastAsia="Arial" w:hAnsi="Arial"/>
                <w:sz w:val="14"/>
                <w:szCs w:val="14"/>
                <w:color w:val="auto"/>
                <w:w w:val="98"/>
              </w:rPr>
              <w:t>Due to banks and</w:t>
            </w: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2"/>
        </w:trPr>
        <w:tc>
          <w:tcPr>
            <w:tcW w:w="1100" w:type="dxa"/>
            <w:vAlign w:val="bottom"/>
          </w:tcPr>
          <w:p>
            <w:pPr>
              <w:spacing w:after="0"/>
              <w:rPr>
                <w:sz w:val="20"/>
                <w:szCs w:val="20"/>
                <w:color w:val="auto"/>
              </w:rPr>
            </w:pPr>
            <w:r>
              <w:rPr>
                <w:rFonts w:ascii="Arial" w:cs="Arial" w:eastAsia="Arial" w:hAnsi="Arial"/>
                <w:sz w:val="14"/>
                <w:szCs w:val="14"/>
                <w:color w:val="auto"/>
              </w:rPr>
              <w:t>correspondents</w:t>
            </w: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03"/>
        </w:trPr>
        <w:tc>
          <w:tcPr>
            <w:tcW w:w="1100" w:type="dxa"/>
            <w:vAlign w:val="bottom"/>
          </w:tcPr>
          <w:p>
            <w:pPr>
              <w:ind w:left="140"/>
              <w:spacing w:after="0"/>
              <w:rPr>
                <w:sz w:val="20"/>
                <w:szCs w:val="20"/>
                <w:color w:val="auto"/>
              </w:rPr>
            </w:pPr>
            <w:r>
              <w:rPr>
                <w:rFonts w:ascii="Arial" w:cs="Arial" w:eastAsia="Arial" w:hAnsi="Arial"/>
                <w:sz w:val="14"/>
                <w:szCs w:val="14"/>
                <w:color w:val="auto"/>
              </w:rPr>
              <w:t>Nuevos Soles</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17,107</w:t>
            </w:r>
          </w:p>
        </w:tc>
        <w:tc>
          <w:tcPr>
            <w:tcW w:w="6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611</w:t>
            </w:r>
          </w:p>
        </w:tc>
        <w:tc>
          <w:tcPr>
            <w:tcW w:w="140" w:type="dxa"/>
            <w:vAlign w:val="bottom"/>
          </w:tcPr>
          <w:p>
            <w:pPr>
              <w:spacing w:after="0"/>
              <w:rPr>
                <w:sz w:val="17"/>
                <w:szCs w:val="17"/>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-0.12</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3.57</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63,602</w:t>
            </w:r>
          </w:p>
        </w:tc>
        <w:tc>
          <w:tcPr>
            <w:tcW w:w="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698</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-0.40</w:t>
            </w:r>
          </w:p>
        </w:tc>
        <w:tc>
          <w:tcPr>
            <w:tcW w:w="60" w:type="dxa"/>
            <w:vAlign w:val="bottom"/>
          </w:tcPr>
          <w:p>
            <w:pPr>
              <w:spacing w:after="0"/>
              <w:rPr>
                <w:sz w:val="17"/>
                <w:szCs w:val="17"/>
                <w:color w:val="auto"/>
              </w:rPr>
            </w:pPr>
          </w:p>
        </w:tc>
        <w:tc>
          <w:tcPr>
            <w:tcW w:w="740" w:type="dxa"/>
            <w:vAlign w:val="bottom"/>
          </w:tcPr>
          <w:p>
            <w:pPr>
              <w:ind w:left="400"/>
              <w:spacing w:after="0"/>
              <w:rPr>
                <w:sz w:val="20"/>
                <w:szCs w:val="20"/>
                <w:color w:val="auto"/>
              </w:rPr>
            </w:pPr>
            <w:r>
              <w:rPr>
                <w:rFonts w:ascii="Arial" w:cs="Arial" w:eastAsia="Arial" w:hAnsi="Arial"/>
                <w:sz w:val="14"/>
                <w:szCs w:val="14"/>
                <w:color w:val="auto"/>
              </w:rPr>
              <w:t>1.10</w:t>
            </w:r>
          </w:p>
        </w:tc>
        <w:tc>
          <w:tcPr>
            <w:tcW w:w="6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28,852</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559</w:t>
            </w:r>
          </w:p>
        </w:tc>
        <w:tc>
          <w:tcPr>
            <w:tcW w:w="120" w:type="dxa"/>
            <w:vAlign w:val="bottom"/>
          </w:tcPr>
          <w:p>
            <w:pPr>
              <w:spacing w:after="0"/>
              <w:rPr>
                <w:sz w:val="17"/>
                <w:szCs w:val="17"/>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-0.55</w:t>
            </w:r>
          </w:p>
        </w:tc>
        <w:tc>
          <w:tcPr>
            <w:tcW w:w="60" w:type="dxa"/>
            <w:vAlign w:val="bottom"/>
          </w:tcPr>
          <w:p>
            <w:pPr>
              <w:spacing w:after="0"/>
              <w:rPr>
                <w:sz w:val="17"/>
                <w:szCs w:val="17"/>
                <w:color w:val="auto"/>
              </w:rPr>
            </w:pPr>
          </w:p>
        </w:tc>
        <w:tc>
          <w:tcPr>
            <w:tcW w:w="740" w:type="dxa"/>
            <w:vAlign w:val="bottom"/>
          </w:tcPr>
          <w:p>
            <w:pPr>
              <w:ind w:left="400"/>
              <w:spacing w:after="0"/>
              <w:rPr>
                <w:sz w:val="20"/>
                <w:szCs w:val="20"/>
                <w:color w:val="auto"/>
              </w:rPr>
            </w:pPr>
            <w:r>
              <w:rPr>
                <w:rFonts w:ascii="Arial" w:cs="Arial" w:eastAsia="Arial" w:hAnsi="Arial"/>
                <w:sz w:val="14"/>
                <w:szCs w:val="14"/>
                <w:color w:val="auto"/>
              </w:rPr>
              <w:t>1.94</w:t>
            </w:r>
          </w:p>
        </w:tc>
      </w:tr>
      <w:tr>
        <w:trPr>
          <w:trHeight w:val="203"/>
        </w:trPr>
        <w:tc>
          <w:tcPr>
            <w:tcW w:w="1100" w:type="dxa"/>
            <w:vAlign w:val="bottom"/>
          </w:tcPr>
          <w:p>
            <w:pPr>
              <w:ind w:left="140"/>
              <w:spacing w:after="0"/>
              <w:rPr>
                <w:sz w:val="20"/>
                <w:szCs w:val="20"/>
                <w:color w:val="auto"/>
              </w:rPr>
            </w:pPr>
            <w:r>
              <w:rPr>
                <w:rFonts w:ascii="Arial" w:cs="Arial" w:eastAsia="Arial" w:hAnsi="Arial"/>
                <w:sz w:val="14"/>
                <w:szCs w:val="14"/>
                <w:color w:val="auto"/>
                <w:w w:val="86"/>
              </w:rPr>
              <w:t>Foreign Currency</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456,941</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58,566</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6.44</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12.82</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595,039</w:t>
            </w:r>
          </w:p>
        </w:tc>
        <w:tc>
          <w:tcPr>
            <w:tcW w:w="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24,587</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4.68</w:t>
            </w:r>
          </w:p>
        </w:tc>
        <w:tc>
          <w:tcPr>
            <w:tcW w:w="60" w:type="dxa"/>
            <w:vAlign w:val="bottom"/>
          </w:tcPr>
          <w:p>
            <w:pPr>
              <w:spacing w:after="0"/>
              <w:rPr>
                <w:sz w:val="17"/>
                <w:szCs w:val="17"/>
                <w:color w:val="auto"/>
              </w:rPr>
            </w:pPr>
          </w:p>
        </w:tc>
        <w:tc>
          <w:tcPr>
            <w:tcW w:w="740" w:type="dxa"/>
            <w:vAlign w:val="bottom"/>
          </w:tcPr>
          <w:p>
            <w:pPr>
              <w:ind w:left="400"/>
              <w:spacing w:after="0"/>
              <w:rPr>
                <w:sz w:val="20"/>
                <w:szCs w:val="20"/>
                <w:color w:val="auto"/>
              </w:rPr>
            </w:pPr>
            <w:r>
              <w:rPr>
                <w:rFonts w:ascii="Arial" w:cs="Arial" w:eastAsia="Arial" w:hAnsi="Arial"/>
                <w:sz w:val="14"/>
                <w:szCs w:val="14"/>
                <w:color w:val="auto"/>
              </w:rPr>
              <w:t>4.13</w:t>
            </w:r>
          </w:p>
        </w:tc>
        <w:tc>
          <w:tcPr>
            <w:tcW w:w="6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266,183</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16,676</w:t>
            </w:r>
          </w:p>
        </w:tc>
        <w:tc>
          <w:tcPr>
            <w:tcW w:w="120" w:type="dxa"/>
            <w:vAlign w:val="bottom"/>
          </w:tcPr>
          <w:p>
            <w:pPr>
              <w:spacing w:after="0"/>
              <w:rPr>
                <w:sz w:val="17"/>
                <w:szCs w:val="17"/>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2.17</w:t>
            </w:r>
          </w:p>
        </w:tc>
        <w:tc>
          <w:tcPr>
            <w:tcW w:w="60" w:type="dxa"/>
            <w:vAlign w:val="bottom"/>
          </w:tcPr>
          <w:p>
            <w:pPr>
              <w:spacing w:after="0"/>
              <w:rPr>
                <w:sz w:val="17"/>
                <w:szCs w:val="17"/>
                <w:color w:val="auto"/>
              </w:rPr>
            </w:pPr>
          </w:p>
        </w:tc>
        <w:tc>
          <w:tcPr>
            <w:tcW w:w="740" w:type="dxa"/>
            <w:vAlign w:val="bottom"/>
          </w:tcPr>
          <w:p>
            <w:pPr>
              <w:ind w:left="400"/>
              <w:spacing w:after="0"/>
              <w:rPr>
                <w:sz w:val="20"/>
                <w:szCs w:val="20"/>
                <w:color w:val="auto"/>
              </w:rPr>
            </w:pPr>
            <w:r>
              <w:rPr>
                <w:rFonts w:ascii="Arial" w:cs="Arial" w:eastAsia="Arial" w:hAnsi="Arial"/>
                <w:sz w:val="14"/>
                <w:szCs w:val="14"/>
                <w:color w:val="auto"/>
              </w:rPr>
              <w:t>6.26</w:t>
            </w:r>
          </w:p>
        </w:tc>
      </w:tr>
      <w:tr>
        <w:trPr>
          <w:trHeight w:val="203"/>
        </w:trPr>
        <w:tc>
          <w:tcPr>
            <w:tcW w:w="1100" w:type="dxa"/>
            <w:vAlign w:val="bottom"/>
          </w:tcPr>
          <w:p>
            <w:pPr>
              <w:ind w:left="120"/>
              <w:spacing w:after="0"/>
              <w:rPr>
                <w:sz w:val="20"/>
                <w:szCs w:val="20"/>
                <w:color w:val="auto"/>
              </w:rPr>
            </w:pPr>
            <w:r>
              <w:rPr>
                <w:rFonts w:ascii="Arial" w:cs="Arial" w:eastAsia="Arial" w:hAnsi="Arial"/>
                <w:sz w:val="14"/>
                <w:szCs w:val="14"/>
                <w:color w:val="auto"/>
              </w:rPr>
              <w:t>Total</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474,048</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59,177</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6.21</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12.48</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658,641</w:t>
            </w:r>
          </w:p>
        </w:tc>
        <w:tc>
          <w:tcPr>
            <w:tcW w:w="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25,285</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4.19</w:t>
            </w:r>
          </w:p>
        </w:tc>
        <w:tc>
          <w:tcPr>
            <w:tcW w:w="60" w:type="dxa"/>
            <w:vAlign w:val="bottom"/>
          </w:tcPr>
          <w:p>
            <w:pPr>
              <w:spacing w:after="0"/>
              <w:rPr>
                <w:sz w:val="17"/>
                <w:szCs w:val="17"/>
                <w:color w:val="auto"/>
              </w:rPr>
            </w:pPr>
          </w:p>
        </w:tc>
        <w:tc>
          <w:tcPr>
            <w:tcW w:w="740" w:type="dxa"/>
            <w:vAlign w:val="bottom"/>
          </w:tcPr>
          <w:p>
            <w:pPr>
              <w:ind w:left="400"/>
              <w:spacing w:after="0"/>
              <w:rPr>
                <w:sz w:val="20"/>
                <w:szCs w:val="20"/>
                <w:color w:val="auto"/>
              </w:rPr>
            </w:pPr>
            <w:r>
              <w:rPr>
                <w:rFonts w:ascii="Arial" w:cs="Arial" w:eastAsia="Arial" w:hAnsi="Arial"/>
                <w:sz w:val="14"/>
                <w:szCs w:val="14"/>
                <w:color w:val="auto"/>
              </w:rPr>
              <w:t>3.84</w:t>
            </w:r>
          </w:p>
        </w:tc>
        <w:tc>
          <w:tcPr>
            <w:tcW w:w="6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295,036</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17,235</w:t>
            </w:r>
          </w:p>
        </w:tc>
        <w:tc>
          <w:tcPr>
            <w:tcW w:w="120" w:type="dxa"/>
            <w:vAlign w:val="bottom"/>
          </w:tcPr>
          <w:p>
            <w:pPr>
              <w:spacing w:after="0"/>
              <w:rPr>
                <w:sz w:val="17"/>
                <w:szCs w:val="17"/>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1.90</w:t>
            </w:r>
          </w:p>
        </w:tc>
        <w:tc>
          <w:tcPr>
            <w:tcW w:w="60" w:type="dxa"/>
            <w:vAlign w:val="bottom"/>
          </w:tcPr>
          <w:p>
            <w:pPr>
              <w:spacing w:after="0"/>
              <w:rPr>
                <w:sz w:val="17"/>
                <w:szCs w:val="17"/>
                <w:color w:val="auto"/>
              </w:rPr>
            </w:pPr>
          </w:p>
        </w:tc>
        <w:tc>
          <w:tcPr>
            <w:tcW w:w="740" w:type="dxa"/>
            <w:vAlign w:val="bottom"/>
          </w:tcPr>
          <w:p>
            <w:pPr>
              <w:ind w:left="400"/>
              <w:spacing w:after="0"/>
              <w:rPr>
                <w:sz w:val="20"/>
                <w:szCs w:val="20"/>
                <w:color w:val="auto"/>
              </w:rPr>
            </w:pPr>
            <w:r>
              <w:rPr>
                <w:rFonts w:ascii="Arial" w:cs="Arial" w:eastAsia="Arial" w:hAnsi="Arial"/>
                <w:sz w:val="14"/>
                <w:szCs w:val="14"/>
                <w:color w:val="auto"/>
              </w:rPr>
              <w:t>5.84</w:t>
            </w:r>
          </w:p>
        </w:tc>
      </w:tr>
      <w:tr>
        <w:trPr>
          <w:trHeight w:val="203"/>
        </w:trPr>
        <w:tc>
          <w:tcPr>
            <w:tcW w:w="2640" w:type="dxa"/>
            <w:vAlign w:val="bottom"/>
            <w:gridSpan w:val="4"/>
          </w:tcPr>
          <w:p>
            <w:pPr>
              <w:spacing w:after="0"/>
              <w:rPr>
                <w:sz w:val="20"/>
                <w:szCs w:val="20"/>
                <w:color w:val="auto"/>
              </w:rPr>
            </w:pPr>
            <w:r>
              <w:rPr>
                <w:rFonts w:ascii="Arial" w:cs="Arial" w:eastAsia="Arial" w:hAnsi="Arial"/>
                <w:sz w:val="14"/>
                <w:szCs w:val="14"/>
                <w:color w:val="auto"/>
              </w:rPr>
              <w:t>Total interest-bearing liabilities</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100" w:type="dxa"/>
            <w:vAlign w:val="bottom"/>
          </w:tcPr>
          <w:p>
            <w:pPr>
              <w:ind w:left="140"/>
              <w:spacing w:after="0"/>
              <w:rPr>
                <w:sz w:val="20"/>
                <w:szCs w:val="20"/>
                <w:color w:val="auto"/>
              </w:rPr>
            </w:pPr>
            <w:r>
              <w:rPr>
                <w:rFonts w:ascii="Arial" w:cs="Arial" w:eastAsia="Arial" w:hAnsi="Arial"/>
                <w:sz w:val="14"/>
                <w:szCs w:val="14"/>
                <w:color w:val="auto"/>
              </w:rPr>
              <w:t>Nuevos Soles</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842,947</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50,165</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2.17</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5.95</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1,015,554</w:t>
            </w:r>
          </w:p>
        </w:tc>
        <w:tc>
          <w:tcPr>
            <w:tcW w:w="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24,282</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0.88</w:t>
            </w:r>
          </w:p>
        </w:tc>
        <w:tc>
          <w:tcPr>
            <w:tcW w:w="60" w:type="dxa"/>
            <w:vAlign w:val="bottom"/>
          </w:tcPr>
          <w:p>
            <w:pPr>
              <w:spacing w:after="0"/>
              <w:rPr>
                <w:sz w:val="17"/>
                <w:szCs w:val="17"/>
                <w:color w:val="auto"/>
              </w:rPr>
            </w:pPr>
          </w:p>
        </w:tc>
        <w:tc>
          <w:tcPr>
            <w:tcW w:w="740" w:type="dxa"/>
            <w:vAlign w:val="bottom"/>
          </w:tcPr>
          <w:p>
            <w:pPr>
              <w:ind w:left="400"/>
              <w:spacing w:after="0"/>
              <w:rPr>
                <w:sz w:val="20"/>
                <w:szCs w:val="20"/>
                <w:color w:val="auto"/>
              </w:rPr>
            </w:pPr>
            <w:r>
              <w:rPr>
                <w:rFonts w:ascii="Arial" w:cs="Arial" w:eastAsia="Arial" w:hAnsi="Arial"/>
                <w:sz w:val="14"/>
                <w:szCs w:val="14"/>
                <w:color w:val="auto"/>
              </w:rPr>
              <w:t>2.39</w:t>
            </w:r>
          </w:p>
        </w:tc>
        <w:tc>
          <w:tcPr>
            <w:tcW w:w="6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1,220,177</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28,387</w:t>
            </w:r>
          </w:p>
        </w:tc>
        <w:tc>
          <w:tcPr>
            <w:tcW w:w="120" w:type="dxa"/>
            <w:vAlign w:val="bottom"/>
          </w:tcPr>
          <w:p>
            <w:pPr>
              <w:spacing w:after="0"/>
              <w:rPr>
                <w:sz w:val="17"/>
                <w:szCs w:val="17"/>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-0.17</w:t>
            </w:r>
          </w:p>
        </w:tc>
        <w:tc>
          <w:tcPr>
            <w:tcW w:w="60" w:type="dxa"/>
            <w:vAlign w:val="bottom"/>
          </w:tcPr>
          <w:p>
            <w:pPr>
              <w:spacing w:after="0"/>
              <w:rPr>
                <w:sz w:val="17"/>
                <w:szCs w:val="17"/>
                <w:color w:val="auto"/>
              </w:rPr>
            </w:pPr>
          </w:p>
        </w:tc>
        <w:tc>
          <w:tcPr>
            <w:tcW w:w="740" w:type="dxa"/>
            <w:vAlign w:val="bottom"/>
          </w:tcPr>
          <w:p>
            <w:pPr>
              <w:ind w:left="400"/>
              <w:spacing w:after="0"/>
              <w:rPr>
                <w:sz w:val="20"/>
                <w:szCs w:val="20"/>
                <w:color w:val="auto"/>
              </w:rPr>
            </w:pPr>
            <w:r>
              <w:rPr>
                <w:rFonts w:ascii="Arial" w:cs="Arial" w:eastAsia="Arial" w:hAnsi="Arial"/>
                <w:sz w:val="14"/>
                <w:szCs w:val="14"/>
                <w:color w:val="auto"/>
              </w:rPr>
              <w:t>2.33</w:t>
            </w:r>
          </w:p>
        </w:tc>
      </w:tr>
      <w:tr>
        <w:trPr>
          <w:trHeight w:val="203"/>
        </w:trPr>
        <w:tc>
          <w:tcPr>
            <w:tcW w:w="1100" w:type="dxa"/>
            <w:vAlign w:val="bottom"/>
          </w:tcPr>
          <w:p>
            <w:pPr>
              <w:ind w:left="140"/>
              <w:spacing w:after="0"/>
              <w:rPr>
                <w:sz w:val="20"/>
                <w:szCs w:val="20"/>
                <w:color w:val="auto"/>
              </w:rPr>
            </w:pPr>
            <w:r>
              <w:rPr>
                <w:rFonts w:ascii="Arial" w:cs="Arial" w:eastAsia="Arial" w:hAnsi="Arial"/>
                <w:sz w:val="14"/>
                <w:szCs w:val="14"/>
                <w:color w:val="auto"/>
                <w:w w:val="86"/>
              </w:rPr>
              <w:t>Foreign Currency</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4,826,391</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268,378</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-0.40</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5.56</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4,736,269</w:t>
            </w:r>
          </w:p>
        </w:tc>
        <w:tc>
          <w:tcPr>
            <w:tcW w:w="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153,787</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3.79</w:t>
            </w:r>
          </w:p>
        </w:tc>
        <w:tc>
          <w:tcPr>
            <w:tcW w:w="60" w:type="dxa"/>
            <w:vAlign w:val="bottom"/>
          </w:tcPr>
          <w:p>
            <w:pPr>
              <w:spacing w:after="0"/>
              <w:rPr>
                <w:sz w:val="17"/>
                <w:szCs w:val="17"/>
                <w:color w:val="auto"/>
              </w:rPr>
            </w:pPr>
          </w:p>
        </w:tc>
        <w:tc>
          <w:tcPr>
            <w:tcW w:w="740" w:type="dxa"/>
            <w:vAlign w:val="bottom"/>
          </w:tcPr>
          <w:p>
            <w:pPr>
              <w:ind w:left="400"/>
              <w:spacing w:after="0"/>
              <w:rPr>
                <w:sz w:val="20"/>
                <w:szCs w:val="20"/>
                <w:color w:val="auto"/>
              </w:rPr>
            </w:pPr>
            <w:r>
              <w:rPr>
                <w:rFonts w:ascii="Arial" w:cs="Arial" w:eastAsia="Arial" w:hAnsi="Arial"/>
                <w:sz w:val="14"/>
                <w:szCs w:val="14"/>
                <w:color w:val="auto"/>
              </w:rPr>
              <w:t>3.25</w:t>
            </w:r>
          </w:p>
        </w:tc>
        <w:tc>
          <w:tcPr>
            <w:tcW w:w="6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5,028,388</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133,927</w:t>
            </w:r>
          </w:p>
        </w:tc>
        <w:tc>
          <w:tcPr>
            <w:tcW w:w="120" w:type="dxa"/>
            <w:vAlign w:val="bottom"/>
          </w:tcPr>
          <w:p>
            <w:pPr>
              <w:spacing w:after="0"/>
              <w:rPr>
                <w:sz w:val="17"/>
                <w:szCs w:val="17"/>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-1.29</w:t>
            </w:r>
          </w:p>
        </w:tc>
        <w:tc>
          <w:tcPr>
            <w:tcW w:w="60" w:type="dxa"/>
            <w:vAlign w:val="bottom"/>
          </w:tcPr>
          <w:p>
            <w:pPr>
              <w:spacing w:after="0"/>
              <w:rPr>
                <w:sz w:val="17"/>
                <w:szCs w:val="17"/>
                <w:color w:val="auto"/>
              </w:rPr>
            </w:pPr>
          </w:p>
        </w:tc>
        <w:tc>
          <w:tcPr>
            <w:tcW w:w="740" w:type="dxa"/>
            <w:vAlign w:val="bottom"/>
          </w:tcPr>
          <w:p>
            <w:pPr>
              <w:ind w:left="400"/>
              <w:spacing w:after="0"/>
              <w:rPr>
                <w:sz w:val="20"/>
                <w:szCs w:val="20"/>
                <w:color w:val="auto"/>
              </w:rPr>
            </w:pPr>
            <w:r>
              <w:rPr>
                <w:rFonts w:ascii="Arial" w:cs="Arial" w:eastAsia="Arial" w:hAnsi="Arial"/>
                <w:sz w:val="14"/>
                <w:szCs w:val="14"/>
                <w:color w:val="auto"/>
              </w:rPr>
              <w:t>2.66</w:t>
            </w:r>
          </w:p>
        </w:tc>
      </w:tr>
      <w:tr>
        <w:trPr>
          <w:trHeight w:val="203"/>
        </w:trPr>
        <w:tc>
          <w:tcPr>
            <w:tcW w:w="1100" w:type="dxa"/>
            <w:vAlign w:val="bottom"/>
          </w:tcPr>
          <w:p>
            <w:pPr>
              <w:ind w:left="120"/>
              <w:spacing w:after="0"/>
              <w:rPr>
                <w:sz w:val="20"/>
                <w:szCs w:val="20"/>
                <w:color w:val="auto"/>
              </w:rPr>
            </w:pPr>
            <w:r>
              <w:rPr>
                <w:rFonts w:ascii="Arial" w:cs="Arial" w:eastAsia="Arial" w:hAnsi="Arial"/>
                <w:sz w:val="14"/>
                <w:szCs w:val="14"/>
                <w:color w:val="auto"/>
              </w:rPr>
              <w:t>Total</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5,669,338</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318,543</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-0.02</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5.62</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5,751,823</w:t>
            </w:r>
          </w:p>
        </w:tc>
        <w:tc>
          <w:tcPr>
            <w:tcW w:w="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178,069</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3.27</w:t>
            </w:r>
          </w:p>
        </w:tc>
        <w:tc>
          <w:tcPr>
            <w:tcW w:w="60" w:type="dxa"/>
            <w:vAlign w:val="bottom"/>
          </w:tcPr>
          <w:p>
            <w:pPr>
              <w:spacing w:after="0"/>
              <w:rPr>
                <w:sz w:val="17"/>
                <w:szCs w:val="17"/>
                <w:color w:val="auto"/>
              </w:rPr>
            </w:pPr>
          </w:p>
        </w:tc>
        <w:tc>
          <w:tcPr>
            <w:tcW w:w="740" w:type="dxa"/>
            <w:vAlign w:val="bottom"/>
          </w:tcPr>
          <w:p>
            <w:pPr>
              <w:ind w:left="400"/>
              <w:spacing w:after="0"/>
              <w:rPr>
                <w:sz w:val="20"/>
                <w:szCs w:val="20"/>
                <w:color w:val="auto"/>
              </w:rPr>
            </w:pPr>
            <w:r>
              <w:rPr>
                <w:rFonts w:ascii="Arial" w:cs="Arial" w:eastAsia="Arial" w:hAnsi="Arial"/>
                <w:sz w:val="14"/>
                <w:szCs w:val="14"/>
                <w:color w:val="auto"/>
              </w:rPr>
              <w:t>3.10</w:t>
            </w:r>
          </w:p>
        </w:tc>
        <w:tc>
          <w:tcPr>
            <w:tcW w:w="6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6,248,566</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162,314</w:t>
            </w:r>
          </w:p>
        </w:tc>
        <w:tc>
          <w:tcPr>
            <w:tcW w:w="120" w:type="dxa"/>
            <w:vAlign w:val="bottom"/>
          </w:tcPr>
          <w:p>
            <w:pPr>
              <w:spacing w:after="0"/>
              <w:rPr>
                <w:sz w:val="17"/>
                <w:szCs w:val="17"/>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-1.07</w:t>
            </w:r>
          </w:p>
        </w:tc>
        <w:tc>
          <w:tcPr>
            <w:tcW w:w="60" w:type="dxa"/>
            <w:vAlign w:val="bottom"/>
          </w:tcPr>
          <w:p>
            <w:pPr>
              <w:spacing w:after="0"/>
              <w:rPr>
                <w:sz w:val="17"/>
                <w:szCs w:val="17"/>
                <w:color w:val="auto"/>
              </w:rPr>
            </w:pPr>
          </w:p>
        </w:tc>
        <w:tc>
          <w:tcPr>
            <w:tcW w:w="740" w:type="dxa"/>
            <w:vAlign w:val="bottom"/>
          </w:tcPr>
          <w:p>
            <w:pPr>
              <w:ind w:left="400"/>
              <w:spacing w:after="0"/>
              <w:rPr>
                <w:sz w:val="20"/>
                <w:szCs w:val="20"/>
                <w:color w:val="auto"/>
              </w:rPr>
            </w:pPr>
            <w:r>
              <w:rPr>
                <w:rFonts w:ascii="Arial" w:cs="Arial" w:eastAsia="Arial" w:hAnsi="Arial"/>
                <w:sz w:val="14"/>
                <w:szCs w:val="14"/>
                <w:color w:val="auto"/>
              </w:rPr>
              <w:t>2.60</w:t>
            </w:r>
          </w:p>
        </w:tc>
      </w:tr>
      <w:tr>
        <w:trPr>
          <w:trHeight w:val="179"/>
        </w:trPr>
        <w:tc>
          <w:tcPr>
            <w:tcW w:w="2640" w:type="dxa"/>
            <w:vAlign w:val="bottom"/>
            <w:gridSpan w:val="4"/>
          </w:tcPr>
          <w:p>
            <w:pPr>
              <w:spacing w:after="0"/>
              <w:rPr>
                <w:sz w:val="20"/>
                <w:szCs w:val="20"/>
                <w:color w:val="auto"/>
              </w:rPr>
            </w:pPr>
            <w:r>
              <w:rPr>
                <w:rFonts w:ascii="Arial" w:cs="Arial" w:eastAsia="Arial" w:hAnsi="Arial"/>
                <w:sz w:val="14"/>
                <w:szCs w:val="14"/>
                <w:i w:val="1"/>
                <w:iCs w:val="1"/>
                <w:color w:val="auto"/>
              </w:rPr>
              <w:t>Non-interest-bearing liabilities</w:t>
            </w: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2"/>
        </w:trPr>
        <w:tc>
          <w:tcPr>
            <w:tcW w:w="2640" w:type="dxa"/>
            <w:vAlign w:val="bottom"/>
            <w:gridSpan w:val="4"/>
          </w:tcPr>
          <w:p>
            <w:pPr>
              <w:spacing w:after="0"/>
              <w:rPr>
                <w:sz w:val="20"/>
                <w:szCs w:val="20"/>
                <w:color w:val="auto"/>
              </w:rPr>
            </w:pPr>
            <w:r>
              <w:rPr>
                <w:rFonts w:ascii="Arial" w:cs="Arial" w:eastAsia="Arial" w:hAnsi="Arial"/>
                <w:sz w:val="14"/>
                <w:szCs w:val="14"/>
                <w:i w:val="1"/>
                <w:iCs w:val="1"/>
                <w:color w:val="auto"/>
              </w:rPr>
              <w:t>and shareholders' equity:</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03"/>
        </w:trPr>
        <w:tc>
          <w:tcPr>
            <w:tcW w:w="1100" w:type="dxa"/>
            <w:vAlign w:val="bottom"/>
          </w:tcPr>
          <w:p>
            <w:pPr>
              <w:spacing w:after="0"/>
              <w:rPr>
                <w:sz w:val="20"/>
                <w:szCs w:val="20"/>
                <w:color w:val="auto"/>
              </w:rPr>
            </w:pPr>
            <w:r>
              <w:rPr>
                <w:rFonts w:ascii="Arial" w:cs="Arial" w:eastAsia="Arial" w:hAnsi="Arial"/>
                <w:sz w:val="14"/>
                <w:szCs w:val="14"/>
                <w:color w:val="auto"/>
              </w:rPr>
              <w:t>Other liabilities</w:t>
            </w: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100" w:type="dxa"/>
            <w:vAlign w:val="bottom"/>
          </w:tcPr>
          <w:p>
            <w:pPr>
              <w:ind w:left="140"/>
              <w:spacing w:after="0"/>
              <w:rPr>
                <w:sz w:val="20"/>
                <w:szCs w:val="20"/>
                <w:color w:val="auto"/>
              </w:rPr>
            </w:pPr>
            <w:r>
              <w:rPr>
                <w:rFonts w:ascii="Arial" w:cs="Arial" w:eastAsia="Arial" w:hAnsi="Arial"/>
                <w:sz w:val="14"/>
                <w:szCs w:val="14"/>
                <w:color w:val="auto"/>
              </w:rPr>
              <w:t>Nuevos Soles</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53,194</w:t>
            </w: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85,261</w:t>
            </w: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45,045</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100" w:type="dxa"/>
            <w:vAlign w:val="bottom"/>
          </w:tcPr>
          <w:p>
            <w:pPr>
              <w:ind w:left="140"/>
              <w:spacing w:after="0"/>
              <w:rPr>
                <w:sz w:val="20"/>
                <w:szCs w:val="20"/>
                <w:color w:val="auto"/>
              </w:rPr>
            </w:pPr>
            <w:r>
              <w:rPr>
                <w:rFonts w:ascii="Arial" w:cs="Arial" w:eastAsia="Arial" w:hAnsi="Arial"/>
                <w:sz w:val="14"/>
                <w:szCs w:val="14"/>
                <w:color w:val="auto"/>
                <w:w w:val="86"/>
              </w:rPr>
              <w:t>Foreign Currency</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1,333,667</w:t>
            </w: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1,086,284</w:t>
            </w: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1,120,185</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100" w:type="dxa"/>
            <w:vAlign w:val="bottom"/>
          </w:tcPr>
          <w:p>
            <w:pPr>
              <w:ind w:left="120"/>
              <w:spacing w:after="0"/>
              <w:rPr>
                <w:sz w:val="20"/>
                <w:szCs w:val="20"/>
                <w:color w:val="auto"/>
              </w:rPr>
            </w:pPr>
            <w:r>
              <w:rPr>
                <w:rFonts w:ascii="Arial" w:cs="Arial" w:eastAsia="Arial" w:hAnsi="Arial"/>
                <w:sz w:val="14"/>
                <w:szCs w:val="14"/>
                <w:color w:val="auto"/>
              </w:rPr>
              <w:t>Total</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1,386,861</w:t>
            </w: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1,171,545</w:t>
            </w: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1,165,230</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100" w:type="dxa"/>
            <w:vAlign w:val="bottom"/>
          </w:tcPr>
          <w:p>
            <w:pPr>
              <w:spacing w:after="0"/>
              <w:rPr>
                <w:sz w:val="20"/>
                <w:szCs w:val="20"/>
                <w:color w:val="auto"/>
              </w:rPr>
            </w:pPr>
            <w:r>
              <w:rPr>
                <w:rFonts w:ascii="Arial" w:cs="Arial" w:eastAsia="Arial" w:hAnsi="Arial"/>
                <w:sz w:val="14"/>
                <w:szCs w:val="14"/>
                <w:color w:val="auto"/>
                <w:w w:val="84"/>
              </w:rPr>
              <w:t>Shareholders' equity</w:t>
            </w: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100" w:type="dxa"/>
            <w:vAlign w:val="bottom"/>
          </w:tcPr>
          <w:p>
            <w:pPr>
              <w:ind w:left="140"/>
              <w:spacing w:after="0"/>
              <w:rPr>
                <w:sz w:val="20"/>
                <w:szCs w:val="20"/>
                <w:color w:val="auto"/>
              </w:rPr>
            </w:pPr>
            <w:r>
              <w:rPr>
                <w:rFonts w:ascii="Arial" w:cs="Arial" w:eastAsia="Arial" w:hAnsi="Arial"/>
                <w:sz w:val="14"/>
                <w:szCs w:val="14"/>
                <w:color w:val="auto"/>
              </w:rPr>
              <w:t>Nuevos Soles</w:t>
            </w:r>
          </w:p>
        </w:tc>
        <w:tc>
          <w:tcPr>
            <w:tcW w:w="1540" w:type="dxa"/>
            <w:vAlign w:val="bottom"/>
            <w:gridSpan w:val="3"/>
          </w:tcPr>
          <w:p>
            <w:pPr>
              <w:jc w:val="right"/>
              <w:ind w:right="60"/>
              <w:spacing w:after="0"/>
              <w:rPr>
                <w:sz w:val="20"/>
                <w:szCs w:val="20"/>
                <w:color w:val="auto"/>
              </w:rPr>
            </w:pPr>
            <w:r>
              <w:rPr>
                <w:rFonts w:ascii="Arial" w:cs="Arial" w:eastAsia="Arial" w:hAnsi="Arial"/>
                <w:sz w:val="14"/>
                <w:szCs w:val="14"/>
                <w:color w:val="auto"/>
              </w:rPr>
              <w:t>511,322</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517,518</w:t>
            </w: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538,479</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100" w:type="dxa"/>
            <w:vAlign w:val="bottom"/>
          </w:tcPr>
          <w:p>
            <w:pPr>
              <w:ind w:left="140"/>
              <w:spacing w:after="0"/>
              <w:rPr>
                <w:sz w:val="20"/>
                <w:szCs w:val="20"/>
                <w:color w:val="auto"/>
              </w:rPr>
            </w:pPr>
            <w:r>
              <w:rPr>
                <w:rFonts w:ascii="Arial" w:cs="Arial" w:eastAsia="Arial" w:hAnsi="Arial"/>
                <w:sz w:val="14"/>
                <w:szCs w:val="14"/>
                <w:color w:val="auto"/>
                <w:w w:val="86"/>
              </w:rPr>
              <w:t>Foreign Currency</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279,397</w:t>
            </w: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286,873</w:t>
            </w: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314,249</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100" w:type="dxa"/>
            <w:vAlign w:val="bottom"/>
          </w:tcPr>
          <w:p>
            <w:pPr>
              <w:ind w:left="120"/>
              <w:spacing w:after="0"/>
              <w:rPr>
                <w:sz w:val="20"/>
                <w:szCs w:val="20"/>
                <w:color w:val="auto"/>
              </w:rPr>
            </w:pPr>
            <w:r>
              <w:rPr>
                <w:rFonts w:ascii="Arial" w:cs="Arial" w:eastAsia="Arial" w:hAnsi="Arial"/>
                <w:sz w:val="14"/>
                <w:szCs w:val="14"/>
                <w:color w:val="auto"/>
              </w:rPr>
              <w:t>Total</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790,719</w:t>
            </w: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804,391</w:t>
            </w: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852,727</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79"/>
        </w:trPr>
        <w:tc>
          <w:tcPr>
            <w:tcW w:w="2640" w:type="dxa"/>
            <w:vAlign w:val="bottom"/>
            <w:gridSpan w:val="4"/>
          </w:tcPr>
          <w:p>
            <w:pPr>
              <w:spacing w:after="0"/>
              <w:rPr>
                <w:sz w:val="20"/>
                <w:szCs w:val="20"/>
                <w:color w:val="auto"/>
              </w:rPr>
            </w:pPr>
            <w:r>
              <w:rPr>
                <w:rFonts w:ascii="Arial" w:cs="Arial" w:eastAsia="Arial" w:hAnsi="Arial"/>
                <w:sz w:val="14"/>
                <w:szCs w:val="14"/>
                <w:color w:val="auto"/>
              </w:rPr>
              <w:t>Total non-interest-bearing</w:t>
            </w: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49"/>
        </w:trPr>
        <w:tc>
          <w:tcPr>
            <w:tcW w:w="2640" w:type="dxa"/>
            <w:vAlign w:val="bottom"/>
            <w:gridSpan w:val="4"/>
          </w:tcPr>
          <w:p>
            <w:pPr>
              <w:spacing w:after="0" w:line="149" w:lineRule="exact"/>
              <w:rPr>
                <w:sz w:val="20"/>
                <w:szCs w:val="20"/>
                <w:color w:val="auto"/>
              </w:rPr>
            </w:pPr>
            <w:r>
              <w:rPr>
                <w:rFonts w:ascii="Arial" w:cs="Arial" w:eastAsia="Arial" w:hAnsi="Arial"/>
                <w:sz w:val="14"/>
                <w:szCs w:val="14"/>
                <w:color w:val="auto"/>
              </w:rPr>
              <w:t>liabilities and shareholders'</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72"/>
        </w:trPr>
        <w:tc>
          <w:tcPr>
            <w:tcW w:w="1100" w:type="dxa"/>
            <w:vAlign w:val="bottom"/>
          </w:tcPr>
          <w:p>
            <w:pPr>
              <w:spacing w:after="0"/>
              <w:rPr>
                <w:sz w:val="20"/>
                <w:szCs w:val="20"/>
                <w:color w:val="auto"/>
              </w:rPr>
            </w:pPr>
            <w:r>
              <w:rPr>
                <w:rFonts w:ascii="Arial" w:cs="Arial" w:eastAsia="Arial" w:hAnsi="Arial"/>
                <w:sz w:val="14"/>
                <w:szCs w:val="14"/>
                <w:color w:val="auto"/>
              </w:rPr>
              <w:t>equity</w:t>
            </w: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03"/>
        </w:trPr>
        <w:tc>
          <w:tcPr>
            <w:tcW w:w="1100" w:type="dxa"/>
            <w:vAlign w:val="bottom"/>
          </w:tcPr>
          <w:p>
            <w:pPr>
              <w:ind w:left="140"/>
              <w:spacing w:after="0"/>
              <w:rPr>
                <w:sz w:val="20"/>
                <w:szCs w:val="20"/>
                <w:color w:val="auto"/>
              </w:rPr>
            </w:pPr>
            <w:r>
              <w:rPr>
                <w:rFonts w:ascii="Arial" w:cs="Arial" w:eastAsia="Arial" w:hAnsi="Arial"/>
                <w:sz w:val="14"/>
                <w:szCs w:val="14"/>
                <w:color w:val="auto"/>
              </w:rPr>
              <w:t>Nuevos Soles</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564,516</w:t>
            </w: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602,779</w:t>
            </w: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583,524</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100" w:type="dxa"/>
            <w:vAlign w:val="bottom"/>
          </w:tcPr>
          <w:p>
            <w:pPr>
              <w:ind w:left="140"/>
              <w:spacing w:after="0"/>
              <w:rPr>
                <w:sz w:val="20"/>
                <w:szCs w:val="20"/>
                <w:color w:val="auto"/>
              </w:rPr>
            </w:pPr>
            <w:r>
              <w:rPr>
                <w:rFonts w:ascii="Arial" w:cs="Arial" w:eastAsia="Arial" w:hAnsi="Arial"/>
                <w:sz w:val="14"/>
                <w:szCs w:val="14"/>
                <w:color w:val="auto"/>
                <w:w w:val="86"/>
              </w:rPr>
              <w:t>Foreign Currency</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1,613,064</w:t>
            </w: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1,373,157</w:t>
            </w: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1,434,433</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100" w:type="dxa"/>
            <w:vAlign w:val="bottom"/>
          </w:tcPr>
          <w:p>
            <w:pPr>
              <w:ind w:left="120"/>
              <w:spacing w:after="0"/>
              <w:rPr>
                <w:sz w:val="20"/>
                <w:szCs w:val="20"/>
                <w:color w:val="auto"/>
              </w:rPr>
            </w:pPr>
            <w:r>
              <w:rPr>
                <w:rFonts w:ascii="Arial" w:cs="Arial" w:eastAsia="Arial" w:hAnsi="Arial"/>
                <w:sz w:val="14"/>
                <w:szCs w:val="14"/>
                <w:color w:val="auto"/>
              </w:rPr>
              <w:t>Total</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2,177,580</w:t>
            </w: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1,975,936</w:t>
            </w: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2,017,958</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79"/>
        </w:trPr>
        <w:tc>
          <w:tcPr>
            <w:tcW w:w="2640" w:type="dxa"/>
            <w:vAlign w:val="bottom"/>
            <w:gridSpan w:val="4"/>
          </w:tcPr>
          <w:p>
            <w:pPr>
              <w:spacing w:after="0"/>
              <w:rPr>
                <w:sz w:val="20"/>
                <w:szCs w:val="20"/>
                <w:color w:val="auto"/>
              </w:rPr>
            </w:pPr>
            <w:r>
              <w:rPr>
                <w:rFonts w:ascii="Arial" w:cs="Arial" w:eastAsia="Arial" w:hAnsi="Arial"/>
                <w:sz w:val="14"/>
                <w:szCs w:val="14"/>
                <w:color w:val="auto"/>
              </w:rPr>
              <w:t>Total average liabilities and</w:t>
            </w: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2"/>
        </w:trPr>
        <w:tc>
          <w:tcPr>
            <w:tcW w:w="1100" w:type="dxa"/>
            <w:vAlign w:val="bottom"/>
          </w:tcPr>
          <w:p>
            <w:pPr>
              <w:spacing w:after="0"/>
              <w:rPr>
                <w:sz w:val="20"/>
                <w:szCs w:val="20"/>
                <w:color w:val="auto"/>
              </w:rPr>
            </w:pPr>
            <w:r>
              <w:rPr>
                <w:rFonts w:ascii="Arial" w:cs="Arial" w:eastAsia="Arial" w:hAnsi="Arial"/>
                <w:sz w:val="14"/>
                <w:szCs w:val="14"/>
                <w:color w:val="auto"/>
                <w:w w:val="86"/>
              </w:rPr>
              <w:t>shareholders' equity</w:t>
            </w: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03"/>
        </w:trPr>
        <w:tc>
          <w:tcPr>
            <w:tcW w:w="1100" w:type="dxa"/>
            <w:vAlign w:val="bottom"/>
          </w:tcPr>
          <w:p>
            <w:pPr>
              <w:ind w:left="140"/>
              <w:spacing w:after="0"/>
              <w:rPr>
                <w:sz w:val="20"/>
                <w:szCs w:val="20"/>
                <w:color w:val="auto"/>
              </w:rPr>
            </w:pPr>
            <w:r>
              <w:rPr>
                <w:rFonts w:ascii="Arial" w:cs="Arial" w:eastAsia="Arial" w:hAnsi="Arial"/>
                <w:sz w:val="14"/>
                <w:szCs w:val="14"/>
                <w:color w:val="auto"/>
              </w:rPr>
              <w:t>Nuevos Soles</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1,407,462</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50,165</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-0.13</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3.56</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1,618,334</w:t>
            </w:r>
          </w:p>
        </w:tc>
        <w:tc>
          <w:tcPr>
            <w:tcW w:w="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24,282</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0.00</w:t>
            </w:r>
          </w:p>
        </w:tc>
        <w:tc>
          <w:tcPr>
            <w:tcW w:w="60" w:type="dxa"/>
            <w:vAlign w:val="bottom"/>
          </w:tcPr>
          <w:p>
            <w:pPr>
              <w:spacing w:after="0"/>
              <w:rPr>
                <w:sz w:val="17"/>
                <w:szCs w:val="17"/>
                <w:color w:val="auto"/>
              </w:rPr>
            </w:pPr>
          </w:p>
        </w:tc>
        <w:tc>
          <w:tcPr>
            <w:tcW w:w="740" w:type="dxa"/>
            <w:vAlign w:val="bottom"/>
          </w:tcPr>
          <w:p>
            <w:pPr>
              <w:ind w:left="400"/>
              <w:spacing w:after="0"/>
              <w:rPr>
                <w:sz w:val="20"/>
                <w:szCs w:val="20"/>
                <w:color w:val="auto"/>
              </w:rPr>
            </w:pPr>
            <w:r>
              <w:rPr>
                <w:rFonts w:ascii="Arial" w:cs="Arial" w:eastAsia="Arial" w:hAnsi="Arial"/>
                <w:sz w:val="14"/>
                <w:szCs w:val="14"/>
                <w:color w:val="auto"/>
              </w:rPr>
              <w:t>1.50</w:t>
            </w:r>
          </w:p>
        </w:tc>
        <w:tc>
          <w:tcPr>
            <w:tcW w:w="6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1,803,702</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28,387</w:t>
            </w:r>
          </w:p>
        </w:tc>
        <w:tc>
          <w:tcPr>
            <w:tcW w:w="120" w:type="dxa"/>
            <w:vAlign w:val="bottom"/>
          </w:tcPr>
          <w:p>
            <w:pPr>
              <w:spacing w:after="0"/>
              <w:rPr>
                <w:sz w:val="17"/>
                <w:szCs w:val="17"/>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-0.90</w:t>
            </w:r>
          </w:p>
        </w:tc>
        <w:tc>
          <w:tcPr>
            <w:tcW w:w="60" w:type="dxa"/>
            <w:vAlign w:val="bottom"/>
          </w:tcPr>
          <w:p>
            <w:pPr>
              <w:spacing w:after="0"/>
              <w:rPr>
                <w:sz w:val="17"/>
                <w:szCs w:val="17"/>
                <w:color w:val="auto"/>
              </w:rPr>
            </w:pPr>
          </w:p>
        </w:tc>
        <w:tc>
          <w:tcPr>
            <w:tcW w:w="740" w:type="dxa"/>
            <w:vAlign w:val="bottom"/>
          </w:tcPr>
          <w:p>
            <w:pPr>
              <w:ind w:left="400"/>
              <w:spacing w:after="0"/>
              <w:rPr>
                <w:sz w:val="20"/>
                <w:szCs w:val="20"/>
                <w:color w:val="auto"/>
              </w:rPr>
            </w:pPr>
            <w:r>
              <w:rPr>
                <w:rFonts w:ascii="Arial" w:cs="Arial" w:eastAsia="Arial" w:hAnsi="Arial"/>
                <w:sz w:val="14"/>
                <w:szCs w:val="14"/>
                <w:color w:val="auto"/>
              </w:rPr>
              <w:t>1.57</w:t>
            </w:r>
          </w:p>
        </w:tc>
      </w:tr>
      <w:tr>
        <w:trPr>
          <w:trHeight w:val="203"/>
        </w:trPr>
        <w:tc>
          <w:tcPr>
            <w:tcW w:w="1100" w:type="dxa"/>
            <w:vAlign w:val="bottom"/>
          </w:tcPr>
          <w:p>
            <w:pPr>
              <w:ind w:left="140"/>
              <w:spacing w:after="0"/>
              <w:rPr>
                <w:sz w:val="20"/>
                <w:szCs w:val="20"/>
                <w:color w:val="auto"/>
              </w:rPr>
            </w:pPr>
            <w:r>
              <w:rPr>
                <w:rFonts w:ascii="Arial" w:cs="Arial" w:eastAsia="Arial" w:hAnsi="Arial"/>
                <w:sz w:val="14"/>
                <w:szCs w:val="14"/>
                <w:color w:val="auto"/>
                <w:w w:val="86"/>
              </w:rPr>
              <w:t>Foreign Currency</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6,439,454</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268,378</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-1.72</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4.17</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6,109,427</w:t>
            </w:r>
          </w:p>
        </w:tc>
        <w:tc>
          <w:tcPr>
            <w:tcW w:w="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153,787</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3.06</w:t>
            </w:r>
          </w:p>
        </w:tc>
        <w:tc>
          <w:tcPr>
            <w:tcW w:w="60" w:type="dxa"/>
            <w:vAlign w:val="bottom"/>
          </w:tcPr>
          <w:p>
            <w:pPr>
              <w:spacing w:after="0"/>
              <w:rPr>
                <w:sz w:val="17"/>
                <w:szCs w:val="17"/>
                <w:color w:val="auto"/>
              </w:rPr>
            </w:pPr>
          </w:p>
        </w:tc>
        <w:tc>
          <w:tcPr>
            <w:tcW w:w="740" w:type="dxa"/>
            <w:vAlign w:val="bottom"/>
          </w:tcPr>
          <w:p>
            <w:pPr>
              <w:ind w:left="400"/>
              <w:spacing w:after="0"/>
              <w:rPr>
                <w:sz w:val="20"/>
                <w:szCs w:val="20"/>
                <w:color w:val="auto"/>
              </w:rPr>
            </w:pPr>
            <w:r>
              <w:rPr>
                <w:rFonts w:ascii="Arial" w:cs="Arial" w:eastAsia="Arial" w:hAnsi="Arial"/>
                <w:sz w:val="14"/>
                <w:szCs w:val="14"/>
                <w:color w:val="auto"/>
              </w:rPr>
              <w:t>2.52</w:t>
            </w:r>
          </w:p>
        </w:tc>
        <w:tc>
          <w:tcPr>
            <w:tcW w:w="6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6,462,822</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133,927</w:t>
            </w:r>
          </w:p>
        </w:tc>
        <w:tc>
          <w:tcPr>
            <w:tcW w:w="120" w:type="dxa"/>
            <w:vAlign w:val="bottom"/>
          </w:tcPr>
          <w:p>
            <w:pPr>
              <w:spacing w:after="0"/>
              <w:rPr>
                <w:sz w:val="17"/>
                <w:szCs w:val="17"/>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-1.86</w:t>
            </w:r>
          </w:p>
        </w:tc>
        <w:tc>
          <w:tcPr>
            <w:tcW w:w="60" w:type="dxa"/>
            <w:vAlign w:val="bottom"/>
          </w:tcPr>
          <w:p>
            <w:pPr>
              <w:spacing w:after="0"/>
              <w:rPr>
                <w:sz w:val="17"/>
                <w:szCs w:val="17"/>
                <w:color w:val="auto"/>
              </w:rPr>
            </w:pPr>
          </w:p>
        </w:tc>
        <w:tc>
          <w:tcPr>
            <w:tcW w:w="740" w:type="dxa"/>
            <w:vAlign w:val="bottom"/>
          </w:tcPr>
          <w:p>
            <w:pPr>
              <w:ind w:left="400"/>
              <w:spacing w:after="0"/>
              <w:rPr>
                <w:sz w:val="20"/>
                <w:szCs w:val="20"/>
                <w:color w:val="auto"/>
              </w:rPr>
            </w:pPr>
            <w:r>
              <w:rPr>
                <w:rFonts w:ascii="Arial" w:cs="Arial" w:eastAsia="Arial" w:hAnsi="Arial"/>
                <w:sz w:val="14"/>
                <w:szCs w:val="14"/>
                <w:color w:val="auto"/>
              </w:rPr>
              <w:t>2.07</w:t>
            </w:r>
          </w:p>
        </w:tc>
      </w:tr>
      <w:tr>
        <w:trPr>
          <w:trHeight w:val="203"/>
        </w:trPr>
        <w:tc>
          <w:tcPr>
            <w:tcW w:w="1100" w:type="dxa"/>
            <w:vAlign w:val="bottom"/>
          </w:tcPr>
          <w:p>
            <w:pPr>
              <w:ind w:left="120"/>
              <w:spacing w:after="0"/>
              <w:rPr>
                <w:sz w:val="20"/>
                <w:szCs w:val="20"/>
                <w:color w:val="auto"/>
              </w:rPr>
            </w:pPr>
            <w:r>
              <w:rPr>
                <w:rFonts w:ascii="Arial" w:cs="Arial" w:eastAsia="Arial" w:hAnsi="Arial"/>
                <w:sz w:val="14"/>
                <w:szCs w:val="14"/>
                <w:color w:val="auto"/>
              </w:rPr>
              <w:t>Total</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7,846,916</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318,543</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-1.43</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4.06</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7,727,761</w:t>
            </w:r>
          </w:p>
        </w:tc>
        <w:tc>
          <w:tcPr>
            <w:tcW w:w="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178,069</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2.42</w:t>
            </w:r>
          </w:p>
        </w:tc>
        <w:tc>
          <w:tcPr>
            <w:tcW w:w="60" w:type="dxa"/>
            <w:vAlign w:val="bottom"/>
          </w:tcPr>
          <w:p>
            <w:pPr>
              <w:spacing w:after="0"/>
              <w:rPr>
                <w:sz w:val="17"/>
                <w:szCs w:val="17"/>
                <w:color w:val="auto"/>
              </w:rPr>
            </w:pPr>
          </w:p>
        </w:tc>
        <w:tc>
          <w:tcPr>
            <w:tcW w:w="740" w:type="dxa"/>
            <w:vAlign w:val="bottom"/>
          </w:tcPr>
          <w:p>
            <w:pPr>
              <w:ind w:left="400"/>
              <w:spacing w:after="0"/>
              <w:rPr>
                <w:sz w:val="20"/>
                <w:szCs w:val="20"/>
                <w:color w:val="auto"/>
              </w:rPr>
            </w:pPr>
            <w:r>
              <w:rPr>
                <w:rFonts w:ascii="Arial" w:cs="Arial" w:eastAsia="Arial" w:hAnsi="Arial"/>
                <w:sz w:val="14"/>
                <w:szCs w:val="14"/>
                <w:color w:val="auto"/>
              </w:rPr>
              <w:t>2.30</w:t>
            </w:r>
          </w:p>
        </w:tc>
        <w:tc>
          <w:tcPr>
            <w:tcW w:w="6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8,266,523</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162,314</w:t>
            </w:r>
          </w:p>
        </w:tc>
        <w:tc>
          <w:tcPr>
            <w:tcW w:w="120" w:type="dxa"/>
            <w:vAlign w:val="bottom"/>
          </w:tcPr>
          <w:p>
            <w:pPr>
              <w:spacing w:after="0"/>
              <w:rPr>
                <w:sz w:val="17"/>
                <w:szCs w:val="17"/>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-1.65</w:t>
            </w:r>
          </w:p>
        </w:tc>
        <w:tc>
          <w:tcPr>
            <w:tcW w:w="60" w:type="dxa"/>
            <w:vAlign w:val="bottom"/>
          </w:tcPr>
          <w:p>
            <w:pPr>
              <w:spacing w:after="0"/>
              <w:rPr>
                <w:sz w:val="17"/>
                <w:szCs w:val="17"/>
                <w:color w:val="auto"/>
              </w:rPr>
            </w:pPr>
          </w:p>
        </w:tc>
        <w:tc>
          <w:tcPr>
            <w:tcW w:w="740" w:type="dxa"/>
            <w:vAlign w:val="bottom"/>
          </w:tcPr>
          <w:p>
            <w:pPr>
              <w:ind w:left="400"/>
              <w:spacing w:after="0"/>
              <w:rPr>
                <w:sz w:val="20"/>
                <w:szCs w:val="20"/>
                <w:color w:val="auto"/>
              </w:rPr>
            </w:pPr>
            <w:r>
              <w:rPr>
                <w:rFonts w:ascii="Arial" w:cs="Arial" w:eastAsia="Arial" w:hAnsi="Arial"/>
                <w:sz w:val="14"/>
                <w:szCs w:val="14"/>
                <w:color w:val="auto"/>
              </w:rPr>
              <w:t>1.96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3165475</wp:posOffset>
            </wp:positionH>
            <wp:positionV relativeFrom="paragraph">
              <wp:posOffset>-6220460</wp:posOffset>
            </wp:positionV>
            <wp:extent cx="34290" cy="342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-6220460</wp:posOffset>
            </wp:positionV>
            <wp:extent cx="34290" cy="342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-6220460</wp:posOffset>
            </wp:positionV>
            <wp:extent cx="34290" cy="342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3165475</wp:posOffset>
            </wp:positionH>
            <wp:positionV relativeFrom="paragraph">
              <wp:posOffset>-5843270</wp:posOffset>
            </wp:positionV>
            <wp:extent cx="34290" cy="342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-5843270</wp:posOffset>
            </wp:positionV>
            <wp:extent cx="34290" cy="342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-5843270</wp:posOffset>
            </wp:positionV>
            <wp:extent cx="34290" cy="342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1647825</wp:posOffset>
            </wp:positionH>
            <wp:positionV relativeFrom="paragraph">
              <wp:posOffset>-5431790</wp:posOffset>
            </wp:positionV>
            <wp:extent cx="34290" cy="342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-5431790</wp:posOffset>
            </wp:positionV>
            <wp:extent cx="34290" cy="342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2659380</wp:posOffset>
            </wp:positionH>
            <wp:positionV relativeFrom="paragraph">
              <wp:posOffset>-5431790</wp:posOffset>
            </wp:positionV>
            <wp:extent cx="34290" cy="342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3165475</wp:posOffset>
            </wp:positionH>
            <wp:positionV relativeFrom="paragraph">
              <wp:posOffset>-5431790</wp:posOffset>
            </wp:positionV>
            <wp:extent cx="34290" cy="342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3671570</wp:posOffset>
            </wp:positionH>
            <wp:positionV relativeFrom="paragraph">
              <wp:posOffset>-5431790</wp:posOffset>
            </wp:positionV>
            <wp:extent cx="34290" cy="342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4177665</wp:posOffset>
            </wp:positionH>
            <wp:positionV relativeFrom="paragraph">
              <wp:posOffset>-5431790</wp:posOffset>
            </wp:positionV>
            <wp:extent cx="34290" cy="342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4683125</wp:posOffset>
            </wp:positionH>
            <wp:positionV relativeFrom="paragraph">
              <wp:posOffset>-5431790</wp:posOffset>
            </wp:positionV>
            <wp:extent cx="34290" cy="342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-5431790</wp:posOffset>
            </wp:positionV>
            <wp:extent cx="34290" cy="342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5695315</wp:posOffset>
            </wp:positionH>
            <wp:positionV relativeFrom="paragraph">
              <wp:posOffset>-5431790</wp:posOffset>
            </wp:positionV>
            <wp:extent cx="34290" cy="342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6201410</wp:posOffset>
            </wp:positionH>
            <wp:positionV relativeFrom="paragraph">
              <wp:posOffset>-5431790</wp:posOffset>
            </wp:positionV>
            <wp:extent cx="34290" cy="342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6707505</wp:posOffset>
            </wp:positionH>
            <wp:positionV relativeFrom="paragraph">
              <wp:posOffset>-5431790</wp:posOffset>
            </wp:positionV>
            <wp:extent cx="34290" cy="342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-5431790</wp:posOffset>
            </wp:positionV>
            <wp:extent cx="34290" cy="342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___________________</w:t>
      </w:r>
    </w:p>
    <w:p>
      <w:pPr>
        <w:spacing w:after="0" w:line="6" w:lineRule="exact"/>
        <w:rPr>
          <w:sz w:val="20"/>
          <w:szCs w:val="20"/>
          <w:color w:val="auto"/>
        </w:rPr>
      </w:pPr>
    </w:p>
    <w:p>
      <w:pPr>
        <w:ind w:left="580" w:hanging="572"/>
        <w:spacing w:after="0"/>
        <w:tabs>
          <w:tab w:leader="none" w:pos="5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Does not include out-of-period adjustments.</w:t>
      </w:r>
    </w:p>
    <w:p>
      <w:pPr>
        <w:ind w:left="580" w:hanging="572"/>
        <w:spacing w:after="0"/>
        <w:tabs>
          <w:tab w:leader="none" w:pos="5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the amount paid to Central Bank for deposit insurance fund.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25" w:right="25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22"/>
        </w:trPr>
        <w:tc>
          <w:tcPr>
            <w:tcW w:w="6000" w:type="dxa"/>
            <w:vAlign w:val="bottom"/>
            <w:gridSpan w:val="5"/>
          </w:tcPr>
          <w:p>
            <w:pPr>
              <w:ind w:left="180"/>
              <w:spacing w:after="0"/>
              <w:rPr>
                <w:sz w:val="20"/>
                <w:szCs w:val="20"/>
                <w:color w:val="auto"/>
              </w:rPr>
            </w:pPr>
            <w:r>
              <w:rPr>
                <w:rFonts w:ascii="Arial" w:cs="Arial" w:eastAsia="Arial" w:hAnsi="Arial"/>
                <w:sz w:val="18"/>
                <w:szCs w:val="18"/>
                <w:i w:val="1"/>
                <w:iCs w:val="1"/>
                <w:color w:val="auto"/>
                <w:w w:val="99"/>
              </w:rPr>
              <w:t>Changes in Net Interest Income and Expense: Volume and Rate Analysis</w:t>
            </w: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459"/>
        </w:trPr>
        <w:tc>
          <w:tcPr>
            <w:tcW w:w="3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6"/>
              </w:rPr>
              <w:t>2002/2001</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6"/>
              </w:rPr>
              <w:t>2003/2002</w:t>
            </w: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64"/>
        </w:trPr>
        <w:tc>
          <w:tcPr>
            <w:tcW w:w="3240" w:type="dxa"/>
            <w:vAlign w:val="bottom"/>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1380" w:type="dxa"/>
            <w:vAlign w:val="bottom"/>
            <w:tcBorders>
              <w:bottom w:val="single" w:sz="8" w:color="9A9A9A"/>
            </w:tcBorders>
            <w:gridSpan w:val="2"/>
          </w:tcPr>
          <w:p>
            <w:pPr>
              <w:spacing w:after="0"/>
              <w:rPr>
                <w:sz w:val="14"/>
                <w:szCs w:val="14"/>
                <w:color w:val="auto"/>
              </w:rPr>
            </w:pPr>
          </w:p>
        </w:tc>
        <w:tc>
          <w:tcPr>
            <w:tcW w:w="1360" w:type="dxa"/>
            <w:vAlign w:val="bottom"/>
            <w:tcBorders>
              <w:bottom w:val="single" w:sz="8" w:color="9A9A9A"/>
            </w:tcBorders>
            <w:gridSpan w:val="2"/>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gridSpan w:val="2"/>
          </w:tcPr>
          <w:p>
            <w:pPr>
              <w:spacing w:after="0"/>
              <w:rPr>
                <w:sz w:val="14"/>
                <w:szCs w:val="14"/>
                <w:color w:val="auto"/>
              </w:rPr>
            </w:pPr>
          </w:p>
        </w:tc>
        <w:tc>
          <w:tcPr>
            <w:tcW w:w="1380" w:type="dxa"/>
            <w:vAlign w:val="bottom"/>
            <w:tcBorders>
              <w:bottom w:val="single" w:sz="8" w:color="9A9A9A"/>
            </w:tcBorders>
            <w:gridSpan w:val="2"/>
          </w:tcPr>
          <w:p>
            <w:pPr>
              <w:spacing w:after="0"/>
              <w:rPr>
                <w:sz w:val="14"/>
                <w:szCs w:val="14"/>
                <w:color w:val="auto"/>
              </w:rPr>
            </w:pPr>
          </w:p>
        </w:tc>
      </w:tr>
      <w:tr>
        <w:trPr>
          <w:trHeight w:val="383"/>
        </w:trPr>
        <w:tc>
          <w:tcPr>
            <w:tcW w:w="3240" w:type="dxa"/>
            <w:vAlign w:val="bottom"/>
          </w:tcPr>
          <w:p>
            <w:pPr>
              <w:spacing w:after="0"/>
              <w:rPr>
                <w:sz w:val="24"/>
                <w:szCs w:val="24"/>
                <w:color w:val="auto"/>
              </w:rPr>
            </w:pPr>
          </w:p>
        </w:tc>
        <w:tc>
          <w:tcPr>
            <w:tcW w:w="4120" w:type="dxa"/>
            <w:vAlign w:val="bottom"/>
            <w:gridSpan w:val="6"/>
          </w:tcPr>
          <w:p>
            <w:pPr>
              <w:jc w:val="center"/>
              <w:ind w:right="60"/>
              <w:spacing w:after="0"/>
              <w:rPr>
                <w:sz w:val="20"/>
                <w:szCs w:val="20"/>
                <w:color w:val="auto"/>
              </w:rPr>
            </w:pPr>
            <w:r>
              <w:rPr>
                <w:rFonts w:ascii="Arial" w:cs="Arial" w:eastAsia="Arial" w:hAnsi="Arial"/>
                <w:sz w:val="18"/>
                <w:szCs w:val="18"/>
                <w:b w:val="1"/>
                <w:bCs w:val="1"/>
                <w:color w:val="auto"/>
                <w:w w:val="85"/>
              </w:rPr>
              <w:t>Increase/(Decrease) due to changes in :</w:t>
            </w:r>
          </w:p>
        </w:tc>
        <w:tc>
          <w:tcPr>
            <w:tcW w:w="4040" w:type="dxa"/>
            <w:vAlign w:val="bottom"/>
            <w:gridSpan w:val="5"/>
          </w:tcPr>
          <w:p>
            <w:pPr>
              <w:jc w:val="center"/>
              <w:spacing w:after="0"/>
              <w:rPr>
                <w:sz w:val="20"/>
                <w:szCs w:val="20"/>
                <w:color w:val="auto"/>
              </w:rPr>
            </w:pPr>
            <w:r>
              <w:rPr>
                <w:rFonts w:ascii="Arial" w:cs="Arial" w:eastAsia="Arial" w:hAnsi="Arial"/>
                <w:sz w:val="18"/>
                <w:szCs w:val="18"/>
                <w:b w:val="1"/>
                <w:bCs w:val="1"/>
                <w:color w:val="auto"/>
                <w:w w:val="85"/>
              </w:rPr>
              <w:t>Increase/(Decrease) due to changes in :</w:t>
            </w:r>
          </w:p>
        </w:tc>
      </w:tr>
      <w:tr>
        <w:trPr>
          <w:trHeight w:val="164"/>
        </w:trPr>
        <w:tc>
          <w:tcPr>
            <w:tcW w:w="3240" w:type="dxa"/>
            <w:vAlign w:val="bottom"/>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r>
      <w:tr>
        <w:trPr>
          <w:trHeight w:val="383"/>
        </w:trPr>
        <w:tc>
          <w:tcPr>
            <w:tcW w:w="3240" w:type="dxa"/>
            <w:vAlign w:val="bottom"/>
          </w:tcPr>
          <w:p>
            <w:pPr>
              <w:spacing w:after="0"/>
              <w:rPr>
                <w:sz w:val="24"/>
                <w:szCs w:val="24"/>
                <w:color w:val="auto"/>
              </w:rPr>
            </w:pPr>
          </w:p>
        </w:tc>
        <w:tc>
          <w:tcPr>
            <w:tcW w:w="1380" w:type="dxa"/>
            <w:vAlign w:val="bottom"/>
            <w:gridSpan w:val="2"/>
          </w:tcPr>
          <w:p>
            <w:pPr>
              <w:ind w:left="380"/>
              <w:spacing w:after="0"/>
              <w:rPr>
                <w:sz w:val="20"/>
                <w:szCs w:val="20"/>
                <w:color w:val="auto"/>
              </w:rPr>
            </w:pPr>
            <w:r>
              <w:rPr>
                <w:rFonts w:ascii="Arial" w:cs="Arial" w:eastAsia="Arial" w:hAnsi="Arial"/>
                <w:sz w:val="18"/>
                <w:szCs w:val="18"/>
                <w:b w:val="1"/>
                <w:bCs w:val="1"/>
                <w:color w:val="auto"/>
              </w:rPr>
              <w:t>Volume</w:t>
            </w:r>
          </w:p>
        </w:tc>
        <w:tc>
          <w:tcPr>
            <w:tcW w:w="13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2"/>
              </w:rPr>
              <w:t>Rate</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Net Change</w:t>
            </w:r>
          </w:p>
        </w:tc>
        <w:tc>
          <w:tcPr>
            <w:tcW w:w="13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Volume</w:t>
            </w:r>
          </w:p>
        </w:tc>
        <w:tc>
          <w:tcPr>
            <w:tcW w:w="13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7"/>
              </w:rPr>
              <w:t>Rate</w:t>
            </w:r>
          </w:p>
        </w:tc>
        <w:tc>
          <w:tcPr>
            <w:tcW w:w="1320" w:type="dxa"/>
            <w:vAlign w:val="bottom"/>
          </w:tcPr>
          <w:p>
            <w:pPr>
              <w:jc w:val="right"/>
              <w:ind w:right="132"/>
              <w:spacing w:after="0"/>
              <w:rPr>
                <w:sz w:val="20"/>
                <w:szCs w:val="20"/>
                <w:color w:val="auto"/>
              </w:rPr>
            </w:pPr>
            <w:r>
              <w:rPr>
                <w:rFonts w:ascii="Arial" w:cs="Arial" w:eastAsia="Arial" w:hAnsi="Arial"/>
                <w:sz w:val="18"/>
                <w:szCs w:val="18"/>
                <w:b w:val="1"/>
                <w:bCs w:val="1"/>
                <w:color w:val="auto"/>
              </w:rPr>
              <w:t>Net Change</w:t>
            </w:r>
          </w:p>
        </w:tc>
      </w:tr>
      <w:tr>
        <w:trPr>
          <w:trHeight w:val="164"/>
        </w:trPr>
        <w:tc>
          <w:tcPr>
            <w:tcW w:w="3240" w:type="dxa"/>
            <w:vAlign w:val="bottom"/>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r>
      <w:tr>
        <w:trPr>
          <w:trHeight w:val="383"/>
        </w:trPr>
        <w:tc>
          <w:tcPr>
            <w:tcW w:w="3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20" w:type="dxa"/>
            <w:vAlign w:val="bottom"/>
            <w:gridSpan w:val="4"/>
          </w:tcPr>
          <w:p>
            <w:pPr>
              <w:jc w:val="right"/>
              <w:ind w:right="440"/>
              <w:spacing w:after="0"/>
              <w:rPr>
                <w:sz w:val="20"/>
                <w:szCs w:val="20"/>
                <w:color w:val="auto"/>
              </w:rPr>
            </w:pPr>
            <w:r>
              <w:rPr>
                <w:rFonts w:ascii="Arial" w:cs="Arial" w:eastAsia="Arial" w:hAnsi="Arial"/>
                <w:sz w:val="18"/>
                <w:szCs w:val="18"/>
                <w:i w:val="1"/>
                <w:iCs w:val="1"/>
                <w:color w:val="auto"/>
              </w:rPr>
              <w:t>(U.S. Dollars in thousands)</w:t>
            </w: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0"/>
        </w:trPr>
        <w:tc>
          <w:tcPr>
            <w:tcW w:w="3240" w:type="dxa"/>
            <w:vAlign w:val="bottom"/>
          </w:tcPr>
          <w:p>
            <w:pPr>
              <w:ind w:left="40"/>
              <w:spacing w:after="0"/>
              <w:rPr>
                <w:sz w:val="20"/>
                <w:szCs w:val="20"/>
                <w:color w:val="auto"/>
              </w:rPr>
            </w:pPr>
            <w:r>
              <w:rPr>
                <w:rFonts w:ascii="Arial" w:cs="Arial" w:eastAsia="Arial" w:hAnsi="Arial"/>
                <w:sz w:val="18"/>
                <w:szCs w:val="18"/>
                <w:b w:val="1"/>
                <w:bCs w:val="1"/>
                <w:color w:val="auto"/>
              </w:rPr>
              <w:t>Interest Income:</w:t>
            </w:r>
          </w:p>
        </w:tc>
        <w:tc>
          <w:tcPr>
            <w:tcW w:w="1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3240" w:type="dxa"/>
            <w:vAlign w:val="bottom"/>
          </w:tcPr>
          <w:p>
            <w:pPr>
              <w:ind w:left="40"/>
              <w:spacing w:after="0"/>
              <w:rPr>
                <w:sz w:val="20"/>
                <w:szCs w:val="20"/>
                <w:color w:val="auto"/>
              </w:rPr>
            </w:pPr>
            <w:r>
              <w:rPr>
                <w:rFonts w:ascii="Arial" w:cs="Arial" w:eastAsia="Arial" w:hAnsi="Arial"/>
                <w:sz w:val="18"/>
                <w:szCs w:val="18"/>
                <w:color w:val="auto"/>
                <w:w w:val="97"/>
              </w:rPr>
              <w:t>Interest-earning deposits in Central Bank</w:t>
            </w:r>
          </w:p>
        </w:tc>
        <w:tc>
          <w:tcPr>
            <w:tcW w:w="1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3240" w:type="dxa"/>
            <w:vAlign w:val="bottom"/>
          </w:tcPr>
          <w:p>
            <w:pPr>
              <w:ind w:left="220"/>
              <w:spacing w:after="0"/>
              <w:rPr>
                <w:sz w:val="20"/>
                <w:szCs w:val="20"/>
                <w:color w:val="auto"/>
              </w:rPr>
            </w:pPr>
            <w:r>
              <w:rPr>
                <w:rFonts w:ascii="Arial" w:cs="Arial" w:eastAsia="Arial" w:hAnsi="Arial"/>
                <w:sz w:val="18"/>
                <w:szCs w:val="18"/>
                <w:color w:val="auto"/>
              </w:rPr>
              <w:t>Nuevos Soles</w:t>
            </w:r>
          </w:p>
        </w:tc>
        <w:tc>
          <w:tcPr>
            <w:tcW w:w="1380" w:type="dxa"/>
            <w:vAlign w:val="bottom"/>
            <w:gridSpan w:val="2"/>
          </w:tcPr>
          <w:p>
            <w:pPr>
              <w:ind w:left="780"/>
              <w:spacing w:after="0"/>
              <w:rPr>
                <w:sz w:val="20"/>
                <w:szCs w:val="20"/>
                <w:color w:val="auto"/>
              </w:rPr>
            </w:pPr>
            <w:r>
              <w:rPr>
                <w:rFonts w:ascii="Arial" w:cs="Arial" w:eastAsia="Arial" w:hAnsi="Arial"/>
                <w:sz w:val="18"/>
                <w:szCs w:val="18"/>
                <w:color w:val="auto"/>
                <w:w w:val="99"/>
              </w:rPr>
              <w:t>US$ —</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US$ —</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1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3240" w:type="dxa"/>
            <w:vAlign w:val="bottom"/>
          </w:tcPr>
          <w:p>
            <w:pPr>
              <w:ind w:left="220"/>
              <w:spacing w:after="0"/>
              <w:rPr>
                <w:sz w:val="20"/>
                <w:szCs w:val="20"/>
                <w:color w:val="auto"/>
              </w:rPr>
            </w:pPr>
            <w:r>
              <w:rPr>
                <w:rFonts w:ascii="Arial" w:cs="Arial" w:eastAsia="Arial" w:hAnsi="Arial"/>
                <w:sz w:val="18"/>
                <w:szCs w:val="18"/>
                <w:color w:val="auto"/>
              </w:rPr>
              <w:t>Foreign Currency</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4,890</w:t>
            </w:r>
          </w:p>
        </w:tc>
        <w:tc>
          <w:tcPr>
            <w:tcW w:w="1320" w:type="dxa"/>
            <w:vAlign w:val="bottom"/>
          </w:tcPr>
          <w:p>
            <w:pPr>
              <w:jc w:val="right"/>
              <w:spacing w:after="0"/>
              <w:rPr>
                <w:sz w:val="20"/>
                <w:szCs w:val="20"/>
                <w:color w:val="auto"/>
              </w:rPr>
            </w:pPr>
            <w:r>
              <w:rPr>
                <w:rFonts w:ascii="Arial" w:cs="Arial" w:eastAsia="Arial" w:hAnsi="Arial"/>
                <w:sz w:val="18"/>
                <w:szCs w:val="18"/>
                <w:color w:val="auto"/>
              </w:rPr>
              <w:t>(23,609)</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(18,719)</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565</w:t>
            </w:r>
          </w:p>
        </w:tc>
        <w:tc>
          <w:tcPr>
            <w:tcW w:w="60" w:type="dxa"/>
            <w:vAlign w:val="bottom"/>
          </w:tcPr>
          <w:p>
            <w:pPr>
              <w:spacing w:after="0"/>
              <w:rPr>
                <w:sz w:val="23"/>
                <w:szCs w:val="23"/>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(7,575)</w:t>
            </w:r>
          </w:p>
        </w:tc>
        <w:tc>
          <w:tcPr>
            <w:tcW w:w="1320" w:type="dxa"/>
            <w:vAlign w:val="bottom"/>
          </w:tcPr>
          <w:p>
            <w:pPr>
              <w:jc w:val="right"/>
              <w:spacing w:after="0"/>
              <w:rPr>
                <w:sz w:val="20"/>
                <w:szCs w:val="20"/>
                <w:color w:val="auto"/>
              </w:rPr>
            </w:pPr>
            <w:r>
              <w:rPr>
                <w:rFonts w:ascii="Arial" w:cs="Arial" w:eastAsia="Arial" w:hAnsi="Arial"/>
                <w:sz w:val="18"/>
                <w:szCs w:val="18"/>
                <w:color w:val="auto"/>
              </w:rPr>
              <w:t>(7,010)</w:t>
            </w:r>
          </w:p>
        </w:tc>
      </w:tr>
      <w:tr>
        <w:trPr>
          <w:trHeight w:val="270"/>
        </w:trPr>
        <w:tc>
          <w:tcPr>
            <w:tcW w:w="3240" w:type="dxa"/>
            <w:vAlign w:val="bottom"/>
          </w:tcPr>
          <w:p>
            <w:pPr>
              <w:ind w:left="200"/>
              <w:spacing w:after="0"/>
              <w:rPr>
                <w:sz w:val="20"/>
                <w:szCs w:val="20"/>
                <w:color w:val="auto"/>
              </w:rPr>
            </w:pPr>
            <w:r>
              <w:rPr>
                <w:rFonts w:ascii="Arial" w:cs="Arial" w:eastAsia="Arial" w:hAnsi="Arial"/>
                <w:sz w:val="18"/>
                <w:szCs w:val="18"/>
                <w:color w:val="auto"/>
              </w:rPr>
              <w:t>Total</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4,890</w:t>
            </w:r>
          </w:p>
        </w:tc>
        <w:tc>
          <w:tcPr>
            <w:tcW w:w="1320" w:type="dxa"/>
            <w:vAlign w:val="bottom"/>
          </w:tcPr>
          <w:p>
            <w:pPr>
              <w:jc w:val="right"/>
              <w:spacing w:after="0"/>
              <w:rPr>
                <w:sz w:val="20"/>
                <w:szCs w:val="20"/>
                <w:color w:val="auto"/>
              </w:rPr>
            </w:pPr>
            <w:r>
              <w:rPr>
                <w:rFonts w:ascii="Arial" w:cs="Arial" w:eastAsia="Arial" w:hAnsi="Arial"/>
                <w:sz w:val="18"/>
                <w:szCs w:val="18"/>
                <w:color w:val="auto"/>
              </w:rPr>
              <w:t>(23,609)</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(18,719)</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565</w:t>
            </w:r>
          </w:p>
        </w:tc>
        <w:tc>
          <w:tcPr>
            <w:tcW w:w="60" w:type="dxa"/>
            <w:vAlign w:val="bottom"/>
          </w:tcPr>
          <w:p>
            <w:pPr>
              <w:spacing w:after="0"/>
              <w:rPr>
                <w:sz w:val="23"/>
                <w:szCs w:val="23"/>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(7,569)</w:t>
            </w:r>
          </w:p>
        </w:tc>
        <w:tc>
          <w:tcPr>
            <w:tcW w:w="1320" w:type="dxa"/>
            <w:vAlign w:val="bottom"/>
          </w:tcPr>
          <w:p>
            <w:pPr>
              <w:jc w:val="right"/>
              <w:spacing w:after="0"/>
              <w:rPr>
                <w:sz w:val="20"/>
                <w:szCs w:val="20"/>
                <w:color w:val="auto"/>
              </w:rPr>
            </w:pPr>
            <w:r>
              <w:rPr>
                <w:rFonts w:ascii="Arial" w:cs="Arial" w:eastAsia="Arial" w:hAnsi="Arial"/>
                <w:sz w:val="18"/>
                <w:szCs w:val="18"/>
                <w:color w:val="auto"/>
              </w:rPr>
              <w:t>(7,004)</w:t>
            </w:r>
          </w:p>
        </w:tc>
      </w:tr>
      <w:tr>
        <w:trPr>
          <w:trHeight w:val="270"/>
        </w:trPr>
        <w:tc>
          <w:tcPr>
            <w:tcW w:w="3240" w:type="dxa"/>
            <w:vAlign w:val="bottom"/>
          </w:tcPr>
          <w:p>
            <w:pPr>
              <w:ind w:left="40"/>
              <w:spacing w:after="0"/>
              <w:rPr>
                <w:sz w:val="20"/>
                <w:szCs w:val="20"/>
                <w:color w:val="auto"/>
              </w:rPr>
            </w:pPr>
            <w:r>
              <w:rPr>
                <w:rFonts w:ascii="Arial" w:cs="Arial" w:eastAsia="Arial" w:hAnsi="Arial"/>
                <w:sz w:val="18"/>
                <w:szCs w:val="18"/>
                <w:color w:val="auto"/>
              </w:rPr>
              <w:t>Deposits in other banks</w:t>
            </w:r>
          </w:p>
        </w:tc>
        <w:tc>
          <w:tcPr>
            <w:tcW w:w="1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3240" w:type="dxa"/>
            <w:vAlign w:val="bottom"/>
          </w:tcPr>
          <w:p>
            <w:pPr>
              <w:ind w:left="220"/>
              <w:spacing w:after="0"/>
              <w:rPr>
                <w:sz w:val="20"/>
                <w:szCs w:val="20"/>
                <w:color w:val="auto"/>
              </w:rPr>
            </w:pPr>
            <w:r>
              <w:rPr>
                <w:rFonts w:ascii="Arial" w:cs="Arial" w:eastAsia="Arial" w:hAnsi="Arial"/>
                <w:sz w:val="18"/>
                <w:szCs w:val="18"/>
                <w:color w:val="auto"/>
              </w:rPr>
              <w:t>Nuevos Soles</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1,471</w:t>
            </w:r>
          </w:p>
        </w:tc>
        <w:tc>
          <w:tcPr>
            <w:tcW w:w="1320" w:type="dxa"/>
            <w:vAlign w:val="bottom"/>
          </w:tcPr>
          <w:p>
            <w:pPr>
              <w:jc w:val="right"/>
              <w:spacing w:after="0"/>
              <w:rPr>
                <w:sz w:val="20"/>
                <w:szCs w:val="20"/>
                <w:color w:val="auto"/>
              </w:rPr>
            </w:pPr>
            <w:r>
              <w:rPr>
                <w:rFonts w:ascii="Arial" w:cs="Arial" w:eastAsia="Arial" w:hAnsi="Arial"/>
                <w:sz w:val="18"/>
                <w:szCs w:val="18"/>
                <w:color w:val="auto"/>
              </w:rPr>
              <w:t>(1,131)</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340</w:t>
            </w:r>
          </w:p>
        </w:tc>
        <w:tc>
          <w:tcPr>
            <w:tcW w:w="60" w:type="dxa"/>
            <w:vAlign w:val="bottom"/>
          </w:tcPr>
          <w:p>
            <w:pPr>
              <w:spacing w:after="0"/>
              <w:rPr>
                <w:sz w:val="23"/>
                <w:szCs w:val="23"/>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(727)</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c>
          <w:tcPr>
            <w:tcW w:w="1320" w:type="dxa"/>
            <w:vAlign w:val="bottom"/>
          </w:tcPr>
          <w:p>
            <w:pPr>
              <w:jc w:val="right"/>
              <w:spacing w:after="0"/>
              <w:rPr>
                <w:sz w:val="20"/>
                <w:szCs w:val="20"/>
                <w:color w:val="auto"/>
              </w:rPr>
            </w:pPr>
            <w:r>
              <w:rPr>
                <w:rFonts w:ascii="Arial" w:cs="Arial" w:eastAsia="Arial" w:hAnsi="Arial"/>
                <w:sz w:val="18"/>
                <w:szCs w:val="18"/>
                <w:color w:val="auto"/>
              </w:rPr>
              <w:t>(816)</w:t>
            </w:r>
          </w:p>
        </w:tc>
      </w:tr>
      <w:tr>
        <w:trPr>
          <w:trHeight w:val="270"/>
        </w:trPr>
        <w:tc>
          <w:tcPr>
            <w:tcW w:w="3240" w:type="dxa"/>
            <w:vAlign w:val="bottom"/>
          </w:tcPr>
          <w:p>
            <w:pPr>
              <w:ind w:left="220"/>
              <w:spacing w:after="0"/>
              <w:rPr>
                <w:sz w:val="20"/>
                <w:szCs w:val="20"/>
                <w:color w:val="auto"/>
              </w:rPr>
            </w:pPr>
            <w:r>
              <w:rPr>
                <w:rFonts w:ascii="Arial" w:cs="Arial" w:eastAsia="Arial" w:hAnsi="Arial"/>
                <w:sz w:val="18"/>
                <w:szCs w:val="18"/>
                <w:color w:val="auto"/>
              </w:rPr>
              <w:t>Foreign Currency</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(5,373)</w:t>
            </w:r>
          </w:p>
        </w:tc>
        <w:tc>
          <w:tcPr>
            <w:tcW w:w="1320" w:type="dxa"/>
            <w:vAlign w:val="bottom"/>
          </w:tcPr>
          <w:p>
            <w:pPr>
              <w:jc w:val="right"/>
              <w:spacing w:after="0"/>
              <w:rPr>
                <w:sz w:val="20"/>
                <w:szCs w:val="20"/>
                <w:color w:val="auto"/>
              </w:rPr>
            </w:pPr>
            <w:r>
              <w:rPr>
                <w:rFonts w:ascii="Arial" w:cs="Arial" w:eastAsia="Arial" w:hAnsi="Arial"/>
                <w:sz w:val="18"/>
                <w:szCs w:val="18"/>
                <w:color w:val="auto"/>
              </w:rPr>
              <w:t>(5,253)</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(10,626)</w:t>
            </w:r>
          </w:p>
        </w:tc>
        <w:tc>
          <w:tcPr>
            <w:tcW w:w="60" w:type="dxa"/>
            <w:vAlign w:val="bottom"/>
          </w:tcPr>
          <w:p>
            <w:pPr>
              <w:spacing w:after="0"/>
              <w:rPr>
                <w:sz w:val="23"/>
                <w:szCs w:val="23"/>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(2,173)</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(7,697)</w:t>
            </w:r>
          </w:p>
        </w:tc>
        <w:tc>
          <w:tcPr>
            <w:tcW w:w="1320" w:type="dxa"/>
            <w:vAlign w:val="bottom"/>
          </w:tcPr>
          <w:p>
            <w:pPr>
              <w:jc w:val="right"/>
              <w:spacing w:after="0"/>
              <w:rPr>
                <w:sz w:val="20"/>
                <w:szCs w:val="20"/>
                <w:color w:val="auto"/>
              </w:rPr>
            </w:pPr>
            <w:r>
              <w:rPr>
                <w:rFonts w:ascii="Arial" w:cs="Arial" w:eastAsia="Arial" w:hAnsi="Arial"/>
                <w:sz w:val="18"/>
                <w:szCs w:val="18"/>
                <w:color w:val="auto"/>
              </w:rPr>
              <w:t>(9,870)</w:t>
            </w:r>
          </w:p>
        </w:tc>
      </w:tr>
      <w:tr>
        <w:trPr>
          <w:trHeight w:val="270"/>
        </w:trPr>
        <w:tc>
          <w:tcPr>
            <w:tcW w:w="3240" w:type="dxa"/>
            <w:vAlign w:val="bottom"/>
          </w:tcPr>
          <w:p>
            <w:pPr>
              <w:ind w:left="200"/>
              <w:spacing w:after="0"/>
              <w:rPr>
                <w:sz w:val="20"/>
                <w:szCs w:val="20"/>
                <w:color w:val="auto"/>
              </w:rPr>
            </w:pPr>
            <w:r>
              <w:rPr>
                <w:rFonts w:ascii="Arial" w:cs="Arial" w:eastAsia="Arial" w:hAnsi="Arial"/>
                <w:sz w:val="18"/>
                <w:szCs w:val="18"/>
                <w:color w:val="auto"/>
              </w:rPr>
              <w:t>Total</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(3,902)</w:t>
            </w:r>
          </w:p>
        </w:tc>
        <w:tc>
          <w:tcPr>
            <w:tcW w:w="1320" w:type="dxa"/>
            <w:vAlign w:val="bottom"/>
          </w:tcPr>
          <w:p>
            <w:pPr>
              <w:jc w:val="right"/>
              <w:spacing w:after="0"/>
              <w:rPr>
                <w:sz w:val="20"/>
                <w:szCs w:val="20"/>
                <w:color w:val="auto"/>
              </w:rPr>
            </w:pPr>
            <w:r>
              <w:rPr>
                <w:rFonts w:ascii="Arial" w:cs="Arial" w:eastAsia="Arial" w:hAnsi="Arial"/>
                <w:sz w:val="18"/>
                <w:szCs w:val="18"/>
                <w:color w:val="auto"/>
              </w:rPr>
              <w:t>(6,384)</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(10,286)</w:t>
            </w:r>
          </w:p>
        </w:tc>
        <w:tc>
          <w:tcPr>
            <w:tcW w:w="60" w:type="dxa"/>
            <w:vAlign w:val="bottom"/>
          </w:tcPr>
          <w:p>
            <w:pPr>
              <w:spacing w:after="0"/>
              <w:rPr>
                <w:sz w:val="23"/>
                <w:szCs w:val="23"/>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(2,900)</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(7,785)</w:t>
            </w:r>
          </w:p>
        </w:tc>
        <w:tc>
          <w:tcPr>
            <w:tcW w:w="1320" w:type="dxa"/>
            <w:vAlign w:val="bottom"/>
          </w:tcPr>
          <w:p>
            <w:pPr>
              <w:jc w:val="right"/>
              <w:spacing w:after="0"/>
              <w:rPr>
                <w:sz w:val="20"/>
                <w:szCs w:val="20"/>
                <w:color w:val="auto"/>
              </w:rPr>
            </w:pPr>
            <w:r>
              <w:rPr>
                <w:rFonts w:ascii="Arial" w:cs="Arial" w:eastAsia="Arial" w:hAnsi="Arial"/>
                <w:sz w:val="18"/>
                <w:szCs w:val="18"/>
                <w:color w:val="auto"/>
              </w:rPr>
              <w:t>(10,686)</w:t>
            </w:r>
          </w:p>
        </w:tc>
      </w:tr>
      <w:tr>
        <w:trPr>
          <w:trHeight w:val="270"/>
        </w:trPr>
        <w:tc>
          <w:tcPr>
            <w:tcW w:w="3240" w:type="dxa"/>
            <w:vAlign w:val="bottom"/>
          </w:tcPr>
          <w:p>
            <w:pPr>
              <w:ind w:left="40"/>
              <w:spacing w:after="0"/>
              <w:rPr>
                <w:sz w:val="20"/>
                <w:szCs w:val="20"/>
                <w:color w:val="auto"/>
              </w:rPr>
            </w:pPr>
            <w:r>
              <w:rPr>
                <w:rFonts w:ascii="Arial" w:cs="Arial" w:eastAsia="Arial" w:hAnsi="Arial"/>
                <w:sz w:val="18"/>
                <w:szCs w:val="18"/>
                <w:color w:val="auto"/>
              </w:rPr>
              <w:t>Investment securities</w:t>
            </w:r>
          </w:p>
        </w:tc>
        <w:tc>
          <w:tcPr>
            <w:tcW w:w="1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3240" w:type="dxa"/>
            <w:vAlign w:val="bottom"/>
          </w:tcPr>
          <w:p>
            <w:pPr>
              <w:ind w:left="220"/>
              <w:spacing w:after="0"/>
              <w:rPr>
                <w:sz w:val="20"/>
                <w:szCs w:val="20"/>
                <w:color w:val="auto"/>
              </w:rPr>
            </w:pPr>
            <w:r>
              <w:rPr>
                <w:rFonts w:ascii="Arial" w:cs="Arial" w:eastAsia="Arial" w:hAnsi="Arial"/>
                <w:sz w:val="18"/>
                <w:szCs w:val="18"/>
                <w:color w:val="auto"/>
              </w:rPr>
              <w:t>Nuevos Soles</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7,726</w:t>
            </w:r>
          </w:p>
        </w:tc>
        <w:tc>
          <w:tcPr>
            <w:tcW w:w="1320" w:type="dxa"/>
            <w:vAlign w:val="bottom"/>
          </w:tcPr>
          <w:p>
            <w:pPr>
              <w:jc w:val="right"/>
              <w:spacing w:after="0"/>
              <w:rPr>
                <w:sz w:val="20"/>
                <w:szCs w:val="20"/>
                <w:color w:val="auto"/>
              </w:rPr>
            </w:pPr>
            <w:r>
              <w:rPr>
                <w:rFonts w:ascii="Arial" w:cs="Arial" w:eastAsia="Arial" w:hAnsi="Arial"/>
                <w:sz w:val="18"/>
                <w:szCs w:val="18"/>
                <w:color w:val="auto"/>
              </w:rPr>
              <w:t>(13,676)</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(5,950)</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3,873</w:t>
            </w:r>
          </w:p>
        </w:tc>
        <w:tc>
          <w:tcPr>
            <w:tcW w:w="60" w:type="dxa"/>
            <w:vAlign w:val="bottom"/>
          </w:tcPr>
          <w:p>
            <w:pPr>
              <w:spacing w:after="0"/>
              <w:rPr>
                <w:sz w:val="23"/>
                <w:szCs w:val="23"/>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(261)</w:t>
            </w:r>
          </w:p>
        </w:tc>
        <w:tc>
          <w:tcPr>
            <w:tcW w:w="1320" w:type="dxa"/>
            <w:vAlign w:val="bottom"/>
          </w:tcPr>
          <w:p>
            <w:pPr>
              <w:jc w:val="right"/>
              <w:spacing w:after="0"/>
              <w:rPr>
                <w:sz w:val="20"/>
                <w:szCs w:val="20"/>
                <w:color w:val="auto"/>
              </w:rPr>
            </w:pPr>
            <w:r>
              <w:rPr>
                <w:rFonts w:ascii="Arial" w:cs="Arial" w:eastAsia="Arial" w:hAnsi="Arial"/>
                <w:sz w:val="18"/>
                <w:szCs w:val="18"/>
                <w:color w:val="auto"/>
              </w:rPr>
              <w:t>3,613</w:t>
            </w:r>
          </w:p>
        </w:tc>
      </w:tr>
      <w:tr>
        <w:trPr>
          <w:trHeight w:val="270"/>
        </w:trPr>
        <w:tc>
          <w:tcPr>
            <w:tcW w:w="3240" w:type="dxa"/>
            <w:vAlign w:val="bottom"/>
          </w:tcPr>
          <w:p>
            <w:pPr>
              <w:ind w:left="220"/>
              <w:spacing w:after="0"/>
              <w:rPr>
                <w:sz w:val="20"/>
                <w:szCs w:val="20"/>
                <w:color w:val="auto"/>
              </w:rPr>
            </w:pPr>
            <w:r>
              <w:rPr>
                <w:rFonts w:ascii="Arial" w:cs="Arial" w:eastAsia="Arial" w:hAnsi="Arial"/>
                <w:sz w:val="18"/>
                <w:szCs w:val="18"/>
                <w:color w:val="auto"/>
              </w:rPr>
              <w:t>Foreign Currency</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(2,068)</w:t>
            </w:r>
          </w:p>
        </w:tc>
        <w:tc>
          <w:tcPr>
            <w:tcW w:w="1320" w:type="dxa"/>
            <w:vAlign w:val="bottom"/>
          </w:tcPr>
          <w:p>
            <w:pPr>
              <w:jc w:val="right"/>
              <w:spacing w:after="0"/>
              <w:rPr>
                <w:sz w:val="20"/>
                <w:szCs w:val="20"/>
                <w:color w:val="auto"/>
              </w:rPr>
            </w:pPr>
            <w:r>
              <w:rPr>
                <w:rFonts w:ascii="Arial" w:cs="Arial" w:eastAsia="Arial" w:hAnsi="Arial"/>
                <w:sz w:val="18"/>
                <w:szCs w:val="18"/>
                <w:color w:val="auto"/>
              </w:rPr>
              <w:t>(1,865)</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(3,933)</w:t>
            </w:r>
          </w:p>
        </w:tc>
        <w:tc>
          <w:tcPr>
            <w:tcW w:w="60" w:type="dxa"/>
            <w:vAlign w:val="bottom"/>
          </w:tcPr>
          <w:p>
            <w:pPr>
              <w:spacing w:after="0"/>
              <w:rPr>
                <w:sz w:val="23"/>
                <w:szCs w:val="23"/>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31,011</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(46,892)</w:t>
            </w:r>
          </w:p>
        </w:tc>
        <w:tc>
          <w:tcPr>
            <w:tcW w:w="1320" w:type="dxa"/>
            <w:vAlign w:val="bottom"/>
          </w:tcPr>
          <w:p>
            <w:pPr>
              <w:jc w:val="right"/>
              <w:spacing w:after="0"/>
              <w:rPr>
                <w:sz w:val="20"/>
                <w:szCs w:val="20"/>
                <w:color w:val="auto"/>
              </w:rPr>
            </w:pPr>
            <w:r>
              <w:rPr>
                <w:rFonts w:ascii="Arial" w:cs="Arial" w:eastAsia="Arial" w:hAnsi="Arial"/>
                <w:sz w:val="18"/>
                <w:szCs w:val="18"/>
                <w:color w:val="auto"/>
              </w:rPr>
              <w:t>(15,882)</w:t>
            </w:r>
          </w:p>
        </w:tc>
      </w:tr>
      <w:tr>
        <w:trPr>
          <w:trHeight w:val="270"/>
        </w:trPr>
        <w:tc>
          <w:tcPr>
            <w:tcW w:w="3240" w:type="dxa"/>
            <w:vAlign w:val="bottom"/>
          </w:tcPr>
          <w:p>
            <w:pPr>
              <w:ind w:left="200"/>
              <w:spacing w:after="0"/>
              <w:rPr>
                <w:sz w:val="20"/>
                <w:szCs w:val="20"/>
                <w:color w:val="auto"/>
              </w:rPr>
            </w:pPr>
            <w:r>
              <w:rPr>
                <w:rFonts w:ascii="Arial" w:cs="Arial" w:eastAsia="Arial" w:hAnsi="Arial"/>
                <w:sz w:val="18"/>
                <w:szCs w:val="18"/>
                <w:color w:val="auto"/>
              </w:rPr>
              <w:t>Total</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5,658</w:t>
            </w:r>
          </w:p>
        </w:tc>
        <w:tc>
          <w:tcPr>
            <w:tcW w:w="1320" w:type="dxa"/>
            <w:vAlign w:val="bottom"/>
          </w:tcPr>
          <w:p>
            <w:pPr>
              <w:jc w:val="right"/>
              <w:spacing w:after="0"/>
              <w:rPr>
                <w:sz w:val="20"/>
                <w:szCs w:val="20"/>
                <w:color w:val="auto"/>
              </w:rPr>
            </w:pPr>
            <w:r>
              <w:rPr>
                <w:rFonts w:ascii="Arial" w:cs="Arial" w:eastAsia="Arial" w:hAnsi="Arial"/>
                <w:sz w:val="18"/>
                <w:szCs w:val="18"/>
                <w:color w:val="auto"/>
              </w:rPr>
              <w:t>(15,541)</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(9,883)</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34,884</w:t>
            </w:r>
          </w:p>
        </w:tc>
        <w:tc>
          <w:tcPr>
            <w:tcW w:w="60" w:type="dxa"/>
            <w:vAlign w:val="bottom"/>
          </w:tcPr>
          <w:p>
            <w:pPr>
              <w:spacing w:after="0"/>
              <w:rPr>
                <w:sz w:val="23"/>
                <w:szCs w:val="23"/>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(47,153)</w:t>
            </w:r>
          </w:p>
        </w:tc>
        <w:tc>
          <w:tcPr>
            <w:tcW w:w="1320" w:type="dxa"/>
            <w:vAlign w:val="bottom"/>
          </w:tcPr>
          <w:p>
            <w:pPr>
              <w:jc w:val="right"/>
              <w:spacing w:after="0"/>
              <w:rPr>
                <w:sz w:val="20"/>
                <w:szCs w:val="20"/>
                <w:color w:val="auto"/>
              </w:rPr>
            </w:pPr>
            <w:r>
              <w:rPr>
                <w:rFonts w:ascii="Arial" w:cs="Arial" w:eastAsia="Arial" w:hAnsi="Arial"/>
                <w:sz w:val="18"/>
                <w:szCs w:val="18"/>
                <w:color w:val="auto"/>
              </w:rPr>
              <w:t>(12,269)</w:t>
            </w:r>
          </w:p>
        </w:tc>
      </w:tr>
      <w:tr>
        <w:trPr>
          <w:trHeight w:val="270"/>
        </w:trPr>
        <w:tc>
          <w:tcPr>
            <w:tcW w:w="3240" w:type="dxa"/>
            <w:vAlign w:val="bottom"/>
          </w:tcPr>
          <w:p>
            <w:pPr>
              <w:ind w:left="40"/>
              <w:spacing w:after="0"/>
              <w:rPr>
                <w:sz w:val="20"/>
                <w:szCs w:val="20"/>
                <w:color w:val="auto"/>
              </w:rPr>
            </w:pPr>
            <w:r>
              <w:rPr>
                <w:rFonts w:ascii="Arial" w:cs="Arial" w:eastAsia="Arial" w:hAnsi="Arial"/>
                <w:sz w:val="18"/>
                <w:szCs w:val="18"/>
                <w:color w:val="auto"/>
              </w:rPr>
              <w:t>Total loans (1)</w:t>
            </w:r>
          </w:p>
        </w:tc>
        <w:tc>
          <w:tcPr>
            <w:tcW w:w="1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3240" w:type="dxa"/>
            <w:vAlign w:val="bottom"/>
          </w:tcPr>
          <w:p>
            <w:pPr>
              <w:ind w:left="220"/>
              <w:spacing w:after="0"/>
              <w:rPr>
                <w:sz w:val="20"/>
                <w:szCs w:val="20"/>
                <w:color w:val="auto"/>
              </w:rPr>
            </w:pPr>
            <w:r>
              <w:rPr>
                <w:rFonts w:ascii="Arial" w:cs="Arial" w:eastAsia="Arial" w:hAnsi="Arial"/>
                <w:sz w:val="18"/>
                <w:szCs w:val="18"/>
                <w:color w:val="auto"/>
              </w:rPr>
              <w:t>Nuevos Soles</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1320" w:type="dxa"/>
            <w:vAlign w:val="bottom"/>
          </w:tcPr>
          <w:p>
            <w:pPr>
              <w:jc w:val="right"/>
              <w:spacing w:after="0"/>
              <w:rPr>
                <w:sz w:val="20"/>
                <w:szCs w:val="20"/>
                <w:color w:val="auto"/>
              </w:rPr>
            </w:pPr>
            <w:r>
              <w:rPr>
                <w:rFonts w:ascii="Arial" w:cs="Arial" w:eastAsia="Arial" w:hAnsi="Arial"/>
                <w:sz w:val="18"/>
                <w:szCs w:val="18"/>
                <w:color w:val="auto"/>
              </w:rPr>
              <w:t>(22,958)</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(22,928)</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27,087</w:t>
            </w:r>
          </w:p>
        </w:tc>
        <w:tc>
          <w:tcPr>
            <w:tcW w:w="60" w:type="dxa"/>
            <w:vAlign w:val="bottom"/>
          </w:tcPr>
          <w:p>
            <w:pPr>
              <w:spacing w:after="0"/>
              <w:rPr>
                <w:sz w:val="23"/>
                <w:szCs w:val="23"/>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(13,823)</w:t>
            </w:r>
          </w:p>
        </w:tc>
        <w:tc>
          <w:tcPr>
            <w:tcW w:w="1320" w:type="dxa"/>
            <w:vAlign w:val="bottom"/>
          </w:tcPr>
          <w:p>
            <w:pPr>
              <w:jc w:val="right"/>
              <w:spacing w:after="0"/>
              <w:rPr>
                <w:sz w:val="20"/>
                <w:szCs w:val="20"/>
                <w:color w:val="auto"/>
              </w:rPr>
            </w:pPr>
            <w:r>
              <w:rPr>
                <w:rFonts w:ascii="Arial" w:cs="Arial" w:eastAsia="Arial" w:hAnsi="Arial"/>
                <w:sz w:val="18"/>
                <w:szCs w:val="18"/>
                <w:color w:val="auto"/>
              </w:rPr>
              <w:t>13,265</w:t>
            </w:r>
          </w:p>
        </w:tc>
      </w:tr>
      <w:tr>
        <w:trPr>
          <w:trHeight w:val="270"/>
        </w:trPr>
        <w:tc>
          <w:tcPr>
            <w:tcW w:w="3240" w:type="dxa"/>
            <w:vAlign w:val="bottom"/>
          </w:tcPr>
          <w:p>
            <w:pPr>
              <w:ind w:left="220"/>
              <w:spacing w:after="0"/>
              <w:rPr>
                <w:sz w:val="20"/>
                <w:szCs w:val="20"/>
                <w:color w:val="auto"/>
              </w:rPr>
            </w:pPr>
            <w:r>
              <w:rPr>
                <w:rFonts w:ascii="Arial" w:cs="Arial" w:eastAsia="Arial" w:hAnsi="Arial"/>
                <w:sz w:val="18"/>
                <w:szCs w:val="18"/>
                <w:color w:val="auto"/>
              </w:rPr>
              <w:t>Foreign Currency</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(23,924)</w:t>
            </w:r>
          </w:p>
        </w:tc>
        <w:tc>
          <w:tcPr>
            <w:tcW w:w="1320" w:type="dxa"/>
            <w:vAlign w:val="bottom"/>
          </w:tcPr>
          <w:p>
            <w:pPr>
              <w:jc w:val="right"/>
              <w:spacing w:after="0"/>
              <w:rPr>
                <w:sz w:val="20"/>
                <w:szCs w:val="20"/>
                <w:color w:val="auto"/>
              </w:rPr>
            </w:pPr>
            <w:r>
              <w:rPr>
                <w:rFonts w:ascii="Arial" w:cs="Arial" w:eastAsia="Arial" w:hAnsi="Arial"/>
                <w:sz w:val="18"/>
                <w:szCs w:val="18"/>
                <w:color w:val="auto"/>
              </w:rPr>
              <w:t>(77,062)</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(100,986)</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13,609</w:t>
            </w:r>
          </w:p>
        </w:tc>
        <w:tc>
          <w:tcPr>
            <w:tcW w:w="60" w:type="dxa"/>
            <w:vAlign w:val="bottom"/>
          </w:tcPr>
          <w:p>
            <w:pPr>
              <w:spacing w:after="0"/>
              <w:rPr>
                <w:sz w:val="23"/>
                <w:szCs w:val="23"/>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10,612</w:t>
            </w:r>
          </w:p>
        </w:tc>
        <w:tc>
          <w:tcPr>
            <w:tcW w:w="1320" w:type="dxa"/>
            <w:vAlign w:val="bottom"/>
          </w:tcPr>
          <w:p>
            <w:pPr>
              <w:jc w:val="right"/>
              <w:spacing w:after="0"/>
              <w:rPr>
                <w:sz w:val="20"/>
                <w:szCs w:val="20"/>
                <w:color w:val="auto"/>
              </w:rPr>
            </w:pPr>
            <w:r>
              <w:rPr>
                <w:rFonts w:ascii="Arial" w:cs="Arial" w:eastAsia="Arial" w:hAnsi="Arial"/>
                <w:sz w:val="18"/>
                <w:szCs w:val="18"/>
                <w:color w:val="auto"/>
              </w:rPr>
              <w:t>24,220</w:t>
            </w:r>
          </w:p>
        </w:tc>
      </w:tr>
      <w:tr>
        <w:trPr>
          <w:trHeight w:val="270"/>
        </w:trPr>
        <w:tc>
          <w:tcPr>
            <w:tcW w:w="3240" w:type="dxa"/>
            <w:vAlign w:val="bottom"/>
          </w:tcPr>
          <w:p>
            <w:pPr>
              <w:ind w:left="200"/>
              <w:spacing w:after="0"/>
              <w:rPr>
                <w:sz w:val="20"/>
                <w:szCs w:val="20"/>
                <w:color w:val="auto"/>
              </w:rPr>
            </w:pPr>
            <w:r>
              <w:rPr>
                <w:rFonts w:ascii="Arial" w:cs="Arial" w:eastAsia="Arial" w:hAnsi="Arial"/>
                <w:sz w:val="18"/>
                <w:szCs w:val="18"/>
                <w:color w:val="auto"/>
              </w:rPr>
              <w:t>Total</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(23,894)</w:t>
            </w:r>
          </w:p>
        </w:tc>
        <w:tc>
          <w:tcPr>
            <w:tcW w:w="1320" w:type="dxa"/>
            <w:vAlign w:val="bottom"/>
          </w:tcPr>
          <w:p>
            <w:pPr>
              <w:jc w:val="right"/>
              <w:spacing w:after="0"/>
              <w:rPr>
                <w:sz w:val="20"/>
                <w:szCs w:val="20"/>
                <w:color w:val="auto"/>
              </w:rPr>
            </w:pPr>
            <w:r>
              <w:rPr>
                <w:rFonts w:ascii="Arial" w:cs="Arial" w:eastAsia="Arial" w:hAnsi="Arial"/>
                <w:sz w:val="18"/>
                <w:szCs w:val="18"/>
                <w:color w:val="auto"/>
              </w:rPr>
              <w:t>(100,020)</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(123,914)</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40,696</w:t>
            </w:r>
          </w:p>
        </w:tc>
        <w:tc>
          <w:tcPr>
            <w:tcW w:w="60" w:type="dxa"/>
            <w:vAlign w:val="bottom"/>
          </w:tcPr>
          <w:p>
            <w:pPr>
              <w:spacing w:after="0"/>
              <w:rPr>
                <w:sz w:val="23"/>
                <w:szCs w:val="23"/>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(3,211)</w:t>
            </w:r>
          </w:p>
        </w:tc>
        <w:tc>
          <w:tcPr>
            <w:tcW w:w="1320" w:type="dxa"/>
            <w:vAlign w:val="bottom"/>
          </w:tcPr>
          <w:p>
            <w:pPr>
              <w:jc w:val="right"/>
              <w:spacing w:after="0"/>
              <w:rPr>
                <w:sz w:val="20"/>
                <w:szCs w:val="20"/>
                <w:color w:val="auto"/>
              </w:rPr>
            </w:pPr>
            <w:r>
              <w:rPr>
                <w:rFonts w:ascii="Arial" w:cs="Arial" w:eastAsia="Arial" w:hAnsi="Arial"/>
                <w:sz w:val="18"/>
                <w:szCs w:val="18"/>
                <w:color w:val="auto"/>
              </w:rPr>
              <w:t>37,485</w:t>
            </w:r>
          </w:p>
        </w:tc>
      </w:tr>
      <w:tr>
        <w:trPr>
          <w:trHeight w:val="270"/>
        </w:trPr>
        <w:tc>
          <w:tcPr>
            <w:tcW w:w="3240" w:type="dxa"/>
            <w:vAlign w:val="bottom"/>
          </w:tcPr>
          <w:p>
            <w:pPr>
              <w:ind w:left="40"/>
              <w:spacing w:after="0"/>
              <w:rPr>
                <w:sz w:val="20"/>
                <w:szCs w:val="20"/>
                <w:color w:val="auto"/>
              </w:rPr>
            </w:pPr>
            <w:r>
              <w:rPr>
                <w:rFonts w:ascii="Arial" w:cs="Arial" w:eastAsia="Arial" w:hAnsi="Arial"/>
                <w:sz w:val="18"/>
                <w:szCs w:val="18"/>
                <w:color w:val="auto"/>
              </w:rPr>
              <w:t>Total dividend-earning assets</w:t>
            </w:r>
          </w:p>
        </w:tc>
        <w:tc>
          <w:tcPr>
            <w:tcW w:w="1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3240" w:type="dxa"/>
            <w:vAlign w:val="bottom"/>
          </w:tcPr>
          <w:p>
            <w:pPr>
              <w:ind w:left="220"/>
              <w:spacing w:after="0"/>
              <w:rPr>
                <w:sz w:val="20"/>
                <w:szCs w:val="20"/>
                <w:color w:val="auto"/>
              </w:rPr>
            </w:pPr>
            <w:r>
              <w:rPr>
                <w:rFonts w:ascii="Arial" w:cs="Arial" w:eastAsia="Arial" w:hAnsi="Arial"/>
                <w:sz w:val="18"/>
                <w:szCs w:val="18"/>
                <w:color w:val="auto"/>
              </w:rPr>
              <w:t>Nuevos Soles</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(175)</w:t>
            </w:r>
          </w:p>
        </w:tc>
        <w:tc>
          <w:tcPr>
            <w:tcW w:w="1320" w:type="dxa"/>
            <w:vAlign w:val="bottom"/>
          </w:tcPr>
          <w:p>
            <w:pPr>
              <w:jc w:val="right"/>
              <w:spacing w:after="0"/>
              <w:rPr>
                <w:sz w:val="20"/>
                <w:szCs w:val="20"/>
                <w:color w:val="auto"/>
              </w:rPr>
            </w:pPr>
            <w:r>
              <w:rPr>
                <w:rFonts w:ascii="Arial" w:cs="Arial" w:eastAsia="Arial" w:hAnsi="Arial"/>
                <w:sz w:val="18"/>
                <w:szCs w:val="18"/>
                <w:color w:val="auto"/>
              </w:rPr>
              <w:t>(492)</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(667)</w:t>
            </w:r>
          </w:p>
        </w:tc>
        <w:tc>
          <w:tcPr>
            <w:tcW w:w="60" w:type="dxa"/>
            <w:vAlign w:val="bottom"/>
          </w:tcPr>
          <w:p>
            <w:pPr>
              <w:spacing w:after="0"/>
              <w:rPr>
                <w:sz w:val="23"/>
                <w:szCs w:val="23"/>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(262)</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153</w:t>
            </w:r>
          </w:p>
        </w:tc>
        <w:tc>
          <w:tcPr>
            <w:tcW w:w="13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70"/>
        </w:trPr>
        <w:tc>
          <w:tcPr>
            <w:tcW w:w="3240" w:type="dxa"/>
            <w:vAlign w:val="bottom"/>
          </w:tcPr>
          <w:p>
            <w:pPr>
              <w:ind w:left="220"/>
              <w:spacing w:after="0"/>
              <w:rPr>
                <w:sz w:val="20"/>
                <w:szCs w:val="20"/>
                <w:color w:val="auto"/>
              </w:rPr>
            </w:pPr>
            <w:r>
              <w:rPr>
                <w:rFonts w:ascii="Arial" w:cs="Arial" w:eastAsia="Arial" w:hAnsi="Arial"/>
                <w:sz w:val="18"/>
                <w:szCs w:val="18"/>
                <w:color w:val="auto"/>
              </w:rPr>
              <w:t>Foreign Currency</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555</w:t>
            </w:r>
          </w:p>
        </w:tc>
        <w:tc>
          <w:tcPr>
            <w:tcW w:w="132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574</w:t>
            </w:r>
          </w:p>
        </w:tc>
        <w:tc>
          <w:tcPr>
            <w:tcW w:w="60" w:type="dxa"/>
            <w:vAlign w:val="bottom"/>
          </w:tcPr>
          <w:p>
            <w:pPr>
              <w:spacing w:after="0"/>
              <w:rPr>
                <w:sz w:val="23"/>
                <w:szCs w:val="23"/>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(951)</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9,945</w:t>
            </w:r>
          </w:p>
        </w:tc>
        <w:tc>
          <w:tcPr>
            <w:tcW w:w="1320" w:type="dxa"/>
            <w:vAlign w:val="bottom"/>
          </w:tcPr>
          <w:p>
            <w:pPr>
              <w:jc w:val="right"/>
              <w:spacing w:after="0"/>
              <w:rPr>
                <w:sz w:val="20"/>
                <w:szCs w:val="20"/>
                <w:color w:val="auto"/>
              </w:rPr>
            </w:pPr>
            <w:r>
              <w:rPr>
                <w:rFonts w:ascii="Arial" w:cs="Arial" w:eastAsia="Arial" w:hAnsi="Arial"/>
                <w:sz w:val="18"/>
                <w:szCs w:val="18"/>
                <w:color w:val="auto"/>
              </w:rPr>
              <w:t>8,994</w:t>
            </w:r>
          </w:p>
        </w:tc>
      </w:tr>
      <w:tr>
        <w:trPr>
          <w:trHeight w:val="270"/>
        </w:trPr>
        <w:tc>
          <w:tcPr>
            <w:tcW w:w="3240" w:type="dxa"/>
            <w:vAlign w:val="bottom"/>
          </w:tcPr>
          <w:p>
            <w:pPr>
              <w:ind w:left="200"/>
              <w:spacing w:after="0"/>
              <w:rPr>
                <w:sz w:val="20"/>
                <w:szCs w:val="20"/>
                <w:color w:val="auto"/>
              </w:rPr>
            </w:pPr>
            <w:r>
              <w:rPr>
                <w:rFonts w:ascii="Arial" w:cs="Arial" w:eastAsia="Arial" w:hAnsi="Arial"/>
                <w:sz w:val="18"/>
                <w:szCs w:val="18"/>
                <w:color w:val="auto"/>
              </w:rPr>
              <w:t>Total</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380</w:t>
            </w:r>
          </w:p>
        </w:tc>
        <w:tc>
          <w:tcPr>
            <w:tcW w:w="1320" w:type="dxa"/>
            <w:vAlign w:val="bottom"/>
          </w:tcPr>
          <w:p>
            <w:pPr>
              <w:jc w:val="right"/>
              <w:spacing w:after="0"/>
              <w:rPr>
                <w:sz w:val="20"/>
                <w:szCs w:val="20"/>
                <w:color w:val="auto"/>
              </w:rPr>
            </w:pPr>
            <w:r>
              <w:rPr>
                <w:rFonts w:ascii="Arial" w:cs="Arial" w:eastAsia="Arial" w:hAnsi="Arial"/>
                <w:sz w:val="18"/>
                <w:szCs w:val="18"/>
                <w:color w:val="auto"/>
              </w:rPr>
              <w:t>(473)</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(93)</w:t>
            </w:r>
          </w:p>
        </w:tc>
        <w:tc>
          <w:tcPr>
            <w:tcW w:w="60" w:type="dxa"/>
            <w:vAlign w:val="bottom"/>
          </w:tcPr>
          <w:p>
            <w:pPr>
              <w:spacing w:after="0"/>
              <w:rPr>
                <w:sz w:val="23"/>
                <w:szCs w:val="23"/>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(1,213)</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10,098</w:t>
            </w:r>
          </w:p>
        </w:tc>
        <w:tc>
          <w:tcPr>
            <w:tcW w:w="1320" w:type="dxa"/>
            <w:vAlign w:val="bottom"/>
          </w:tcPr>
          <w:p>
            <w:pPr>
              <w:jc w:val="right"/>
              <w:spacing w:after="0"/>
              <w:rPr>
                <w:sz w:val="20"/>
                <w:szCs w:val="20"/>
                <w:color w:val="auto"/>
              </w:rPr>
            </w:pPr>
            <w:r>
              <w:rPr>
                <w:rFonts w:ascii="Arial" w:cs="Arial" w:eastAsia="Arial" w:hAnsi="Arial"/>
                <w:sz w:val="18"/>
                <w:szCs w:val="18"/>
                <w:color w:val="auto"/>
              </w:rPr>
              <w:t>8,885</w:t>
            </w:r>
          </w:p>
        </w:tc>
      </w:tr>
      <w:tr>
        <w:trPr>
          <w:trHeight w:val="270"/>
        </w:trPr>
        <w:tc>
          <w:tcPr>
            <w:tcW w:w="3240" w:type="dxa"/>
            <w:vAlign w:val="bottom"/>
          </w:tcPr>
          <w:p>
            <w:pPr>
              <w:ind w:left="40"/>
              <w:spacing w:after="0"/>
              <w:rPr>
                <w:sz w:val="20"/>
                <w:szCs w:val="20"/>
                <w:color w:val="auto"/>
              </w:rPr>
            </w:pPr>
            <w:r>
              <w:rPr>
                <w:rFonts w:ascii="Arial" w:cs="Arial" w:eastAsia="Arial" w:hAnsi="Arial"/>
                <w:sz w:val="18"/>
                <w:szCs w:val="18"/>
                <w:color w:val="auto"/>
              </w:rPr>
              <w:t>Total interest-earning assets</w:t>
            </w:r>
          </w:p>
        </w:tc>
        <w:tc>
          <w:tcPr>
            <w:tcW w:w="1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3240" w:type="dxa"/>
            <w:vAlign w:val="bottom"/>
          </w:tcPr>
          <w:p>
            <w:pPr>
              <w:ind w:left="220"/>
              <w:spacing w:after="0"/>
              <w:rPr>
                <w:sz w:val="20"/>
                <w:szCs w:val="20"/>
                <w:color w:val="auto"/>
              </w:rPr>
            </w:pPr>
            <w:r>
              <w:rPr>
                <w:rFonts w:ascii="Arial" w:cs="Arial" w:eastAsia="Arial" w:hAnsi="Arial"/>
                <w:sz w:val="18"/>
                <w:szCs w:val="18"/>
                <w:color w:val="auto"/>
              </w:rPr>
              <w:t>Nuevos Soles</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10,165</w:t>
            </w:r>
          </w:p>
        </w:tc>
        <w:tc>
          <w:tcPr>
            <w:tcW w:w="1320" w:type="dxa"/>
            <w:vAlign w:val="bottom"/>
          </w:tcPr>
          <w:p>
            <w:pPr>
              <w:jc w:val="right"/>
              <w:spacing w:after="0"/>
              <w:rPr>
                <w:sz w:val="20"/>
                <w:szCs w:val="20"/>
                <w:color w:val="auto"/>
              </w:rPr>
            </w:pPr>
            <w:r>
              <w:rPr>
                <w:rFonts w:ascii="Arial" w:cs="Arial" w:eastAsia="Arial" w:hAnsi="Arial"/>
                <w:sz w:val="18"/>
                <w:szCs w:val="18"/>
                <w:color w:val="auto"/>
              </w:rPr>
              <w:t>(39,371)</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(29,206)</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20,428</w:t>
            </w:r>
          </w:p>
        </w:tc>
        <w:tc>
          <w:tcPr>
            <w:tcW w:w="60" w:type="dxa"/>
            <w:vAlign w:val="bottom"/>
          </w:tcPr>
          <w:p>
            <w:pPr>
              <w:spacing w:after="0"/>
              <w:rPr>
                <w:sz w:val="23"/>
                <w:szCs w:val="23"/>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(4,470)</w:t>
            </w:r>
          </w:p>
        </w:tc>
        <w:tc>
          <w:tcPr>
            <w:tcW w:w="1320" w:type="dxa"/>
            <w:vAlign w:val="bottom"/>
          </w:tcPr>
          <w:p>
            <w:pPr>
              <w:jc w:val="right"/>
              <w:spacing w:after="0"/>
              <w:rPr>
                <w:sz w:val="20"/>
                <w:szCs w:val="20"/>
                <w:color w:val="auto"/>
              </w:rPr>
            </w:pPr>
            <w:r>
              <w:rPr>
                <w:rFonts w:ascii="Arial" w:cs="Arial" w:eastAsia="Arial" w:hAnsi="Arial"/>
                <w:sz w:val="18"/>
                <w:szCs w:val="18"/>
                <w:color w:val="auto"/>
              </w:rPr>
              <w:t>15,958</w:t>
            </w:r>
          </w:p>
        </w:tc>
      </w:tr>
      <w:tr>
        <w:trPr>
          <w:trHeight w:val="270"/>
        </w:trPr>
        <w:tc>
          <w:tcPr>
            <w:tcW w:w="3240" w:type="dxa"/>
            <w:vAlign w:val="bottom"/>
          </w:tcPr>
          <w:p>
            <w:pPr>
              <w:ind w:left="220"/>
              <w:spacing w:after="0"/>
              <w:rPr>
                <w:sz w:val="20"/>
                <w:szCs w:val="20"/>
                <w:color w:val="auto"/>
              </w:rPr>
            </w:pPr>
            <w:r>
              <w:rPr>
                <w:rFonts w:ascii="Arial" w:cs="Arial" w:eastAsia="Arial" w:hAnsi="Arial"/>
                <w:sz w:val="18"/>
                <w:szCs w:val="18"/>
                <w:color w:val="auto"/>
              </w:rPr>
              <w:t>Foreign Currency</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(17,953)</w:t>
            </w:r>
          </w:p>
        </w:tc>
        <w:tc>
          <w:tcPr>
            <w:tcW w:w="1320" w:type="dxa"/>
            <w:vAlign w:val="bottom"/>
          </w:tcPr>
          <w:p>
            <w:pPr>
              <w:jc w:val="right"/>
              <w:spacing w:after="0"/>
              <w:rPr>
                <w:sz w:val="20"/>
                <w:szCs w:val="20"/>
                <w:color w:val="auto"/>
              </w:rPr>
            </w:pPr>
            <w:r>
              <w:rPr>
                <w:rFonts w:ascii="Arial" w:cs="Arial" w:eastAsia="Arial" w:hAnsi="Arial"/>
                <w:sz w:val="18"/>
                <w:szCs w:val="18"/>
                <w:color w:val="auto"/>
              </w:rPr>
              <w:t>(115,740)</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(133,693)</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25,495</w:t>
            </w:r>
          </w:p>
        </w:tc>
        <w:tc>
          <w:tcPr>
            <w:tcW w:w="60" w:type="dxa"/>
            <w:vAlign w:val="bottom"/>
          </w:tcPr>
          <w:p>
            <w:pPr>
              <w:spacing w:after="0"/>
              <w:rPr>
                <w:sz w:val="23"/>
                <w:szCs w:val="23"/>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(25,042)</w:t>
            </w:r>
          </w:p>
        </w:tc>
        <w:tc>
          <w:tcPr>
            <w:tcW w:w="1320" w:type="dxa"/>
            <w:vAlign w:val="bottom"/>
          </w:tcPr>
          <w:p>
            <w:pPr>
              <w:jc w:val="right"/>
              <w:spacing w:after="0"/>
              <w:rPr>
                <w:sz w:val="20"/>
                <w:szCs w:val="20"/>
                <w:color w:val="auto"/>
              </w:rPr>
            </w:pPr>
            <w:r>
              <w:rPr>
                <w:rFonts w:ascii="Arial" w:cs="Arial" w:eastAsia="Arial" w:hAnsi="Arial"/>
                <w:sz w:val="18"/>
                <w:szCs w:val="18"/>
                <w:color w:val="auto"/>
              </w:rPr>
              <w:t>453</w:t>
            </w:r>
          </w:p>
        </w:tc>
      </w:tr>
      <w:tr>
        <w:trPr>
          <w:trHeight w:val="270"/>
        </w:trPr>
        <w:tc>
          <w:tcPr>
            <w:tcW w:w="3240" w:type="dxa"/>
            <w:vAlign w:val="bottom"/>
          </w:tcPr>
          <w:p>
            <w:pPr>
              <w:ind w:left="200"/>
              <w:spacing w:after="0"/>
              <w:rPr>
                <w:sz w:val="20"/>
                <w:szCs w:val="20"/>
                <w:color w:val="auto"/>
              </w:rPr>
            </w:pPr>
            <w:r>
              <w:rPr>
                <w:rFonts w:ascii="Arial" w:cs="Arial" w:eastAsia="Arial" w:hAnsi="Arial"/>
                <w:sz w:val="18"/>
                <w:szCs w:val="18"/>
                <w:color w:val="auto"/>
              </w:rPr>
              <w:t>Total</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(7,788)</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(155,111)</w:t>
            </w:r>
          </w:p>
        </w:tc>
        <w:tc>
          <w:tcPr>
            <w:tcW w:w="1300" w:type="dxa"/>
            <w:vAlign w:val="bottom"/>
          </w:tcPr>
          <w:p>
            <w:pPr>
              <w:jc w:val="right"/>
              <w:spacing w:after="0"/>
              <w:rPr>
                <w:sz w:val="20"/>
                <w:szCs w:val="20"/>
                <w:color w:val="auto"/>
              </w:rPr>
            </w:pPr>
            <w:r>
              <w:rPr>
                <w:rFonts w:ascii="Arial" w:cs="Arial" w:eastAsia="Arial" w:hAnsi="Arial"/>
                <w:sz w:val="18"/>
                <w:szCs w:val="18"/>
                <w:color w:val="auto"/>
              </w:rPr>
              <w:t>(162,899)</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45,923</w:t>
            </w:r>
          </w:p>
        </w:tc>
        <w:tc>
          <w:tcPr>
            <w:tcW w:w="60" w:type="dxa"/>
            <w:vAlign w:val="bottom"/>
          </w:tcPr>
          <w:p>
            <w:pPr>
              <w:spacing w:after="0"/>
              <w:rPr>
                <w:sz w:val="23"/>
                <w:szCs w:val="23"/>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(29,512)</w:t>
            </w:r>
          </w:p>
        </w:tc>
        <w:tc>
          <w:tcPr>
            <w:tcW w:w="1320" w:type="dxa"/>
            <w:vAlign w:val="bottom"/>
          </w:tcPr>
          <w:p>
            <w:pPr>
              <w:jc w:val="right"/>
              <w:spacing w:after="0"/>
              <w:rPr>
                <w:sz w:val="20"/>
                <w:szCs w:val="20"/>
                <w:color w:val="auto"/>
              </w:rPr>
            </w:pPr>
            <w:r>
              <w:rPr>
                <w:rFonts w:ascii="Arial" w:cs="Arial" w:eastAsia="Arial" w:hAnsi="Arial"/>
                <w:sz w:val="18"/>
                <w:szCs w:val="18"/>
                <w:color w:val="auto"/>
              </w:rPr>
              <w:t>16,411</w:t>
            </w:r>
          </w:p>
        </w:tc>
      </w:tr>
      <w:tr>
        <w:trPr>
          <w:trHeight w:val="270"/>
        </w:trPr>
        <w:tc>
          <w:tcPr>
            <w:tcW w:w="3240" w:type="dxa"/>
            <w:vAlign w:val="bottom"/>
          </w:tcPr>
          <w:p>
            <w:pPr>
              <w:ind w:left="40"/>
              <w:spacing w:after="0"/>
              <w:rPr>
                <w:sz w:val="20"/>
                <w:szCs w:val="20"/>
                <w:color w:val="auto"/>
              </w:rPr>
            </w:pPr>
            <w:r>
              <w:rPr>
                <w:rFonts w:ascii="Arial" w:cs="Arial" w:eastAsia="Arial" w:hAnsi="Arial"/>
                <w:sz w:val="18"/>
                <w:szCs w:val="18"/>
                <w:b w:val="1"/>
                <w:bCs w:val="1"/>
                <w:color w:val="auto"/>
              </w:rPr>
              <w:t>Interest Expense:</w:t>
            </w:r>
          </w:p>
        </w:tc>
        <w:tc>
          <w:tcPr>
            <w:tcW w:w="1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3240" w:type="dxa"/>
            <w:vAlign w:val="bottom"/>
          </w:tcPr>
          <w:p>
            <w:pPr>
              <w:ind w:left="40"/>
              <w:spacing w:after="0"/>
              <w:rPr>
                <w:sz w:val="20"/>
                <w:szCs w:val="20"/>
                <w:color w:val="auto"/>
              </w:rPr>
            </w:pPr>
            <w:r>
              <w:rPr>
                <w:rFonts w:ascii="Arial" w:cs="Arial" w:eastAsia="Arial" w:hAnsi="Arial"/>
                <w:sz w:val="18"/>
                <w:szCs w:val="18"/>
                <w:color w:val="auto"/>
              </w:rPr>
              <w:t>Demand deposits</w:t>
            </w:r>
          </w:p>
        </w:tc>
        <w:tc>
          <w:tcPr>
            <w:tcW w:w="1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3240" w:type="dxa"/>
            <w:vAlign w:val="bottom"/>
          </w:tcPr>
          <w:p>
            <w:pPr>
              <w:ind w:left="220"/>
              <w:spacing w:after="0"/>
              <w:rPr>
                <w:sz w:val="20"/>
                <w:szCs w:val="20"/>
                <w:color w:val="auto"/>
              </w:rPr>
            </w:pPr>
            <w:r>
              <w:rPr>
                <w:rFonts w:ascii="Arial" w:cs="Arial" w:eastAsia="Arial" w:hAnsi="Arial"/>
                <w:sz w:val="18"/>
                <w:szCs w:val="18"/>
                <w:color w:val="auto"/>
              </w:rPr>
              <w:t>Nuevos Soles</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391</w:t>
            </w:r>
          </w:p>
        </w:tc>
        <w:tc>
          <w:tcPr>
            <w:tcW w:w="1320" w:type="dxa"/>
            <w:vAlign w:val="bottom"/>
          </w:tcPr>
          <w:p>
            <w:pPr>
              <w:jc w:val="right"/>
              <w:spacing w:after="0"/>
              <w:rPr>
                <w:sz w:val="20"/>
                <w:szCs w:val="20"/>
                <w:color w:val="auto"/>
              </w:rPr>
            </w:pPr>
            <w:r>
              <w:rPr>
                <w:rFonts w:ascii="Arial" w:cs="Arial" w:eastAsia="Arial" w:hAnsi="Arial"/>
                <w:sz w:val="18"/>
                <w:szCs w:val="18"/>
                <w:color w:val="auto"/>
              </w:rPr>
              <w:t>(4,920)</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(4,529)</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870</w:t>
            </w:r>
          </w:p>
        </w:tc>
        <w:tc>
          <w:tcPr>
            <w:tcW w:w="60" w:type="dxa"/>
            <w:vAlign w:val="bottom"/>
          </w:tcPr>
          <w:p>
            <w:pPr>
              <w:spacing w:after="0"/>
              <w:rPr>
                <w:sz w:val="23"/>
                <w:szCs w:val="23"/>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(169)</w:t>
            </w:r>
          </w:p>
        </w:tc>
        <w:tc>
          <w:tcPr>
            <w:tcW w:w="1320" w:type="dxa"/>
            <w:vAlign w:val="bottom"/>
          </w:tcPr>
          <w:p>
            <w:pPr>
              <w:jc w:val="right"/>
              <w:spacing w:after="0"/>
              <w:rPr>
                <w:sz w:val="20"/>
                <w:szCs w:val="20"/>
                <w:color w:val="auto"/>
              </w:rPr>
            </w:pPr>
            <w:r>
              <w:rPr>
                <w:rFonts w:ascii="Arial" w:cs="Arial" w:eastAsia="Arial" w:hAnsi="Arial"/>
                <w:sz w:val="18"/>
                <w:szCs w:val="18"/>
                <w:color w:val="auto"/>
              </w:rPr>
              <w:t>701</w:t>
            </w:r>
          </w:p>
        </w:tc>
      </w:tr>
      <w:tr>
        <w:trPr>
          <w:trHeight w:val="270"/>
        </w:trPr>
        <w:tc>
          <w:tcPr>
            <w:tcW w:w="3240" w:type="dxa"/>
            <w:vAlign w:val="bottom"/>
          </w:tcPr>
          <w:p>
            <w:pPr>
              <w:ind w:left="220"/>
              <w:spacing w:after="0"/>
              <w:rPr>
                <w:sz w:val="20"/>
                <w:szCs w:val="20"/>
                <w:color w:val="auto"/>
              </w:rPr>
            </w:pPr>
            <w:r>
              <w:rPr>
                <w:rFonts w:ascii="Arial" w:cs="Arial" w:eastAsia="Arial" w:hAnsi="Arial"/>
                <w:sz w:val="18"/>
                <w:szCs w:val="18"/>
                <w:color w:val="auto"/>
              </w:rPr>
              <w:t>Foreign Currency</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872</w:t>
            </w:r>
          </w:p>
        </w:tc>
        <w:tc>
          <w:tcPr>
            <w:tcW w:w="1320" w:type="dxa"/>
            <w:vAlign w:val="bottom"/>
          </w:tcPr>
          <w:p>
            <w:pPr>
              <w:jc w:val="right"/>
              <w:spacing w:after="0"/>
              <w:rPr>
                <w:sz w:val="20"/>
                <w:szCs w:val="20"/>
                <w:color w:val="auto"/>
              </w:rPr>
            </w:pPr>
            <w:r>
              <w:rPr>
                <w:rFonts w:ascii="Arial" w:cs="Arial" w:eastAsia="Arial" w:hAnsi="Arial"/>
                <w:sz w:val="18"/>
                <w:szCs w:val="18"/>
                <w:color w:val="auto"/>
              </w:rPr>
              <w:t>(2,922)</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(2,050)</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1,486</w:t>
            </w:r>
          </w:p>
        </w:tc>
        <w:tc>
          <w:tcPr>
            <w:tcW w:w="60" w:type="dxa"/>
            <w:vAlign w:val="bottom"/>
          </w:tcPr>
          <w:p>
            <w:pPr>
              <w:spacing w:after="0"/>
              <w:rPr>
                <w:sz w:val="23"/>
                <w:szCs w:val="23"/>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(2,397)</w:t>
            </w:r>
          </w:p>
        </w:tc>
        <w:tc>
          <w:tcPr>
            <w:tcW w:w="1320" w:type="dxa"/>
            <w:vAlign w:val="bottom"/>
          </w:tcPr>
          <w:p>
            <w:pPr>
              <w:jc w:val="right"/>
              <w:spacing w:after="0"/>
              <w:rPr>
                <w:sz w:val="20"/>
                <w:szCs w:val="20"/>
                <w:color w:val="auto"/>
              </w:rPr>
            </w:pPr>
            <w:r>
              <w:rPr>
                <w:rFonts w:ascii="Arial" w:cs="Arial" w:eastAsia="Arial" w:hAnsi="Arial"/>
                <w:sz w:val="18"/>
                <w:szCs w:val="18"/>
                <w:color w:val="auto"/>
              </w:rPr>
              <w:t>(910)</w:t>
            </w:r>
          </w:p>
        </w:tc>
      </w:tr>
      <w:tr>
        <w:trPr>
          <w:trHeight w:val="270"/>
        </w:trPr>
        <w:tc>
          <w:tcPr>
            <w:tcW w:w="3240" w:type="dxa"/>
            <w:vAlign w:val="bottom"/>
          </w:tcPr>
          <w:p>
            <w:pPr>
              <w:ind w:left="200"/>
              <w:spacing w:after="0"/>
              <w:rPr>
                <w:sz w:val="20"/>
                <w:szCs w:val="20"/>
                <w:color w:val="auto"/>
              </w:rPr>
            </w:pPr>
            <w:r>
              <w:rPr>
                <w:rFonts w:ascii="Arial" w:cs="Arial" w:eastAsia="Arial" w:hAnsi="Arial"/>
                <w:sz w:val="18"/>
                <w:szCs w:val="18"/>
                <w:color w:val="auto"/>
              </w:rPr>
              <w:t>Total</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1,264</w:t>
            </w:r>
          </w:p>
        </w:tc>
        <w:tc>
          <w:tcPr>
            <w:tcW w:w="1320" w:type="dxa"/>
            <w:vAlign w:val="bottom"/>
          </w:tcPr>
          <w:p>
            <w:pPr>
              <w:jc w:val="right"/>
              <w:spacing w:after="0"/>
              <w:rPr>
                <w:sz w:val="20"/>
                <w:szCs w:val="20"/>
                <w:color w:val="auto"/>
              </w:rPr>
            </w:pPr>
            <w:r>
              <w:rPr>
                <w:rFonts w:ascii="Arial" w:cs="Arial" w:eastAsia="Arial" w:hAnsi="Arial"/>
                <w:sz w:val="18"/>
                <w:szCs w:val="18"/>
                <w:color w:val="auto"/>
              </w:rPr>
              <w:t>(7,842)</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(6,578)</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2,357</w:t>
            </w:r>
          </w:p>
        </w:tc>
        <w:tc>
          <w:tcPr>
            <w:tcW w:w="60" w:type="dxa"/>
            <w:vAlign w:val="bottom"/>
          </w:tcPr>
          <w:p>
            <w:pPr>
              <w:spacing w:after="0"/>
              <w:rPr>
                <w:sz w:val="23"/>
                <w:szCs w:val="23"/>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(2,566)</w:t>
            </w:r>
          </w:p>
        </w:tc>
        <w:tc>
          <w:tcPr>
            <w:tcW w:w="132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70"/>
        </w:trPr>
        <w:tc>
          <w:tcPr>
            <w:tcW w:w="3240" w:type="dxa"/>
            <w:vAlign w:val="bottom"/>
          </w:tcPr>
          <w:p>
            <w:pPr>
              <w:ind w:left="40"/>
              <w:spacing w:after="0"/>
              <w:rPr>
                <w:sz w:val="20"/>
                <w:szCs w:val="20"/>
                <w:color w:val="auto"/>
              </w:rPr>
            </w:pPr>
            <w:r>
              <w:rPr>
                <w:rFonts w:ascii="Arial" w:cs="Arial" w:eastAsia="Arial" w:hAnsi="Arial"/>
                <w:sz w:val="18"/>
                <w:szCs w:val="18"/>
                <w:color w:val="auto"/>
              </w:rPr>
              <w:t>Savings deposits</w:t>
            </w:r>
          </w:p>
        </w:tc>
        <w:tc>
          <w:tcPr>
            <w:tcW w:w="1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3240" w:type="dxa"/>
            <w:vAlign w:val="bottom"/>
          </w:tcPr>
          <w:p>
            <w:pPr>
              <w:ind w:left="220"/>
              <w:spacing w:after="0"/>
              <w:rPr>
                <w:sz w:val="20"/>
                <w:szCs w:val="20"/>
                <w:color w:val="auto"/>
              </w:rPr>
            </w:pPr>
            <w:r>
              <w:rPr>
                <w:rFonts w:ascii="Arial" w:cs="Arial" w:eastAsia="Arial" w:hAnsi="Arial"/>
                <w:sz w:val="18"/>
                <w:szCs w:val="18"/>
                <w:color w:val="auto"/>
              </w:rPr>
              <w:t>Nuevos Soles</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1,115</w:t>
            </w:r>
          </w:p>
        </w:tc>
        <w:tc>
          <w:tcPr>
            <w:tcW w:w="1320" w:type="dxa"/>
            <w:vAlign w:val="bottom"/>
          </w:tcPr>
          <w:p>
            <w:pPr>
              <w:jc w:val="right"/>
              <w:spacing w:after="0"/>
              <w:rPr>
                <w:sz w:val="20"/>
                <w:szCs w:val="20"/>
                <w:color w:val="auto"/>
              </w:rPr>
            </w:pPr>
            <w:r>
              <w:rPr>
                <w:rFonts w:ascii="Arial" w:cs="Arial" w:eastAsia="Arial" w:hAnsi="Arial"/>
                <w:sz w:val="18"/>
                <w:szCs w:val="18"/>
                <w:color w:val="auto"/>
              </w:rPr>
              <w:t>(7,822)</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(6,707)</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518</w:t>
            </w:r>
          </w:p>
        </w:tc>
        <w:tc>
          <w:tcPr>
            <w:tcW w:w="60" w:type="dxa"/>
            <w:vAlign w:val="bottom"/>
          </w:tcPr>
          <w:p>
            <w:pPr>
              <w:spacing w:after="0"/>
              <w:rPr>
                <w:sz w:val="23"/>
                <w:szCs w:val="23"/>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(1,226)</w:t>
            </w:r>
          </w:p>
        </w:tc>
        <w:tc>
          <w:tcPr>
            <w:tcW w:w="1320" w:type="dxa"/>
            <w:vAlign w:val="bottom"/>
          </w:tcPr>
          <w:p>
            <w:pPr>
              <w:jc w:val="right"/>
              <w:spacing w:after="0"/>
              <w:rPr>
                <w:sz w:val="20"/>
                <w:szCs w:val="20"/>
                <w:color w:val="auto"/>
              </w:rPr>
            </w:pPr>
            <w:r>
              <w:rPr>
                <w:rFonts w:ascii="Arial" w:cs="Arial" w:eastAsia="Arial" w:hAnsi="Arial"/>
                <w:sz w:val="18"/>
                <w:szCs w:val="18"/>
                <w:color w:val="auto"/>
              </w:rPr>
              <w:t>(708)</w:t>
            </w:r>
          </w:p>
        </w:tc>
      </w:tr>
      <w:tr>
        <w:trPr>
          <w:trHeight w:val="270"/>
        </w:trPr>
        <w:tc>
          <w:tcPr>
            <w:tcW w:w="3240" w:type="dxa"/>
            <w:vAlign w:val="bottom"/>
          </w:tcPr>
          <w:p>
            <w:pPr>
              <w:ind w:left="220"/>
              <w:spacing w:after="0"/>
              <w:rPr>
                <w:sz w:val="20"/>
                <w:szCs w:val="20"/>
                <w:color w:val="auto"/>
              </w:rPr>
            </w:pPr>
            <w:r>
              <w:rPr>
                <w:rFonts w:ascii="Arial" w:cs="Arial" w:eastAsia="Arial" w:hAnsi="Arial"/>
                <w:sz w:val="18"/>
                <w:szCs w:val="18"/>
                <w:color w:val="auto"/>
              </w:rPr>
              <w:t>Foreign Currency</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436</w:t>
            </w:r>
          </w:p>
        </w:tc>
        <w:tc>
          <w:tcPr>
            <w:tcW w:w="1320" w:type="dxa"/>
            <w:vAlign w:val="bottom"/>
          </w:tcPr>
          <w:p>
            <w:pPr>
              <w:jc w:val="right"/>
              <w:spacing w:after="0"/>
              <w:rPr>
                <w:sz w:val="20"/>
                <w:szCs w:val="20"/>
                <w:color w:val="auto"/>
              </w:rPr>
            </w:pPr>
            <w:r>
              <w:rPr>
                <w:rFonts w:ascii="Arial" w:cs="Arial" w:eastAsia="Arial" w:hAnsi="Arial"/>
                <w:sz w:val="18"/>
                <w:szCs w:val="18"/>
                <w:color w:val="auto"/>
              </w:rPr>
              <w:t>(15,678)</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(15,242)</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763</w:t>
            </w:r>
          </w:p>
        </w:tc>
        <w:tc>
          <w:tcPr>
            <w:tcW w:w="60" w:type="dxa"/>
            <w:vAlign w:val="bottom"/>
          </w:tcPr>
          <w:p>
            <w:pPr>
              <w:spacing w:after="0"/>
              <w:rPr>
                <w:sz w:val="23"/>
                <w:szCs w:val="23"/>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(3,085)</w:t>
            </w:r>
          </w:p>
        </w:tc>
        <w:tc>
          <w:tcPr>
            <w:tcW w:w="1320" w:type="dxa"/>
            <w:vAlign w:val="bottom"/>
          </w:tcPr>
          <w:p>
            <w:pPr>
              <w:jc w:val="right"/>
              <w:spacing w:after="0"/>
              <w:rPr>
                <w:sz w:val="20"/>
                <w:szCs w:val="20"/>
                <w:color w:val="auto"/>
              </w:rPr>
            </w:pPr>
            <w:r>
              <w:rPr>
                <w:rFonts w:ascii="Arial" w:cs="Arial" w:eastAsia="Arial" w:hAnsi="Arial"/>
                <w:sz w:val="18"/>
                <w:szCs w:val="18"/>
                <w:color w:val="auto"/>
              </w:rPr>
              <w:t>(2,322)</w:t>
            </w:r>
          </w:p>
        </w:tc>
      </w:tr>
      <w:tr>
        <w:trPr>
          <w:trHeight w:val="270"/>
        </w:trPr>
        <w:tc>
          <w:tcPr>
            <w:tcW w:w="3240" w:type="dxa"/>
            <w:vAlign w:val="bottom"/>
          </w:tcPr>
          <w:p>
            <w:pPr>
              <w:ind w:left="200"/>
              <w:spacing w:after="0"/>
              <w:rPr>
                <w:sz w:val="20"/>
                <w:szCs w:val="20"/>
                <w:color w:val="auto"/>
              </w:rPr>
            </w:pPr>
            <w:r>
              <w:rPr>
                <w:rFonts w:ascii="Arial" w:cs="Arial" w:eastAsia="Arial" w:hAnsi="Arial"/>
                <w:sz w:val="18"/>
                <w:szCs w:val="18"/>
                <w:color w:val="auto"/>
              </w:rPr>
              <w:t>Total</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1,551</w:t>
            </w:r>
          </w:p>
        </w:tc>
        <w:tc>
          <w:tcPr>
            <w:tcW w:w="1320" w:type="dxa"/>
            <w:vAlign w:val="bottom"/>
          </w:tcPr>
          <w:p>
            <w:pPr>
              <w:jc w:val="right"/>
              <w:spacing w:after="0"/>
              <w:rPr>
                <w:sz w:val="20"/>
                <w:szCs w:val="20"/>
                <w:color w:val="auto"/>
              </w:rPr>
            </w:pPr>
            <w:r>
              <w:rPr>
                <w:rFonts w:ascii="Arial" w:cs="Arial" w:eastAsia="Arial" w:hAnsi="Arial"/>
                <w:sz w:val="18"/>
                <w:szCs w:val="18"/>
                <w:color w:val="auto"/>
              </w:rPr>
              <w:t>(23,500)</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(21,949)</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1,280</w:t>
            </w:r>
          </w:p>
        </w:tc>
        <w:tc>
          <w:tcPr>
            <w:tcW w:w="60" w:type="dxa"/>
            <w:vAlign w:val="bottom"/>
          </w:tcPr>
          <w:p>
            <w:pPr>
              <w:spacing w:after="0"/>
              <w:rPr>
                <w:sz w:val="23"/>
                <w:szCs w:val="23"/>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(4,310)</w:t>
            </w:r>
          </w:p>
        </w:tc>
        <w:tc>
          <w:tcPr>
            <w:tcW w:w="1320" w:type="dxa"/>
            <w:vAlign w:val="bottom"/>
          </w:tcPr>
          <w:p>
            <w:pPr>
              <w:jc w:val="right"/>
              <w:spacing w:after="0"/>
              <w:rPr>
                <w:sz w:val="20"/>
                <w:szCs w:val="20"/>
                <w:color w:val="auto"/>
              </w:rPr>
            </w:pPr>
            <w:r>
              <w:rPr>
                <w:rFonts w:ascii="Arial" w:cs="Arial" w:eastAsia="Arial" w:hAnsi="Arial"/>
                <w:sz w:val="18"/>
                <w:szCs w:val="18"/>
                <w:color w:val="auto"/>
              </w:rPr>
              <w:t>(3,030)</w:t>
            </w:r>
          </w:p>
        </w:tc>
      </w:tr>
      <w:tr>
        <w:trPr>
          <w:trHeight w:val="270"/>
        </w:trPr>
        <w:tc>
          <w:tcPr>
            <w:tcW w:w="3240" w:type="dxa"/>
            <w:vAlign w:val="bottom"/>
          </w:tcPr>
          <w:p>
            <w:pPr>
              <w:ind w:left="40"/>
              <w:spacing w:after="0"/>
              <w:rPr>
                <w:sz w:val="20"/>
                <w:szCs w:val="20"/>
                <w:color w:val="auto"/>
              </w:rPr>
            </w:pPr>
            <w:r>
              <w:rPr>
                <w:rFonts w:ascii="Arial" w:cs="Arial" w:eastAsia="Arial" w:hAnsi="Arial"/>
                <w:sz w:val="18"/>
                <w:szCs w:val="18"/>
                <w:color w:val="auto"/>
              </w:rPr>
              <w:t>Time deposits</w:t>
            </w:r>
          </w:p>
        </w:tc>
        <w:tc>
          <w:tcPr>
            <w:tcW w:w="1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3240" w:type="dxa"/>
            <w:vAlign w:val="bottom"/>
          </w:tcPr>
          <w:p>
            <w:pPr>
              <w:ind w:left="220"/>
              <w:spacing w:after="0"/>
              <w:rPr>
                <w:sz w:val="20"/>
                <w:szCs w:val="20"/>
                <w:color w:val="auto"/>
              </w:rPr>
            </w:pPr>
            <w:r>
              <w:rPr>
                <w:rFonts w:ascii="Arial" w:cs="Arial" w:eastAsia="Arial" w:hAnsi="Arial"/>
                <w:sz w:val="18"/>
                <w:szCs w:val="18"/>
                <w:color w:val="auto"/>
              </w:rPr>
              <w:t>Nuevos Soles</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7,588</w:t>
            </w:r>
          </w:p>
        </w:tc>
        <w:tc>
          <w:tcPr>
            <w:tcW w:w="1320" w:type="dxa"/>
            <w:vAlign w:val="bottom"/>
          </w:tcPr>
          <w:p>
            <w:pPr>
              <w:jc w:val="right"/>
              <w:spacing w:after="0"/>
              <w:rPr>
                <w:sz w:val="20"/>
                <w:szCs w:val="20"/>
                <w:color w:val="auto"/>
              </w:rPr>
            </w:pPr>
            <w:r>
              <w:rPr>
                <w:rFonts w:ascii="Arial" w:cs="Arial" w:eastAsia="Arial" w:hAnsi="Arial"/>
                <w:sz w:val="18"/>
                <w:szCs w:val="18"/>
                <w:color w:val="auto"/>
              </w:rPr>
              <w:t>(22,321)</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(14,733)</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4,014</w:t>
            </w:r>
          </w:p>
        </w:tc>
        <w:tc>
          <w:tcPr>
            <w:tcW w:w="60" w:type="dxa"/>
            <w:vAlign w:val="bottom"/>
          </w:tcPr>
          <w:p>
            <w:pPr>
              <w:spacing w:after="0"/>
              <w:rPr>
                <w:sz w:val="23"/>
                <w:szCs w:val="23"/>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237</w:t>
            </w:r>
          </w:p>
        </w:tc>
        <w:tc>
          <w:tcPr>
            <w:tcW w:w="1320" w:type="dxa"/>
            <w:vAlign w:val="bottom"/>
          </w:tcPr>
          <w:p>
            <w:pPr>
              <w:jc w:val="right"/>
              <w:spacing w:after="0"/>
              <w:rPr>
                <w:sz w:val="20"/>
                <w:szCs w:val="20"/>
                <w:color w:val="auto"/>
              </w:rPr>
            </w:pPr>
            <w:r>
              <w:rPr>
                <w:rFonts w:ascii="Arial" w:cs="Arial" w:eastAsia="Arial" w:hAnsi="Arial"/>
                <w:sz w:val="18"/>
                <w:szCs w:val="18"/>
                <w:color w:val="auto"/>
              </w:rPr>
              <w:t>4,251</w:t>
            </w:r>
          </w:p>
        </w:tc>
      </w:tr>
      <w:tr>
        <w:trPr>
          <w:trHeight w:val="270"/>
        </w:trPr>
        <w:tc>
          <w:tcPr>
            <w:tcW w:w="3240" w:type="dxa"/>
            <w:vAlign w:val="bottom"/>
          </w:tcPr>
          <w:p>
            <w:pPr>
              <w:ind w:left="220"/>
              <w:spacing w:after="0"/>
              <w:rPr>
                <w:sz w:val="20"/>
                <w:szCs w:val="20"/>
                <w:color w:val="auto"/>
              </w:rPr>
            </w:pPr>
            <w:r>
              <w:rPr>
                <w:rFonts w:ascii="Arial" w:cs="Arial" w:eastAsia="Arial" w:hAnsi="Arial"/>
                <w:sz w:val="18"/>
                <w:szCs w:val="18"/>
                <w:color w:val="auto"/>
              </w:rPr>
              <w:t>Foreign Currency</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(22,435)</w:t>
            </w:r>
          </w:p>
        </w:tc>
        <w:tc>
          <w:tcPr>
            <w:tcW w:w="1320" w:type="dxa"/>
            <w:vAlign w:val="bottom"/>
          </w:tcPr>
          <w:p>
            <w:pPr>
              <w:jc w:val="right"/>
              <w:spacing w:after="0"/>
              <w:rPr>
                <w:sz w:val="20"/>
                <w:szCs w:val="20"/>
                <w:color w:val="auto"/>
              </w:rPr>
            </w:pPr>
            <w:r>
              <w:rPr>
                <w:rFonts w:ascii="Arial" w:cs="Arial" w:eastAsia="Arial" w:hAnsi="Arial"/>
                <w:sz w:val="18"/>
                <w:szCs w:val="18"/>
                <w:color w:val="auto"/>
              </w:rPr>
              <w:t>(40,884)</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(63,319)</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7,686</w:t>
            </w:r>
          </w:p>
        </w:tc>
        <w:tc>
          <w:tcPr>
            <w:tcW w:w="60" w:type="dxa"/>
            <w:vAlign w:val="bottom"/>
          </w:tcPr>
          <w:p>
            <w:pPr>
              <w:spacing w:after="0"/>
              <w:rPr>
                <w:sz w:val="23"/>
                <w:szCs w:val="23"/>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(16,403)</w:t>
            </w:r>
          </w:p>
        </w:tc>
        <w:tc>
          <w:tcPr>
            <w:tcW w:w="1320" w:type="dxa"/>
            <w:vAlign w:val="bottom"/>
          </w:tcPr>
          <w:p>
            <w:pPr>
              <w:jc w:val="right"/>
              <w:spacing w:after="0"/>
              <w:rPr>
                <w:sz w:val="20"/>
                <w:szCs w:val="20"/>
                <w:color w:val="auto"/>
              </w:rPr>
            </w:pPr>
            <w:r>
              <w:rPr>
                <w:rFonts w:ascii="Arial" w:cs="Arial" w:eastAsia="Arial" w:hAnsi="Arial"/>
                <w:sz w:val="18"/>
                <w:szCs w:val="18"/>
                <w:color w:val="auto"/>
              </w:rPr>
              <w:t>(8,717)</w:t>
            </w:r>
          </w:p>
        </w:tc>
      </w:tr>
      <w:tr>
        <w:trPr>
          <w:trHeight w:val="270"/>
        </w:trPr>
        <w:tc>
          <w:tcPr>
            <w:tcW w:w="3240" w:type="dxa"/>
            <w:vAlign w:val="bottom"/>
          </w:tcPr>
          <w:p>
            <w:pPr>
              <w:ind w:left="200"/>
              <w:spacing w:after="0"/>
              <w:rPr>
                <w:sz w:val="20"/>
                <w:szCs w:val="20"/>
                <w:color w:val="auto"/>
              </w:rPr>
            </w:pPr>
            <w:r>
              <w:rPr>
                <w:rFonts w:ascii="Arial" w:cs="Arial" w:eastAsia="Arial" w:hAnsi="Arial"/>
                <w:sz w:val="18"/>
                <w:szCs w:val="18"/>
                <w:color w:val="auto"/>
              </w:rPr>
              <w:t>Total</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(14,847)</w:t>
            </w:r>
          </w:p>
        </w:tc>
        <w:tc>
          <w:tcPr>
            <w:tcW w:w="1320" w:type="dxa"/>
            <w:vAlign w:val="bottom"/>
          </w:tcPr>
          <w:p>
            <w:pPr>
              <w:jc w:val="right"/>
              <w:spacing w:after="0"/>
              <w:rPr>
                <w:sz w:val="20"/>
                <w:szCs w:val="20"/>
                <w:color w:val="auto"/>
              </w:rPr>
            </w:pPr>
            <w:r>
              <w:rPr>
                <w:rFonts w:ascii="Arial" w:cs="Arial" w:eastAsia="Arial" w:hAnsi="Arial"/>
                <w:sz w:val="18"/>
                <w:szCs w:val="18"/>
                <w:color w:val="auto"/>
              </w:rPr>
              <w:t>(63,205)</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(78,052)</w:t>
            </w:r>
          </w:p>
        </w:tc>
        <w:tc>
          <w:tcPr>
            <w:tcW w:w="60" w:type="dxa"/>
            <w:vAlign w:val="bottom"/>
          </w:tcPr>
          <w:p>
            <w:pPr>
              <w:spacing w:after="0"/>
              <w:rPr>
                <w:sz w:val="23"/>
                <w:szCs w:val="23"/>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11,699</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(16,166)</w:t>
            </w:r>
          </w:p>
        </w:tc>
        <w:tc>
          <w:tcPr>
            <w:tcW w:w="1320" w:type="dxa"/>
            <w:vAlign w:val="bottom"/>
          </w:tcPr>
          <w:p>
            <w:pPr>
              <w:jc w:val="right"/>
              <w:spacing w:after="0"/>
              <w:rPr>
                <w:sz w:val="20"/>
                <w:szCs w:val="20"/>
                <w:color w:val="auto"/>
              </w:rPr>
            </w:pPr>
            <w:r>
              <w:rPr>
                <w:rFonts w:ascii="Arial" w:cs="Arial" w:eastAsia="Arial" w:hAnsi="Arial"/>
                <w:sz w:val="18"/>
                <w:szCs w:val="18"/>
                <w:color w:val="auto"/>
              </w:rPr>
              <w:t>(4,466)</w:t>
            </w:r>
          </w:p>
        </w:tc>
      </w:tr>
      <w:tr>
        <w:trPr>
          <w:trHeight w:val="270"/>
        </w:trPr>
        <w:tc>
          <w:tcPr>
            <w:tcW w:w="3240" w:type="dxa"/>
            <w:vAlign w:val="bottom"/>
          </w:tcPr>
          <w:p>
            <w:pPr>
              <w:ind w:left="40"/>
              <w:spacing w:after="0"/>
              <w:rPr>
                <w:sz w:val="20"/>
                <w:szCs w:val="20"/>
                <w:color w:val="auto"/>
              </w:rPr>
            </w:pPr>
            <w:r>
              <w:rPr>
                <w:rFonts w:ascii="Arial" w:cs="Arial" w:eastAsia="Arial" w:hAnsi="Arial"/>
                <w:sz w:val="18"/>
                <w:szCs w:val="18"/>
                <w:color w:val="auto"/>
              </w:rPr>
              <w:t>Due to banks and correspondents</w:t>
            </w:r>
          </w:p>
        </w:tc>
        <w:tc>
          <w:tcPr>
            <w:tcW w:w="1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3240" w:type="dxa"/>
            <w:vAlign w:val="bottom"/>
          </w:tcPr>
          <w:p>
            <w:pPr>
              <w:ind w:left="220"/>
              <w:spacing w:after="0"/>
              <w:rPr>
                <w:sz w:val="20"/>
                <w:szCs w:val="20"/>
                <w:color w:val="auto"/>
              </w:rPr>
            </w:pPr>
            <w:r>
              <w:rPr>
                <w:rFonts w:ascii="Arial" w:cs="Arial" w:eastAsia="Arial" w:hAnsi="Arial"/>
                <w:sz w:val="18"/>
                <w:szCs w:val="18"/>
                <w:color w:val="auto"/>
              </w:rPr>
              <w:t>Nuevos Soles</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1,660</w:t>
            </w:r>
          </w:p>
        </w:tc>
        <w:tc>
          <w:tcPr>
            <w:tcW w:w="1320" w:type="dxa"/>
            <w:vAlign w:val="bottom"/>
          </w:tcPr>
          <w:p>
            <w:pPr>
              <w:jc w:val="right"/>
              <w:spacing w:after="0"/>
              <w:rPr>
                <w:sz w:val="20"/>
                <w:szCs w:val="20"/>
                <w:color w:val="auto"/>
              </w:rPr>
            </w:pPr>
            <w:r>
              <w:rPr>
                <w:rFonts w:ascii="Arial" w:cs="Arial" w:eastAsia="Arial" w:hAnsi="Arial"/>
                <w:sz w:val="18"/>
                <w:szCs w:val="18"/>
                <w:color w:val="auto"/>
              </w:rPr>
              <w:t>(1,573)</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87</w:t>
            </w:r>
          </w:p>
        </w:tc>
        <w:tc>
          <w:tcPr>
            <w:tcW w:w="60" w:type="dxa"/>
            <w:vAlign w:val="bottom"/>
          </w:tcPr>
          <w:p>
            <w:pPr>
              <w:spacing w:after="0"/>
              <w:rPr>
                <w:sz w:val="23"/>
                <w:szCs w:val="23"/>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(381)</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242</w:t>
            </w:r>
          </w:p>
        </w:tc>
        <w:tc>
          <w:tcPr>
            <w:tcW w:w="132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70"/>
        </w:trPr>
        <w:tc>
          <w:tcPr>
            <w:tcW w:w="3240" w:type="dxa"/>
            <w:vAlign w:val="bottom"/>
          </w:tcPr>
          <w:p>
            <w:pPr>
              <w:ind w:left="220"/>
              <w:spacing w:after="0"/>
              <w:rPr>
                <w:sz w:val="20"/>
                <w:szCs w:val="20"/>
                <w:color w:val="auto"/>
              </w:rPr>
            </w:pPr>
            <w:r>
              <w:rPr>
                <w:rFonts w:ascii="Arial" w:cs="Arial" w:eastAsia="Arial" w:hAnsi="Arial"/>
                <w:sz w:val="18"/>
                <w:szCs w:val="18"/>
                <w:color w:val="auto"/>
              </w:rPr>
              <w:t>Foreign Currency</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17,700</w:t>
            </w:r>
          </w:p>
        </w:tc>
        <w:tc>
          <w:tcPr>
            <w:tcW w:w="1320" w:type="dxa"/>
            <w:vAlign w:val="bottom"/>
          </w:tcPr>
          <w:p>
            <w:pPr>
              <w:jc w:val="right"/>
              <w:spacing w:after="0"/>
              <w:rPr>
                <w:sz w:val="20"/>
                <w:szCs w:val="20"/>
                <w:color w:val="auto"/>
              </w:rPr>
            </w:pPr>
            <w:r>
              <w:rPr>
                <w:rFonts w:ascii="Arial" w:cs="Arial" w:eastAsia="Arial" w:hAnsi="Arial"/>
                <w:sz w:val="18"/>
                <w:szCs w:val="18"/>
                <w:color w:val="auto"/>
              </w:rPr>
              <w:t>(51,679)</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(33,979)</w:t>
            </w:r>
          </w:p>
        </w:tc>
        <w:tc>
          <w:tcPr>
            <w:tcW w:w="60" w:type="dxa"/>
            <w:vAlign w:val="bottom"/>
          </w:tcPr>
          <w:p>
            <w:pPr>
              <w:spacing w:after="0"/>
              <w:rPr>
                <w:sz w:val="23"/>
                <w:szCs w:val="23"/>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(13,588)</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5,677</w:t>
            </w:r>
          </w:p>
        </w:tc>
        <w:tc>
          <w:tcPr>
            <w:tcW w:w="1320" w:type="dxa"/>
            <w:vAlign w:val="bottom"/>
          </w:tcPr>
          <w:p>
            <w:pPr>
              <w:jc w:val="right"/>
              <w:spacing w:after="0"/>
              <w:rPr>
                <w:sz w:val="20"/>
                <w:szCs w:val="20"/>
                <w:color w:val="auto"/>
              </w:rPr>
            </w:pPr>
            <w:r>
              <w:rPr>
                <w:rFonts w:ascii="Arial" w:cs="Arial" w:eastAsia="Arial" w:hAnsi="Arial"/>
                <w:sz w:val="18"/>
                <w:szCs w:val="18"/>
                <w:color w:val="auto"/>
              </w:rPr>
              <w:t>(7,911)</w:t>
            </w:r>
          </w:p>
        </w:tc>
      </w:tr>
      <w:tr>
        <w:trPr>
          <w:trHeight w:val="270"/>
        </w:trPr>
        <w:tc>
          <w:tcPr>
            <w:tcW w:w="3240" w:type="dxa"/>
            <w:vAlign w:val="bottom"/>
          </w:tcPr>
          <w:p>
            <w:pPr>
              <w:ind w:left="200"/>
              <w:spacing w:after="0"/>
              <w:rPr>
                <w:sz w:val="20"/>
                <w:szCs w:val="20"/>
                <w:color w:val="auto"/>
              </w:rPr>
            </w:pPr>
            <w:r>
              <w:rPr>
                <w:rFonts w:ascii="Arial" w:cs="Arial" w:eastAsia="Arial" w:hAnsi="Arial"/>
                <w:sz w:val="18"/>
                <w:szCs w:val="18"/>
                <w:color w:val="auto"/>
              </w:rPr>
              <w:t>Total</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19,360</w:t>
            </w:r>
          </w:p>
        </w:tc>
        <w:tc>
          <w:tcPr>
            <w:tcW w:w="1320" w:type="dxa"/>
            <w:vAlign w:val="bottom"/>
          </w:tcPr>
          <w:p>
            <w:pPr>
              <w:jc w:val="right"/>
              <w:spacing w:after="0"/>
              <w:rPr>
                <w:sz w:val="20"/>
                <w:szCs w:val="20"/>
                <w:color w:val="auto"/>
              </w:rPr>
            </w:pPr>
            <w:r>
              <w:rPr>
                <w:rFonts w:ascii="Arial" w:cs="Arial" w:eastAsia="Arial" w:hAnsi="Arial"/>
                <w:sz w:val="18"/>
                <w:szCs w:val="18"/>
                <w:color w:val="auto"/>
              </w:rPr>
              <w:t>(53,252)</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(33,892)</w:t>
            </w:r>
          </w:p>
        </w:tc>
        <w:tc>
          <w:tcPr>
            <w:tcW w:w="60" w:type="dxa"/>
            <w:vAlign w:val="bottom"/>
          </w:tcPr>
          <w:p>
            <w:pPr>
              <w:spacing w:after="0"/>
              <w:rPr>
                <w:sz w:val="23"/>
                <w:szCs w:val="23"/>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(13,970)</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5,920</w:t>
            </w:r>
          </w:p>
        </w:tc>
        <w:tc>
          <w:tcPr>
            <w:tcW w:w="1320" w:type="dxa"/>
            <w:vAlign w:val="bottom"/>
          </w:tcPr>
          <w:p>
            <w:pPr>
              <w:jc w:val="right"/>
              <w:spacing w:after="0"/>
              <w:rPr>
                <w:sz w:val="20"/>
                <w:szCs w:val="20"/>
                <w:color w:val="auto"/>
              </w:rPr>
            </w:pPr>
            <w:r>
              <w:rPr>
                <w:rFonts w:ascii="Arial" w:cs="Arial" w:eastAsia="Arial" w:hAnsi="Arial"/>
                <w:sz w:val="18"/>
                <w:szCs w:val="18"/>
                <w:color w:val="auto"/>
              </w:rPr>
              <w:t>(8,050)</w:t>
            </w:r>
          </w:p>
        </w:tc>
      </w:tr>
      <w:tr>
        <w:trPr>
          <w:trHeight w:val="270"/>
        </w:trPr>
        <w:tc>
          <w:tcPr>
            <w:tcW w:w="3240" w:type="dxa"/>
            <w:vAlign w:val="bottom"/>
          </w:tcPr>
          <w:p>
            <w:pPr>
              <w:ind w:left="40"/>
              <w:spacing w:after="0"/>
              <w:rPr>
                <w:sz w:val="20"/>
                <w:szCs w:val="20"/>
                <w:color w:val="auto"/>
              </w:rPr>
            </w:pPr>
            <w:r>
              <w:rPr>
                <w:rFonts w:ascii="Arial" w:cs="Arial" w:eastAsia="Arial" w:hAnsi="Arial"/>
                <w:sz w:val="18"/>
                <w:szCs w:val="18"/>
                <w:color w:val="auto"/>
              </w:rPr>
              <w:t>Total interest-bearing liabilities</w:t>
            </w:r>
          </w:p>
        </w:tc>
        <w:tc>
          <w:tcPr>
            <w:tcW w:w="1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3240" w:type="dxa"/>
            <w:vAlign w:val="bottom"/>
          </w:tcPr>
          <w:p>
            <w:pPr>
              <w:ind w:left="220"/>
              <w:spacing w:after="0"/>
              <w:rPr>
                <w:sz w:val="20"/>
                <w:szCs w:val="20"/>
                <w:color w:val="auto"/>
              </w:rPr>
            </w:pPr>
            <w:r>
              <w:rPr>
                <w:rFonts w:ascii="Arial" w:cs="Arial" w:eastAsia="Arial" w:hAnsi="Arial"/>
                <w:sz w:val="18"/>
                <w:szCs w:val="18"/>
                <w:color w:val="auto"/>
              </w:rPr>
              <w:t>Nuevos Soles</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10,272</w:t>
            </w:r>
          </w:p>
        </w:tc>
        <w:tc>
          <w:tcPr>
            <w:tcW w:w="1320" w:type="dxa"/>
            <w:vAlign w:val="bottom"/>
          </w:tcPr>
          <w:p>
            <w:pPr>
              <w:jc w:val="right"/>
              <w:spacing w:after="0"/>
              <w:rPr>
                <w:sz w:val="20"/>
                <w:szCs w:val="20"/>
                <w:color w:val="auto"/>
              </w:rPr>
            </w:pPr>
            <w:r>
              <w:rPr>
                <w:rFonts w:ascii="Arial" w:cs="Arial" w:eastAsia="Arial" w:hAnsi="Arial"/>
                <w:sz w:val="18"/>
                <w:szCs w:val="18"/>
                <w:color w:val="auto"/>
              </w:rPr>
              <w:t>(36,154)</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(25,882)</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4,893</w:t>
            </w:r>
          </w:p>
        </w:tc>
        <w:tc>
          <w:tcPr>
            <w:tcW w:w="60" w:type="dxa"/>
            <w:vAlign w:val="bottom"/>
          </w:tcPr>
          <w:p>
            <w:pPr>
              <w:spacing w:after="0"/>
              <w:rPr>
                <w:sz w:val="23"/>
                <w:szCs w:val="23"/>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(788)</w:t>
            </w:r>
          </w:p>
        </w:tc>
        <w:tc>
          <w:tcPr>
            <w:tcW w:w="1320" w:type="dxa"/>
            <w:vAlign w:val="bottom"/>
          </w:tcPr>
          <w:p>
            <w:pPr>
              <w:jc w:val="right"/>
              <w:spacing w:after="0"/>
              <w:rPr>
                <w:sz w:val="20"/>
                <w:szCs w:val="20"/>
                <w:color w:val="auto"/>
              </w:rPr>
            </w:pPr>
            <w:r>
              <w:rPr>
                <w:rFonts w:ascii="Arial" w:cs="Arial" w:eastAsia="Arial" w:hAnsi="Arial"/>
                <w:sz w:val="18"/>
                <w:szCs w:val="18"/>
                <w:color w:val="auto"/>
              </w:rPr>
              <w:t>4,104</w:t>
            </w:r>
          </w:p>
        </w:tc>
      </w:tr>
      <w:tr>
        <w:trPr>
          <w:trHeight w:val="270"/>
        </w:trPr>
        <w:tc>
          <w:tcPr>
            <w:tcW w:w="3240" w:type="dxa"/>
            <w:vAlign w:val="bottom"/>
          </w:tcPr>
          <w:p>
            <w:pPr>
              <w:ind w:left="220"/>
              <w:spacing w:after="0"/>
              <w:rPr>
                <w:sz w:val="20"/>
                <w:szCs w:val="20"/>
                <w:color w:val="auto"/>
              </w:rPr>
            </w:pPr>
            <w:r>
              <w:rPr>
                <w:rFonts w:ascii="Arial" w:cs="Arial" w:eastAsia="Arial" w:hAnsi="Arial"/>
                <w:sz w:val="18"/>
                <w:szCs w:val="18"/>
                <w:color w:val="auto"/>
              </w:rPr>
              <w:t>Foreign Currency</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(5,011)</w:t>
            </w:r>
          </w:p>
        </w:tc>
        <w:tc>
          <w:tcPr>
            <w:tcW w:w="1320" w:type="dxa"/>
            <w:vAlign w:val="bottom"/>
          </w:tcPr>
          <w:p>
            <w:pPr>
              <w:jc w:val="right"/>
              <w:spacing w:after="0"/>
              <w:rPr>
                <w:sz w:val="20"/>
                <w:szCs w:val="20"/>
                <w:color w:val="auto"/>
              </w:rPr>
            </w:pPr>
            <w:r>
              <w:rPr>
                <w:rFonts w:ascii="Arial" w:cs="Arial" w:eastAsia="Arial" w:hAnsi="Arial"/>
                <w:sz w:val="18"/>
                <w:szCs w:val="18"/>
                <w:color w:val="auto"/>
              </w:rPr>
              <w:t>(109,579)</w:t>
            </w:r>
          </w:p>
        </w:tc>
        <w:tc>
          <w:tcPr>
            <w:tcW w:w="60" w:type="dxa"/>
            <w:vAlign w:val="bottom"/>
          </w:tcPr>
          <w:p>
            <w:pPr>
              <w:spacing w:after="0"/>
              <w:rPr>
                <w:sz w:val="23"/>
                <w:szCs w:val="23"/>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(114,590)</w:t>
            </w:r>
          </w:p>
        </w:tc>
        <w:tc>
          <w:tcPr>
            <w:tcW w:w="1300" w:type="dxa"/>
            <w:vAlign w:val="bottom"/>
          </w:tcPr>
          <w:p>
            <w:pPr>
              <w:jc w:val="right"/>
              <w:spacing w:after="0"/>
              <w:rPr>
                <w:sz w:val="20"/>
                <w:szCs w:val="20"/>
                <w:color w:val="auto"/>
              </w:rPr>
            </w:pPr>
            <w:r>
              <w:rPr>
                <w:rFonts w:ascii="Arial" w:cs="Arial" w:eastAsia="Arial" w:hAnsi="Arial"/>
                <w:sz w:val="18"/>
                <w:szCs w:val="18"/>
                <w:color w:val="auto"/>
              </w:rPr>
              <w:t>9,485</w:t>
            </w:r>
          </w:p>
        </w:tc>
        <w:tc>
          <w:tcPr>
            <w:tcW w:w="60" w:type="dxa"/>
            <w:vAlign w:val="bottom"/>
          </w:tcPr>
          <w:p>
            <w:pPr>
              <w:spacing w:after="0"/>
              <w:rPr>
                <w:sz w:val="23"/>
                <w:szCs w:val="23"/>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(29,345)</w:t>
            </w:r>
          </w:p>
        </w:tc>
        <w:tc>
          <w:tcPr>
            <w:tcW w:w="1320" w:type="dxa"/>
            <w:vAlign w:val="bottom"/>
          </w:tcPr>
          <w:p>
            <w:pPr>
              <w:jc w:val="right"/>
              <w:spacing w:after="0"/>
              <w:rPr>
                <w:sz w:val="20"/>
                <w:szCs w:val="20"/>
                <w:color w:val="auto"/>
              </w:rPr>
            </w:pPr>
            <w:r>
              <w:rPr>
                <w:rFonts w:ascii="Arial" w:cs="Arial" w:eastAsia="Arial" w:hAnsi="Arial"/>
                <w:sz w:val="18"/>
                <w:szCs w:val="18"/>
                <w:color w:val="auto"/>
              </w:rPr>
              <w:t>(19,860)</w:t>
            </w:r>
          </w:p>
        </w:tc>
      </w:tr>
      <w:tr>
        <w:trPr>
          <w:trHeight w:val="270"/>
        </w:trPr>
        <w:tc>
          <w:tcPr>
            <w:tcW w:w="3240" w:type="dxa"/>
            <w:vAlign w:val="bottom"/>
          </w:tcPr>
          <w:p>
            <w:pPr>
              <w:ind w:left="200"/>
              <w:spacing w:after="0"/>
              <w:rPr>
                <w:sz w:val="20"/>
                <w:szCs w:val="20"/>
                <w:color w:val="auto"/>
              </w:rPr>
            </w:pPr>
            <w:r>
              <w:rPr>
                <w:rFonts w:ascii="Arial" w:cs="Arial" w:eastAsia="Arial" w:hAnsi="Arial"/>
                <w:sz w:val="18"/>
                <w:szCs w:val="18"/>
                <w:color w:val="auto"/>
              </w:rPr>
              <w:t>Total</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5,261</w:t>
            </w:r>
          </w:p>
        </w:tc>
        <w:tc>
          <w:tcPr>
            <w:tcW w:w="1320" w:type="dxa"/>
            <w:vAlign w:val="bottom"/>
          </w:tcPr>
          <w:p>
            <w:pPr>
              <w:jc w:val="right"/>
              <w:spacing w:after="0"/>
              <w:rPr>
                <w:sz w:val="20"/>
                <w:szCs w:val="20"/>
                <w:color w:val="auto"/>
              </w:rPr>
            </w:pPr>
            <w:r>
              <w:rPr>
                <w:rFonts w:ascii="Arial" w:cs="Arial" w:eastAsia="Arial" w:hAnsi="Arial"/>
                <w:sz w:val="18"/>
                <w:szCs w:val="18"/>
                <w:color w:val="auto"/>
              </w:rPr>
              <w:t>(145,733)</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(140,472)</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14,378</w:t>
            </w:r>
          </w:p>
        </w:tc>
        <w:tc>
          <w:tcPr>
            <w:tcW w:w="60" w:type="dxa"/>
            <w:vAlign w:val="bottom"/>
          </w:tcPr>
          <w:p>
            <w:pPr>
              <w:spacing w:after="0"/>
              <w:rPr>
                <w:sz w:val="23"/>
                <w:szCs w:val="23"/>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(30,134)</w:t>
            </w:r>
          </w:p>
        </w:tc>
        <w:tc>
          <w:tcPr>
            <w:tcW w:w="1320" w:type="dxa"/>
            <w:vAlign w:val="bottom"/>
          </w:tcPr>
          <w:p>
            <w:pPr>
              <w:jc w:val="right"/>
              <w:spacing w:after="0"/>
              <w:rPr>
                <w:sz w:val="20"/>
                <w:szCs w:val="20"/>
                <w:color w:val="auto"/>
              </w:rPr>
            </w:pPr>
            <w:r>
              <w:rPr>
                <w:rFonts w:ascii="Arial" w:cs="Arial" w:eastAsia="Arial" w:hAnsi="Arial"/>
                <w:sz w:val="18"/>
                <w:szCs w:val="18"/>
                <w:color w:val="auto"/>
              </w:rPr>
              <w:t>(15,756)</w:t>
            </w:r>
          </w:p>
        </w:tc>
      </w:tr>
      <w:tr>
        <w:trPr>
          <w:trHeight w:val="243"/>
        </w:trPr>
        <w:tc>
          <w:tcPr>
            <w:tcW w:w="3240" w:type="dxa"/>
            <w:vAlign w:val="bottom"/>
          </w:tcPr>
          <w:p>
            <w:pPr>
              <w:spacing w:after="0"/>
              <w:rPr>
                <w:sz w:val="20"/>
                <w:szCs w:val="20"/>
                <w:color w:val="auto"/>
              </w:rPr>
            </w:pPr>
            <w:r>
              <w:rPr>
                <w:rFonts w:ascii="Arial" w:cs="Arial" w:eastAsia="Arial" w:hAnsi="Arial"/>
                <w:sz w:val="18"/>
                <w:szCs w:val="18"/>
                <w:color w:val="auto"/>
              </w:rPr>
              <w:t>___________________</w:t>
            </w:r>
          </w:p>
        </w:tc>
        <w:tc>
          <w:tcPr>
            <w:tcW w:w="1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4614545</wp:posOffset>
            </wp:positionH>
            <wp:positionV relativeFrom="paragraph">
              <wp:posOffset>-9032240</wp:posOffset>
            </wp:positionV>
            <wp:extent cx="34290" cy="342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-9032240</wp:posOffset>
            </wp:positionV>
            <wp:extent cx="34290" cy="342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4614545</wp:posOffset>
            </wp:positionH>
            <wp:positionV relativeFrom="paragraph">
              <wp:posOffset>-8672195</wp:posOffset>
            </wp:positionV>
            <wp:extent cx="34290" cy="342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-8672195</wp:posOffset>
            </wp:positionV>
            <wp:extent cx="34290" cy="342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2874010</wp:posOffset>
            </wp:positionH>
            <wp:positionV relativeFrom="paragraph">
              <wp:posOffset>-8312150</wp:posOffset>
            </wp:positionV>
            <wp:extent cx="34290" cy="342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3748405</wp:posOffset>
            </wp:positionH>
            <wp:positionV relativeFrom="paragraph">
              <wp:posOffset>-8312150</wp:posOffset>
            </wp:positionV>
            <wp:extent cx="34290" cy="342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4614545</wp:posOffset>
            </wp:positionH>
            <wp:positionV relativeFrom="paragraph">
              <wp:posOffset>-8312150</wp:posOffset>
            </wp:positionV>
            <wp:extent cx="34290" cy="342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-8312150</wp:posOffset>
            </wp:positionV>
            <wp:extent cx="34290" cy="342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-8312150</wp:posOffset>
            </wp:positionV>
            <wp:extent cx="34290" cy="342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-8312150</wp:posOffset>
            </wp:positionV>
            <wp:extent cx="34290" cy="342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80" w:hanging="572"/>
        <w:spacing w:after="0" w:line="232" w:lineRule="auto"/>
        <w:tabs>
          <w:tab w:leader="none" w:pos="5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Figures for total loans include past due loans, but do not include accrued but unpaid interest on such past due loans in the year in which such loans became past due. Accrued but unpaid interest for years prior to the year in which a loan became past due is included.</w:t>
      </w:r>
    </w:p>
    <w:p>
      <w:pPr>
        <w:sectPr>
          <w:pgSz w:w="11900" w:h="16838" w:orient="portrait"/>
          <w:cols w:equalWidth="0" w:num="1">
            <w:col w:w="11420"/>
          </w:cols>
          <w:pgMar w:left="240" w:top="131" w:right="239" w:bottom="400" w:gutter="0" w:footer="0" w:header="0"/>
        </w:sectPr>
      </w:pP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131" w:right="239" w:bottom="400" w:gutter="0" w:footer="0" w:header="0"/>
          <w:type w:val="continuous"/>
        </w:sectPr>
      </w:pPr>
    </w:p>
    <w:bookmarkStart w:id="63" w:name="page64"/>
    <w:bookmarkEnd w:id="63"/>
    <w:p>
      <w:pPr>
        <w:ind w:left="180"/>
        <w:spacing w:after="0"/>
        <w:rPr>
          <w:sz w:val="20"/>
          <w:szCs w:val="20"/>
          <w:color w:val="auto"/>
        </w:rPr>
      </w:pPr>
      <w:r>
        <w:rPr>
          <w:rFonts w:ascii="Arial" w:cs="Arial" w:eastAsia="Arial" w:hAnsi="Arial"/>
          <w:sz w:val="18"/>
          <w:szCs w:val="18"/>
          <w:i w:val="1"/>
          <w:iCs w:val="1"/>
          <w:color w:val="auto"/>
        </w:rPr>
        <w:t>Interest-Earning Assets, Net Interest Margin and Yield Spread</w:t>
      </w:r>
    </w:p>
    <w:p>
      <w:pPr>
        <w:spacing w:after="0" w:line="225" w:lineRule="exact"/>
        <w:rPr>
          <w:sz w:val="20"/>
          <w:szCs w:val="20"/>
          <w:color w:val="auto"/>
        </w:rPr>
      </w:pPr>
    </w:p>
    <w:p>
      <w:pPr>
        <w:ind w:firstLine="284"/>
        <w:spacing w:after="0" w:line="268" w:lineRule="auto"/>
        <w:rPr>
          <w:sz w:val="20"/>
          <w:szCs w:val="20"/>
          <w:color w:val="auto"/>
        </w:rPr>
      </w:pPr>
      <w:r>
        <w:rPr>
          <w:rFonts w:ascii="Arial" w:cs="Arial" w:eastAsia="Arial" w:hAnsi="Arial"/>
          <w:sz w:val="18"/>
          <w:szCs w:val="18"/>
          <w:color w:val="auto"/>
        </w:rPr>
        <w:t>The following table shows for each of the periods indicated, by currency, the levels of average interest-earning assets, net interest income, gross yield, net interest margin and yield spread, all on a nominal basis.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320" w:type="dxa"/>
            <w:vAlign w:val="bottom"/>
          </w:tcPr>
          <w:p>
            <w:pPr>
              <w:spacing w:after="0"/>
              <w:rPr>
                <w:sz w:val="19"/>
                <w:szCs w:val="19"/>
                <w:color w:val="auto"/>
              </w:rPr>
            </w:pPr>
          </w:p>
        </w:tc>
        <w:tc>
          <w:tcPr>
            <w:tcW w:w="3760" w:type="dxa"/>
            <w:vAlign w:val="bottom"/>
            <w:gridSpan w:val="5"/>
          </w:tcPr>
          <w:p>
            <w:pPr>
              <w:jc w:val="center"/>
              <w:ind w:left="1212"/>
              <w:spacing w:after="0"/>
              <w:rPr>
                <w:sz w:val="20"/>
                <w:szCs w:val="20"/>
                <w:color w:val="auto"/>
              </w:rPr>
            </w:pPr>
            <w:r>
              <w:rPr>
                <w:rFonts w:ascii="Arial" w:cs="Arial" w:eastAsia="Arial" w:hAnsi="Arial"/>
                <w:sz w:val="18"/>
                <w:szCs w:val="18"/>
                <w:b w:val="1"/>
                <w:bCs w:val="1"/>
                <w:color w:val="auto"/>
                <w:w w:val="86"/>
              </w:rPr>
              <w:t>Year ended December 31,</w:t>
            </w:r>
          </w:p>
        </w:tc>
        <w:tc>
          <w:tcPr>
            <w:tcW w:w="1320" w:type="dxa"/>
            <w:vAlign w:val="bottom"/>
          </w:tcPr>
          <w:p>
            <w:pPr>
              <w:spacing w:after="0"/>
              <w:rPr>
                <w:sz w:val="19"/>
                <w:szCs w:val="19"/>
                <w:color w:val="auto"/>
              </w:rPr>
            </w:pPr>
          </w:p>
        </w:tc>
      </w:tr>
      <w:tr>
        <w:trPr>
          <w:trHeight w:val="164"/>
        </w:trPr>
        <w:tc>
          <w:tcPr>
            <w:tcW w:w="632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r>
      <w:tr>
        <w:trPr>
          <w:trHeight w:val="383"/>
        </w:trPr>
        <w:tc>
          <w:tcPr>
            <w:tcW w:w="6320" w:type="dxa"/>
            <w:vAlign w:val="bottom"/>
          </w:tcPr>
          <w:p>
            <w:pPr>
              <w:spacing w:after="0"/>
              <w:rPr>
                <w:sz w:val="24"/>
                <w:szCs w:val="24"/>
                <w:color w:val="auto"/>
              </w:rPr>
            </w:pPr>
          </w:p>
        </w:tc>
        <w:tc>
          <w:tcPr>
            <w:tcW w:w="1660" w:type="dxa"/>
            <w:vAlign w:val="bottom"/>
          </w:tcPr>
          <w:p>
            <w:pPr>
              <w:jc w:val="right"/>
              <w:ind w:right="572"/>
              <w:spacing w:after="0"/>
              <w:rPr>
                <w:sz w:val="20"/>
                <w:szCs w:val="20"/>
                <w:color w:val="auto"/>
              </w:rPr>
            </w:pPr>
            <w:r>
              <w:rPr>
                <w:rFonts w:ascii="Arial" w:cs="Arial" w:eastAsia="Arial" w:hAnsi="Arial"/>
                <w:sz w:val="18"/>
                <w:szCs w:val="18"/>
                <w:b w:val="1"/>
                <w:bCs w:val="1"/>
                <w:color w:val="auto"/>
              </w:rPr>
              <w:t>2001</w:t>
            </w:r>
          </w:p>
        </w:tc>
        <w:tc>
          <w:tcPr>
            <w:tcW w:w="6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9"/>
              </w:rPr>
              <w:t>2002</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jc w:val="right"/>
              <w:ind w:right="572"/>
              <w:spacing w:after="0"/>
              <w:rPr>
                <w:sz w:val="20"/>
                <w:szCs w:val="20"/>
                <w:color w:val="auto"/>
              </w:rPr>
            </w:pPr>
            <w:r>
              <w:rPr>
                <w:rFonts w:ascii="Arial" w:cs="Arial" w:eastAsia="Arial" w:hAnsi="Arial"/>
                <w:sz w:val="18"/>
                <w:szCs w:val="18"/>
                <w:b w:val="1"/>
                <w:bCs w:val="1"/>
                <w:color w:val="auto"/>
              </w:rPr>
              <w:t>2003</w:t>
            </w:r>
          </w:p>
        </w:tc>
      </w:tr>
      <w:tr>
        <w:trPr>
          <w:trHeight w:val="164"/>
        </w:trPr>
        <w:tc>
          <w:tcPr>
            <w:tcW w:w="632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660" w:type="dxa"/>
            <w:vAlign w:val="bottom"/>
            <w:tcBorders>
              <w:bottom w:val="single" w:sz="8" w:color="9A9A9A"/>
            </w:tcBorders>
            <w:gridSpan w:val="2"/>
          </w:tcPr>
          <w:p>
            <w:pPr>
              <w:spacing w:after="0"/>
              <w:rPr>
                <w:sz w:val="14"/>
                <w:szCs w:val="14"/>
                <w:color w:val="auto"/>
              </w:rPr>
            </w:pPr>
          </w:p>
        </w:tc>
      </w:tr>
      <w:tr>
        <w:trPr>
          <w:trHeight w:val="383"/>
        </w:trPr>
        <w:tc>
          <w:tcPr>
            <w:tcW w:w="6320" w:type="dxa"/>
            <w:vAlign w:val="bottom"/>
          </w:tcPr>
          <w:p>
            <w:pPr>
              <w:spacing w:after="0"/>
              <w:rPr>
                <w:sz w:val="24"/>
                <w:szCs w:val="24"/>
                <w:color w:val="auto"/>
              </w:rPr>
            </w:pPr>
          </w:p>
        </w:tc>
        <w:tc>
          <w:tcPr>
            <w:tcW w:w="5080" w:type="dxa"/>
            <w:vAlign w:val="bottom"/>
            <w:gridSpan w:val="6"/>
          </w:tcPr>
          <w:p>
            <w:pPr>
              <w:jc w:val="center"/>
              <w:spacing w:after="0"/>
              <w:rPr>
                <w:sz w:val="20"/>
                <w:szCs w:val="20"/>
                <w:color w:val="auto"/>
              </w:rPr>
            </w:pPr>
            <w:r>
              <w:rPr>
                <w:rFonts w:ascii="Arial" w:cs="Arial" w:eastAsia="Arial" w:hAnsi="Arial"/>
                <w:sz w:val="18"/>
                <w:szCs w:val="18"/>
                <w:i w:val="1"/>
                <w:iCs w:val="1"/>
                <w:color w:val="auto"/>
                <w:w w:val="87"/>
              </w:rPr>
              <w:t>(U.S. Dollars in thousands, except percentages)</w:t>
            </w:r>
          </w:p>
        </w:tc>
      </w:tr>
      <w:tr>
        <w:trPr>
          <w:trHeight w:val="270"/>
        </w:trPr>
        <w:tc>
          <w:tcPr>
            <w:tcW w:w="6320" w:type="dxa"/>
            <w:vAlign w:val="bottom"/>
          </w:tcPr>
          <w:p>
            <w:pPr>
              <w:ind w:left="40"/>
              <w:spacing w:after="0"/>
              <w:rPr>
                <w:sz w:val="20"/>
                <w:szCs w:val="20"/>
                <w:color w:val="auto"/>
              </w:rPr>
            </w:pPr>
            <w:r>
              <w:rPr>
                <w:rFonts w:ascii="Arial" w:cs="Arial" w:eastAsia="Arial" w:hAnsi="Arial"/>
                <w:sz w:val="18"/>
                <w:szCs w:val="18"/>
                <w:color w:val="auto"/>
              </w:rPr>
              <w:t>Average interest-earning assets</w:t>
            </w:r>
          </w:p>
        </w:tc>
        <w:tc>
          <w:tcPr>
            <w:tcW w:w="1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6320" w:type="dxa"/>
            <w:vAlign w:val="bottom"/>
          </w:tcPr>
          <w:p>
            <w:pPr>
              <w:ind w:left="220"/>
              <w:spacing w:after="0"/>
              <w:rPr>
                <w:sz w:val="20"/>
                <w:szCs w:val="20"/>
                <w:color w:val="auto"/>
              </w:rPr>
            </w:pPr>
            <w:r>
              <w:rPr>
                <w:rFonts w:ascii="Arial" w:cs="Arial" w:eastAsia="Arial" w:hAnsi="Arial"/>
                <w:sz w:val="18"/>
                <w:szCs w:val="18"/>
                <w:color w:val="auto"/>
              </w:rPr>
              <w:t>Nuevos Soles</w:t>
            </w:r>
          </w:p>
        </w:tc>
        <w:tc>
          <w:tcPr>
            <w:tcW w:w="1720" w:type="dxa"/>
            <w:vAlign w:val="bottom"/>
            <w:gridSpan w:val="2"/>
          </w:tcPr>
          <w:p>
            <w:pPr>
              <w:ind w:left="720"/>
              <w:spacing w:after="0"/>
              <w:rPr>
                <w:sz w:val="20"/>
                <w:szCs w:val="20"/>
                <w:color w:val="auto"/>
              </w:rPr>
            </w:pPr>
            <w:r>
              <w:rPr>
                <w:rFonts w:ascii="Arial" w:cs="Arial" w:eastAsia="Arial" w:hAnsi="Arial"/>
                <w:sz w:val="18"/>
                <w:szCs w:val="18"/>
                <w:color w:val="auto"/>
                <w:w w:val="93"/>
              </w:rPr>
              <w:t>US$ 830,187</w:t>
            </w:r>
          </w:p>
        </w:tc>
        <w:tc>
          <w:tcPr>
            <w:tcW w:w="2040" w:type="dxa"/>
            <w:vAlign w:val="bottom"/>
            <w:gridSpan w:val="3"/>
          </w:tcPr>
          <w:p>
            <w:pPr>
              <w:ind w:left="720"/>
              <w:spacing w:after="0"/>
              <w:rPr>
                <w:sz w:val="20"/>
                <w:szCs w:val="20"/>
                <w:color w:val="auto"/>
              </w:rPr>
            </w:pPr>
            <w:r>
              <w:rPr>
                <w:rFonts w:ascii="Arial" w:cs="Arial" w:eastAsia="Arial" w:hAnsi="Arial"/>
                <w:sz w:val="18"/>
                <w:szCs w:val="18"/>
                <w:color w:val="auto"/>
              </w:rPr>
              <w:t>US$ 884,030</w:t>
            </w:r>
          </w:p>
        </w:tc>
        <w:tc>
          <w:tcPr>
            <w:tcW w:w="1320" w:type="dxa"/>
            <w:vAlign w:val="bottom"/>
          </w:tcPr>
          <w:p>
            <w:pPr>
              <w:jc w:val="right"/>
              <w:spacing w:after="0"/>
              <w:rPr>
                <w:sz w:val="20"/>
                <w:szCs w:val="20"/>
                <w:color w:val="auto"/>
              </w:rPr>
            </w:pPr>
            <w:r>
              <w:rPr>
                <w:rFonts w:ascii="Arial" w:cs="Arial" w:eastAsia="Arial" w:hAnsi="Arial"/>
                <w:sz w:val="18"/>
                <w:szCs w:val="18"/>
                <w:color w:val="auto"/>
              </w:rPr>
              <w:t>US$ 1,025,636</w:t>
            </w:r>
          </w:p>
        </w:tc>
      </w:tr>
      <w:tr>
        <w:trPr>
          <w:trHeight w:val="270"/>
        </w:trPr>
        <w:tc>
          <w:tcPr>
            <w:tcW w:w="6320" w:type="dxa"/>
            <w:vAlign w:val="bottom"/>
          </w:tcPr>
          <w:p>
            <w:pPr>
              <w:ind w:left="220"/>
              <w:spacing w:after="0"/>
              <w:rPr>
                <w:sz w:val="20"/>
                <w:szCs w:val="20"/>
                <w:color w:val="auto"/>
              </w:rPr>
            </w:pPr>
            <w:r>
              <w:rPr>
                <w:rFonts w:ascii="Arial" w:cs="Arial" w:eastAsia="Arial" w:hAnsi="Arial"/>
                <w:sz w:val="18"/>
                <w:szCs w:val="18"/>
                <w:color w:val="auto"/>
              </w:rPr>
              <w:t>Foreign Currency</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6,301,962</w:t>
            </w:r>
          </w:p>
        </w:tc>
        <w:tc>
          <w:tcPr>
            <w:tcW w:w="1660" w:type="dxa"/>
            <w:vAlign w:val="bottom"/>
          </w:tcPr>
          <w:p>
            <w:pPr>
              <w:jc w:val="right"/>
              <w:spacing w:after="0"/>
              <w:rPr>
                <w:sz w:val="20"/>
                <w:szCs w:val="20"/>
                <w:color w:val="auto"/>
              </w:rPr>
            </w:pPr>
            <w:r>
              <w:rPr>
                <w:rFonts w:ascii="Arial" w:cs="Arial" w:eastAsia="Arial" w:hAnsi="Arial"/>
                <w:sz w:val="18"/>
                <w:szCs w:val="18"/>
                <w:color w:val="auto"/>
              </w:rPr>
              <w:t>6,091,684</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6,475,784</w:t>
            </w:r>
          </w:p>
        </w:tc>
      </w:tr>
      <w:tr>
        <w:trPr>
          <w:trHeight w:val="270"/>
        </w:trPr>
        <w:tc>
          <w:tcPr>
            <w:tcW w:w="6320" w:type="dxa"/>
            <w:vAlign w:val="bottom"/>
          </w:tcPr>
          <w:p>
            <w:pPr>
              <w:ind w:left="200"/>
              <w:spacing w:after="0"/>
              <w:rPr>
                <w:sz w:val="20"/>
                <w:szCs w:val="20"/>
                <w:color w:val="auto"/>
              </w:rPr>
            </w:pPr>
            <w:r>
              <w:rPr>
                <w:rFonts w:ascii="Arial" w:cs="Arial" w:eastAsia="Arial" w:hAnsi="Arial"/>
                <w:sz w:val="18"/>
                <w:szCs w:val="18"/>
                <w:color w:val="auto"/>
              </w:rPr>
              <w:t>Total</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7,132,149</w:t>
            </w:r>
          </w:p>
        </w:tc>
        <w:tc>
          <w:tcPr>
            <w:tcW w:w="1660" w:type="dxa"/>
            <w:vAlign w:val="bottom"/>
          </w:tcPr>
          <w:p>
            <w:pPr>
              <w:jc w:val="right"/>
              <w:spacing w:after="0"/>
              <w:rPr>
                <w:sz w:val="20"/>
                <w:szCs w:val="20"/>
                <w:color w:val="auto"/>
              </w:rPr>
            </w:pPr>
            <w:r>
              <w:rPr>
                <w:rFonts w:ascii="Arial" w:cs="Arial" w:eastAsia="Arial" w:hAnsi="Arial"/>
                <w:sz w:val="18"/>
                <w:szCs w:val="18"/>
                <w:color w:val="auto"/>
              </w:rPr>
              <w:t>6,975,714</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7,501,420</w:t>
            </w:r>
          </w:p>
        </w:tc>
      </w:tr>
      <w:tr>
        <w:trPr>
          <w:trHeight w:val="270"/>
        </w:trPr>
        <w:tc>
          <w:tcPr>
            <w:tcW w:w="6320" w:type="dxa"/>
            <w:vAlign w:val="bottom"/>
          </w:tcPr>
          <w:p>
            <w:pPr>
              <w:ind w:left="40"/>
              <w:spacing w:after="0"/>
              <w:rPr>
                <w:sz w:val="20"/>
                <w:szCs w:val="20"/>
                <w:color w:val="auto"/>
              </w:rPr>
            </w:pPr>
            <w:r>
              <w:rPr>
                <w:rFonts w:ascii="Arial" w:cs="Arial" w:eastAsia="Arial" w:hAnsi="Arial"/>
                <w:sz w:val="18"/>
                <w:szCs w:val="18"/>
                <w:color w:val="auto"/>
              </w:rPr>
              <w:t>Net interest income</w:t>
            </w:r>
          </w:p>
        </w:tc>
        <w:tc>
          <w:tcPr>
            <w:tcW w:w="1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6320" w:type="dxa"/>
            <w:vAlign w:val="bottom"/>
          </w:tcPr>
          <w:p>
            <w:pPr>
              <w:ind w:left="220"/>
              <w:spacing w:after="0"/>
              <w:rPr>
                <w:sz w:val="20"/>
                <w:szCs w:val="20"/>
                <w:color w:val="auto"/>
              </w:rPr>
            </w:pPr>
            <w:r>
              <w:rPr>
                <w:rFonts w:ascii="Arial" w:cs="Arial" w:eastAsia="Arial" w:hAnsi="Arial"/>
                <w:sz w:val="18"/>
                <w:szCs w:val="18"/>
                <w:color w:val="auto"/>
              </w:rPr>
              <w:t>Nuevos Soles</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106,570</w:t>
            </w:r>
          </w:p>
        </w:tc>
        <w:tc>
          <w:tcPr>
            <w:tcW w:w="1660" w:type="dxa"/>
            <w:vAlign w:val="bottom"/>
          </w:tcPr>
          <w:p>
            <w:pPr>
              <w:jc w:val="right"/>
              <w:spacing w:after="0"/>
              <w:rPr>
                <w:sz w:val="20"/>
                <w:szCs w:val="20"/>
                <w:color w:val="auto"/>
              </w:rPr>
            </w:pPr>
            <w:r>
              <w:rPr>
                <w:rFonts w:ascii="Arial" w:cs="Arial" w:eastAsia="Arial" w:hAnsi="Arial"/>
                <w:sz w:val="18"/>
                <w:szCs w:val="18"/>
                <w:color w:val="auto"/>
              </w:rPr>
              <w:t>103,246</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115,100</w:t>
            </w:r>
          </w:p>
        </w:tc>
      </w:tr>
      <w:tr>
        <w:trPr>
          <w:trHeight w:val="270"/>
        </w:trPr>
        <w:tc>
          <w:tcPr>
            <w:tcW w:w="6320" w:type="dxa"/>
            <w:vAlign w:val="bottom"/>
          </w:tcPr>
          <w:p>
            <w:pPr>
              <w:ind w:left="220"/>
              <w:spacing w:after="0"/>
              <w:rPr>
                <w:sz w:val="20"/>
                <w:szCs w:val="20"/>
                <w:color w:val="auto"/>
              </w:rPr>
            </w:pPr>
            <w:r>
              <w:rPr>
                <w:rFonts w:ascii="Arial" w:cs="Arial" w:eastAsia="Arial" w:hAnsi="Arial"/>
                <w:sz w:val="18"/>
                <w:szCs w:val="18"/>
                <w:color w:val="auto"/>
              </w:rPr>
              <w:t>Foreign Currency</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269,660</w:t>
            </w:r>
          </w:p>
        </w:tc>
        <w:tc>
          <w:tcPr>
            <w:tcW w:w="1660" w:type="dxa"/>
            <w:vAlign w:val="bottom"/>
          </w:tcPr>
          <w:p>
            <w:pPr>
              <w:jc w:val="right"/>
              <w:spacing w:after="0"/>
              <w:rPr>
                <w:sz w:val="20"/>
                <w:szCs w:val="20"/>
                <w:color w:val="auto"/>
              </w:rPr>
            </w:pPr>
            <w:r>
              <w:rPr>
                <w:rFonts w:ascii="Arial" w:cs="Arial" w:eastAsia="Arial" w:hAnsi="Arial"/>
                <w:sz w:val="18"/>
                <w:szCs w:val="18"/>
                <w:color w:val="auto"/>
              </w:rPr>
              <w:t>250,558</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270,871</w:t>
            </w:r>
          </w:p>
        </w:tc>
      </w:tr>
      <w:tr>
        <w:trPr>
          <w:trHeight w:val="270"/>
        </w:trPr>
        <w:tc>
          <w:tcPr>
            <w:tcW w:w="6320" w:type="dxa"/>
            <w:vAlign w:val="bottom"/>
          </w:tcPr>
          <w:p>
            <w:pPr>
              <w:ind w:left="200"/>
              <w:spacing w:after="0"/>
              <w:rPr>
                <w:sz w:val="20"/>
                <w:szCs w:val="20"/>
                <w:color w:val="auto"/>
              </w:rPr>
            </w:pPr>
            <w:r>
              <w:rPr>
                <w:rFonts w:ascii="Arial" w:cs="Arial" w:eastAsia="Arial" w:hAnsi="Arial"/>
                <w:sz w:val="18"/>
                <w:szCs w:val="18"/>
                <w:color w:val="auto"/>
              </w:rPr>
              <w:t>Total</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376,230</w:t>
            </w:r>
          </w:p>
        </w:tc>
        <w:tc>
          <w:tcPr>
            <w:tcW w:w="1660" w:type="dxa"/>
            <w:vAlign w:val="bottom"/>
          </w:tcPr>
          <w:p>
            <w:pPr>
              <w:jc w:val="right"/>
              <w:spacing w:after="0"/>
              <w:rPr>
                <w:sz w:val="20"/>
                <w:szCs w:val="20"/>
                <w:color w:val="auto"/>
              </w:rPr>
            </w:pPr>
            <w:r>
              <w:rPr>
                <w:rFonts w:ascii="Arial" w:cs="Arial" w:eastAsia="Arial" w:hAnsi="Arial"/>
                <w:sz w:val="18"/>
                <w:szCs w:val="18"/>
                <w:color w:val="auto"/>
              </w:rPr>
              <w:t>353,804</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385,971</w:t>
            </w:r>
          </w:p>
        </w:tc>
      </w:tr>
      <w:tr>
        <w:trPr>
          <w:trHeight w:val="270"/>
        </w:trPr>
        <w:tc>
          <w:tcPr>
            <w:tcW w:w="6320" w:type="dxa"/>
            <w:vAlign w:val="bottom"/>
          </w:tcPr>
          <w:p>
            <w:pPr>
              <w:ind w:left="40"/>
              <w:spacing w:after="0"/>
              <w:rPr>
                <w:sz w:val="20"/>
                <w:szCs w:val="20"/>
                <w:color w:val="auto"/>
              </w:rPr>
            </w:pPr>
            <w:r>
              <w:rPr>
                <w:rFonts w:ascii="Arial" w:cs="Arial" w:eastAsia="Arial" w:hAnsi="Arial"/>
                <w:sz w:val="18"/>
                <w:szCs w:val="18"/>
                <w:color w:val="auto"/>
              </w:rPr>
              <w:t>Gross yield (1)</w:t>
            </w:r>
          </w:p>
        </w:tc>
        <w:tc>
          <w:tcPr>
            <w:tcW w:w="1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6320" w:type="dxa"/>
            <w:vAlign w:val="bottom"/>
          </w:tcPr>
          <w:p>
            <w:pPr>
              <w:ind w:left="220"/>
              <w:spacing w:after="0"/>
              <w:rPr>
                <w:sz w:val="20"/>
                <w:szCs w:val="20"/>
                <w:color w:val="auto"/>
              </w:rPr>
            </w:pPr>
            <w:r>
              <w:rPr>
                <w:rFonts w:ascii="Arial" w:cs="Arial" w:eastAsia="Arial" w:hAnsi="Arial"/>
                <w:sz w:val="18"/>
                <w:szCs w:val="18"/>
                <w:color w:val="auto"/>
              </w:rPr>
              <w:t>Nuevos Soles</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18.88%</w:t>
            </w: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14.43%</w:t>
            </w:r>
          </w:p>
        </w:tc>
        <w:tc>
          <w:tcPr>
            <w:tcW w:w="3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13.99%</w:t>
            </w:r>
          </w:p>
        </w:tc>
      </w:tr>
      <w:tr>
        <w:trPr>
          <w:trHeight w:val="270"/>
        </w:trPr>
        <w:tc>
          <w:tcPr>
            <w:tcW w:w="6320" w:type="dxa"/>
            <w:vAlign w:val="bottom"/>
          </w:tcPr>
          <w:p>
            <w:pPr>
              <w:ind w:left="220"/>
              <w:spacing w:after="0"/>
              <w:rPr>
                <w:sz w:val="20"/>
                <w:szCs w:val="20"/>
                <w:color w:val="auto"/>
              </w:rPr>
            </w:pPr>
            <w:r>
              <w:rPr>
                <w:rFonts w:ascii="Arial" w:cs="Arial" w:eastAsia="Arial" w:hAnsi="Arial"/>
                <w:sz w:val="18"/>
                <w:szCs w:val="18"/>
                <w:color w:val="auto"/>
              </w:rPr>
              <w:t>Foreign Currency</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8.54%</w:t>
            </w: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6.64%</w:t>
            </w:r>
          </w:p>
        </w:tc>
        <w:tc>
          <w:tcPr>
            <w:tcW w:w="3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6.25%</w:t>
            </w:r>
          </w:p>
        </w:tc>
      </w:tr>
      <w:tr>
        <w:trPr>
          <w:trHeight w:val="270"/>
        </w:trPr>
        <w:tc>
          <w:tcPr>
            <w:tcW w:w="6320" w:type="dxa"/>
            <w:vAlign w:val="bottom"/>
          </w:tcPr>
          <w:p>
            <w:pPr>
              <w:ind w:left="200"/>
              <w:spacing w:after="0"/>
              <w:rPr>
                <w:sz w:val="20"/>
                <w:szCs w:val="20"/>
                <w:color w:val="auto"/>
              </w:rPr>
            </w:pPr>
            <w:r>
              <w:rPr>
                <w:rFonts w:ascii="Arial" w:cs="Arial" w:eastAsia="Arial" w:hAnsi="Arial"/>
                <w:sz w:val="18"/>
                <w:szCs w:val="18"/>
                <w:color w:val="auto"/>
              </w:rPr>
              <w:t>Weighted-average rate</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9.74%</w:t>
            </w: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7.62%</w:t>
            </w:r>
          </w:p>
        </w:tc>
        <w:tc>
          <w:tcPr>
            <w:tcW w:w="3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7.31%</w:t>
            </w:r>
          </w:p>
        </w:tc>
      </w:tr>
      <w:tr>
        <w:trPr>
          <w:trHeight w:val="270"/>
        </w:trPr>
        <w:tc>
          <w:tcPr>
            <w:tcW w:w="6320" w:type="dxa"/>
            <w:vAlign w:val="bottom"/>
          </w:tcPr>
          <w:p>
            <w:pPr>
              <w:ind w:left="40"/>
              <w:spacing w:after="0"/>
              <w:rPr>
                <w:sz w:val="20"/>
                <w:szCs w:val="20"/>
                <w:color w:val="auto"/>
              </w:rPr>
            </w:pPr>
            <w:r>
              <w:rPr>
                <w:rFonts w:ascii="Arial" w:cs="Arial" w:eastAsia="Arial" w:hAnsi="Arial"/>
                <w:sz w:val="18"/>
                <w:szCs w:val="18"/>
                <w:color w:val="auto"/>
              </w:rPr>
              <w:t>Net interest margin (2)</w:t>
            </w:r>
          </w:p>
        </w:tc>
        <w:tc>
          <w:tcPr>
            <w:tcW w:w="1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6320" w:type="dxa"/>
            <w:vAlign w:val="bottom"/>
          </w:tcPr>
          <w:p>
            <w:pPr>
              <w:ind w:left="220"/>
              <w:spacing w:after="0"/>
              <w:rPr>
                <w:sz w:val="20"/>
                <w:szCs w:val="20"/>
                <w:color w:val="auto"/>
              </w:rPr>
            </w:pPr>
            <w:r>
              <w:rPr>
                <w:rFonts w:ascii="Arial" w:cs="Arial" w:eastAsia="Arial" w:hAnsi="Arial"/>
                <w:sz w:val="18"/>
                <w:szCs w:val="18"/>
                <w:color w:val="auto"/>
              </w:rPr>
              <w:t>Nuevos Soles</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12.84%</w:t>
            </w: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11.68%</w:t>
            </w:r>
          </w:p>
        </w:tc>
        <w:tc>
          <w:tcPr>
            <w:tcW w:w="3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11.22%</w:t>
            </w:r>
          </w:p>
        </w:tc>
      </w:tr>
      <w:tr>
        <w:trPr>
          <w:trHeight w:val="270"/>
        </w:trPr>
        <w:tc>
          <w:tcPr>
            <w:tcW w:w="6320" w:type="dxa"/>
            <w:vAlign w:val="bottom"/>
          </w:tcPr>
          <w:p>
            <w:pPr>
              <w:ind w:left="220"/>
              <w:spacing w:after="0"/>
              <w:rPr>
                <w:sz w:val="20"/>
                <w:szCs w:val="20"/>
                <w:color w:val="auto"/>
              </w:rPr>
            </w:pPr>
            <w:r>
              <w:rPr>
                <w:rFonts w:ascii="Arial" w:cs="Arial" w:eastAsia="Arial" w:hAnsi="Arial"/>
                <w:sz w:val="18"/>
                <w:szCs w:val="18"/>
                <w:color w:val="auto"/>
              </w:rPr>
              <w:t>Foreign Currency</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4.28%</w:t>
            </w: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4.11%</w:t>
            </w:r>
          </w:p>
        </w:tc>
        <w:tc>
          <w:tcPr>
            <w:tcW w:w="3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4.18%</w:t>
            </w:r>
          </w:p>
        </w:tc>
      </w:tr>
      <w:tr>
        <w:trPr>
          <w:trHeight w:val="270"/>
        </w:trPr>
        <w:tc>
          <w:tcPr>
            <w:tcW w:w="6320" w:type="dxa"/>
            <w:vAlign w:val="bottom"/>
          </w:tcPr>
          <w:p>
            <w:pPr>
              <w:ind w:left="200"/>
              <w:spacing w:after="0"/>
              <w:rPr>
                <w:sz w:val="20"/>
                <w:szCs w:val="20"/>
                <w:color w:val="auto"/>
              </w:rPr>
            </w:pPr>
            <w:r>
              <w:rPr>
                <w:rFonts w:ascii="Arial" w:cs="Arial" w:eastAsia="Arial" w:hAnsi="Arial"/>
                <w:sz w:val="18"/>
                <w:szCs w:val="18"/>
                <w:color w:val="auto"/>
              </w:rPr>
              <w:t>Weighted-average rate</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5.28%</w:t>
            </w: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5.07%</w:t>
            </w:r>
          </w:p>
        </w:tc>
        <w:tc>
          <w:tcPr>
            <w:tcW w:w="3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5.15%</w:t>
            </w:r>
          </w:p>
        </w:tc>
      </w:tr>
      <w:tr>
        <w:trPr>
          <w:trHeight w:val="270"/>
        </w:trPr>
        <w:tc>
          <w:tcPr>
            <w:tcW w:w="6320" w:type="dxa"/>
            <w:vAlign w:val="bottom"/>
          </w:tcPr>
          <w:p>
            <w:pPr>
              <w:ind w:left="40"/>
              <w:spacing w:after="0"/>
              <w:rPr>
                <w:sz w:val="20"/>
                <w:szCs w:val="20"/>
                <w:color w:val="auto"/>
              </w:rPr>
            </w:pPr>
            <w:r>
              <w:rPr>
                <w:rFonts w:ascii="Arial" w:cs="Arial" w:eastAsia="Arial" w:hAnsi="Arial"/>
                <w:sz w:val="18"/>
                <w:szCs w:val="18"/>
                <w:color w:val="auto"/>
              </w:rPr>
              <w:t>Yield spread (3)</w:t>
            </w:r>
          </w:p>
        </w:tc>
        <w:tc>
          <w:tcPr>
            <w:tcW w:w="1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6320" w:type="dxa"/>
            <w:vAlign w:val="bottom"/>
          </w:tcPr>
          <w:p>
            <w:pPr>
              <w:ind w:left="220"/>
              <w:spacing w:after="0"/>
              <w:rPr>
                <w:sz w:val="20"/>
                <w:szCs w:val="20"/>
                <w:color w:val="auto"/>
              </w:rPr>
            </w:pPr>
            <w:r>
              <w:rPr>
                <w:rFonts w:ascii="Arial" w:cs="Arial" w:eastAsia="Arial" w:hAnsi="Arial"/>
                <w:sz w:val="18"/>
                <w:szCs w:val="18"/>
                <w:color w:val="auto"/>
              </w:rPr>
              <w:t>Nuevos Soles</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12.93%</w:t>
            </w: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12.03%</w:t>
            </w:r>
          </w:p>
        </w:tc>
        <w:tc>
          <w:tcPr>
            <w:tcW w:w="3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11.66%</w:t>
            </w:r>
          </w:p>
        </w:tc>
      </w:tr>
      <w:tr>
        <w:trPr>
          <w:trHeight w:val="270"/>
        </w:trPr>
        <w:tc>
          <w:tcPr>
            <w:tcW w:w="6320" w:type="dxa"/>
            <w:vAlign w:val="bottom"/>
          </w:tcPr>
          <w:p>
            <w:pPr>
              <w:ind w:left="220"/>
              <w:spacing w:after="0"/>
              <w:rPr>
                <w:sz w:val="20"/>
                <w:szCs w:val="20"/>
                <w:color w:val="auto"/>
              </w:rPr>
            </w:pPr>
            <w:r>
              <w:rPr>
                <w:rFonts w:ascii="Arial" w:cs="Arial" w:eastAsia="Arial" w:hAnsi="Arial"/>
                <w:sz w:val="18"/>
                <w:szCs w:val="18"/>
                <w:color w:val="auto"/>
              </w:rPr>
              <w:t>Foreign Currency</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2.98%</w:t>
            </w: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3.39%</w:t>
            </w:r>
          </w:p>
        </w:tc>
        <w:tc>
          <w:tcPr>
            <w:tcW w:w="3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3.59%</w:t>
            </w:r>
          </w:p>
        </w:tc>
      </w:tr>
      <w:tr>
        <w:trPr>
          <w:trHeight w:val="270"/>
        </w:trPr>
        <w:tc>
          <w:tcPr>
            <w:tcW w:w="6320" w:type="dxa"/>
            <w:vAlign w:val="bottom"/>
          </w:tcPr>
          <w:p>
            <w:pPr>
              <w:ind w:left="200"/>
              <w:spacing w:after="0"/>
              <w:rPr>
                <w:sz w:val="20"/>
                <w:szCs w:val="20"/>
                <w:color w:val="auto"/>
              </w:rPr>
            </w:pPr>
            <w:r>
              <w:rPr>
                <w:rFonts w:ascii="Arial" w:cs="Arial" w:eastAsia="Arial" w:hAnsi="Arial"/>
                <w:sz w:val="18"/>
                <w:szCs w:val="18"/>
                <w:color w:val="auto"/>
              </w:rPr>
              <w:t>Weighted-average rate</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4.12%</w:t>
            </w: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4.53%</w:t>
            </w:r>
          </w:p>
        </w:tc>
        <w:tc>
          <w:tcPr>
            <w:tcW w:w="3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4.71%</w:t>
            </w:r>
          </w:p>
        </w:tc>
      </w:tr>
      <w:tr>
        <w:trPr>
          <w:trHeight w:val="243"/>
        </w:trPr>
        <w:tc>
          <w:tcPr>
            <w:tcW w:w="6320" w:type="dxa"/>
            <w:vAlign w:val="bottom"/>
          </w:tcPr>
          <w:p>
            <w:pPr>
              <w:spacing w:after="0"/>
              <w:rPr>
                <w:sz w:val="20"/>
                <w:szCs w:val="20"/>
                <w:color w:val="auto"/>
              </w:rPr>
            </w:pPr>
            <w:r>
              <w:rPr>
                <w:rFonts w:ascii="Arial" w:cs="Arial" w:eastAsia="Arial" w:hAnsi="Arial"/>
                <w:sz w:val="18"/>
                <w:szCs w:val="18"/>
                <w:color w:val="auto"/>
              </w:rPr>
              <w:t>___________________</w:t>
            </w:r>
          </w:p>
        </w:tc>
        <w:tc>
          <w:tcPr>
            <w:tcW w:w="1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-4213225</wp:posOffset>
            </wp:positionV>
            <wp:extent cx="34290" cy="342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5043805</wp:posOffset>
            </wp:positionH>
            <wp:positionV relativeFrom="paragraph">
              <wp:posOffset>-3852545</wp:posOffset>
            </wp:positionV>
            <wp:extent cx="34290" cy="342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-3852545</wp:posOffset>
            </wp:positionV>
            <wp:extent cx="34290" cy="342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-3852545</wp:posOffset>
            </wp:positionV>
            <wp:extent cx="34290" cy="342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80" w:hanging="572"/>
        <w:spacing w:after="0" w:line="226" w:lineRule="auto"/>
        <w:tabs>
          <w:tab w:leader="none" w:pos="5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Gross yield is interest income divided by average interest-earning assets.</w:t>
      </w:r>
    </w:p>
    <w:p>
      <w:pPr>
        <w:ind w:left="580" w:hanging="572"/>
        <w:spacing w:after="0" w:line="221" w:lineRule="auto"/>
        <w:tabs>
          <w:tab w:leader="none" w:pos="5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Net interest margin represents net interest income divided by average interest-earning assets.</w:t>
      </w:r>
    </w:p>
    <w:p>
      <w:pPr>
        <w:ind w:left="580" w:hanging="572"/>
        <w:spacing w:after="0"/>
        <w:tabs>
          <w:tab w:leader="none" w:pos="5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Yield spread, on a nominal basis, represents the difference between gross yield on average interest-earning assets and average cost of interest-bearing liabilities.</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Interest-Earning Deposits With Other Banks</w:t>
      </w:r>
    </w:p>
    <w:p>
      <w:pPr>
        <w:spacing w:after="0" w:line="225"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color w:val="auto"/>
        </w:rPr>
        <w:t>The following table shows the short-term funds deposited with other banks broken down by currency as of the dates indicated. Deposits held in countries other than Perú are denominated in several currencies; however, the substantial majority of such deposits are denominated in U.S. Dollars. These currencies were converted to U.S. Dollars using the applicable SBS exchange rate as of the date of relevant balance.</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6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4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9"/>
              </w:rPr>
              <w:t>At December 31,</w:t>
            </w:r>
          </w:p>
        </w:tc>
        <w:tc>
          <w:tcPr>
            <w:tcW w:w="1320" w:type="dxa"/>
            <w:vAlign w:val="bottom"/>
          </w:tcPr>
          <w:p>
            <w:pPr>
              <w:spacing w:after="0"/>
              <w:rPr>
                <w:sz w:val="19"/>
                <w:szCs w:val="19"/>
                <w:color w:val="auto"/>
              </w:rPr>
            </w:pPr>
          </w:p>
        </w:tc>
      </w:tr>
      <w:tr>
        <w:trPr>
          <w:trHeight w:val="164"/>
        </w:trPr>
        <w:tc>
          <w:tcPr>
            <w:tcW w:w="628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r>
      <w:tr>
        <w:trPr>
          <w:trHeight w:val="383"/>
        </w:trPr>
        <w:tc>
          <w:tcPr>
            <w:tcW w:w="6280" w:type="dxa"/>
            <w:vAlign w:val="bottom"/>
          </w:tcPr>
          <w:p>
            <w:pPr>
              <w:spacing w:after="0"/>
              <w:rPr>
                <w:sz w:val="24"/>
                <w:szCs w:val="24"/>
                <w:color w:val="auto"/>
              </w:rPr>
            </w:pPr>
          </w:p>
        </w:tc>
        <w:tc>
          <w:tcPr>
            <w:tcW w:w="1660" w:type="dxa"/>
            <w:vAlign w:val="bottom"/>
          </w:tcPr>
          <w:p>
            <w:pPr>
              <w:jc w:val="right"/>
              <w:ind w:right="572"/>
              <w:spacing w:after="0"/>
              <w:rPr>
                <w:sz w:val="20"/>
                <w:szCs w:val="20"/>
                <w:color w:val="auto"/>
              </w:rPr>
            </w:pPr>
            <w:r>
              <w:rPr>
                <w:rFonts w:ascii="Arial" w:cs="Arial" w:eastAsia="Arial" w:hAnsi="Arial"/>
                <w:sz w:val="18"/>
                <w:szCs w:val="18"/>
                <w:b w:val="1"/>
                <w:bCs w:val="1"/>
                <w:color w:val="auto"/>
              </w:rPr>
              <w:t>2001</w:t>
            </w:r>
          </w:p>
        </w:tc>
        <w:tc>
          <w:tcPr>
            <w:tcW w:w="6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9"/>
              </w:rPr>
              <w:t>2002</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jc w:val="right"/>
              <w:ind w:right="572"/>
              <w:spacing w:after="0"/>
              <w:rPr>
                <w:sz w:val="20"/>
                <w:szCs w:val="20"/>
                <w:color w:val="auto"/>
              </w:rPr>
            </w:pPr>
            <w:r>
              <w:rPr>
                <w:rFonts w:ascii="Arial" w:cs="Arial" w:eastAsia="Arial" w:hAnsi="Arial"/>
                <w:sz w:val="18"/>
                <w:szCs w:val="18"/>
                <w:b w:val="1"/>
                <w:bCs w:val="1"/>
                <w:color w:val="auto"/>
              </w:rPr>
              <w:t>2003</w:t>
            </w:r>
          </w:p>
        </w:tc>
      </w:tr>
      <w:tr>
        <w:trPr>
          <w:trHeight w:val="164"/>
        </w:trPr>
        <w:tc>
          <w:tcPr>
            <w:tcW w:w="628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r>
      <w:tr>
        <w:trPr>
          <w:trHeight w:val="383"/>
        </w:trPr>
        <w:tc>
          <w:tcPr>
            <w:tcW w:w="6280" w:type="dxa"/>
            <w:vAlign w:val="bottom"/>
          </w:tcPr>
          <w:p>
            <w:pPr>
              <w:spacing w:after="0"/>
              <w:rPr>
                <w:sz w:val="24"/>
                <w:szCs w:val="24"/>
                <w:color w:val="auto"/>
              </w:rPr>
            </w:pPr>
          </w:p>
        </w:tc>
        <w:tc>
          <w:tcPr>
            <w:tcW w:w="3760" w:type="dxa"/>
            <w:vAlign w:val="bottom"/>
            <w:gridSpan w:val="5"/>
          </w:tcPr>
          <w:p>
            <w:pPr>
              <w:jc w:val="center"/>
              <w:ind w:left="1212"/>
              <w:spacing w:after="0"/>
              <w:rPr>
                <w:sz w:val="20"/>
                <w:szCs w:val="20"/>
                <w:color w:val="auto"/>
              </w:rPr>
            </w:pPr>
            <w:r>
              <w:rPr>
                <w:rFonts w:ascii="Arial" w:cs="Arial" w:eastAsia="Arial" w:hAnsi="Arial"/>
                <w:sz w:val="18"/>
                <w:szCs w:val="18"/>
                <w:i w:val="1"/>
                <w:iCs w:val="1"/>
                <w:color w:val="auto"/>
                <w:w w:val="89"/>
              </w:rPr>
              <w:t xml:space="preserve">(U.S. Dollars in thousands </w:t>
            </w:r>
            <w:r>
              <w:rPr>
                <w:rFonts w:ascii="Arial" w:cs="Arial" w:eastAsia="Arial" w:hAnsi="Arial"/>
                <w:sz w:val="18"/>
                <w:szCs w:val="18"/>
                <w:color w:val="auto"/>
                <w:w w:val="89"/>
              </w:rPr>
              <w:t>)</w:t>
            </w:r>
          </w:p>
        </w:tc>
        <w:tc>
          <w:tcPr>
            <w:tcW w:w="1320" w:type="dxa"/>
            <w:vAlign w:val="bottom"/>
          </w:tcPr>
          <w:p>
            <w:pPr>
              <w:spacing w:after="0"/>
              <w:rPr>
                <w:sz w:val="24"/>
                <w:szCs w:val="24"/>
                <w:color w:val="auto"/>
              </w:rPr>
            </w:pP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Nuevo Sol-denominated:</w:t>
            </w:r>
          </w:p>
        </w:tc>
        <w:tc>
          <w:tcPr>
            <w:tcW w:w="1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6280" w:type="dxa"/>
            <w:vAlign w:val="bottom"/>
          </w:tcPr>
          <w:p>
            <w:pPr>
              <w:ind w:left="120"/>
              <w:spacing w:after="0"/>
              <w:rPr>
                <w:sz w:val="20"/>
                <w:szCs w:val="20"/>
                <w:color w:val="auto"/>
              </w:rPr>
            </w:pPr>
            <w:r>
              <w:rPr>
                <w:rFonts w:ascii="Arial" w:cs="Arial" w:eastAsia="Arial" w:hAnsi="Arial"/>
                <w:sz w:val="18"/>
                <w:szCs w:val="18"/>
                <w:color w:val="auto"/>
              </w:rPr>
              <w:t>Peruvian Central Bank</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US$ 0</w:t>
            </w:r>
          </w:p>
        </w:tc>
        <w:tc>
          <w:tcPr>
            <w:tcW w:w="2040" w:type="dxa"/>
            <w:vAlign w:val="bottom"/>
            <w:gridSpan w:val="3"/>
          </w:tcPr>
          <w:p>
            <w:pPr>
              <w:jc w:val="right"/>
              <w:ind w:right="380"/>
              <w:spacing w:after="0"/>
              <w:rPr>
                <w:sz w:val="20"/>
                <w:szCs w:val="20"/>
                <w:color w:val="auto"/>
              </w:rPr>
            </w:pPr>
            <w:r>
              <w:rPr>
                <w:rFonts w:ascii="Arial" w:cs="Arial" w:eastAsia="Arial" w:hAnsi="Arial"/>
                <w:sz w:val="18"/>
                <w:szCs w:val="18"/>
                <w:color w:val="auto"/>
              </w:rPr>
              <w:t>US$ 0</w:t>
            </w:r>
          </w:p>
        </w:tc>
        <w:tc>
          <w:tcPr>
            <w:tcW w:w="1320" w:type="dxa"/>
            <w:vAlign w:val="bottom"/>
          </w:tcPr>
          <w:p>
            <w:pPr>
              <w:jc w:val="right"/>
              <w:spacing w:after="0"/>
              <w:rPr>
                <w:sz w:val="20"/>
                <w:szCs w:val="20"/>
                <w:color w:val="auto"/>
              </w:rPr>
            </w:pPr>
            <w:r>
              <w:rPr>
                <w:rFonts w:ascii="Arial" w:cs="Arial" w:eastAsia="Arial" w:hAnsi="Arial"/>
                <w:sz w:val="18"/>
                <w:szCs w:val="18"/>
                <w:color w:val="auto"/>
              </w:rPr>
              <w:t>US$ 0</w:t>
            </w:r>
          </w:p>
        </w:tc>
      </w:tr>
      <w:tr>
        <w:trPr>
          <w:trHeight w:val="270"/>
        </w:trPr>
        <w:tc>
          <w:tcPr>
            <w:tcW w:w="6280" w:type="dxa"/>
            <w:vAlign w:val="bottom"/>
          </w:tcPr>
          <w:p>
            <w:pPr>
              <w:ind w:left="120"/>
              <w:spacing w:after="0"/>
              <w:rPr>
                <w:sz w:val="20"/>
                <w:szCs w:val="20"/>
                <w:color w:val="auto"/>
              </w:rPr>
            </w:pPr>
            <w:r>
              <w:rPr>
                <w:rFonts w:ascii="Arial" w:cs="Arial" w:eastAsia="Arial" w:hAnsi="Arial"/>
                <w:sz w:val="18"/>
                <w:szCs w:val="18"/>
                <w:color w:val="auto"/>
              </w:rPr>
              <w:t>Commercial banks</w:t>
            </w:r>
          </w:p>
        </w:tc>
        <w:tc>
          <w:tcPr>
            <w:tcW w:w="1660" w:type="dxa"/>
            <w:vAlign w:val="bottom"/>
          </w:tcPr>
          <w:p>
            <w:pPr>
              <w:jc w:val="right"/>
              <w:spacing w:after="0"/>
              <w:rPr>
                <w:sz w:val="20"/>
                <w:szCs w:val="20"/>
                <w:color w:val="auto"/>
              </w:rPr>
            </w:pPr>
            <w:r>
              <w:rPr>
                <w:rFonts w:ascii="Arial" w:cs="Arial" w:eastAsia="Arial" w:hAnsi="Arial"/>
                <w:sz w:val="18"/>
                <w:szCs w:val="18"/>
                <w:color w:val="auto"/>
              </w:rPr>
              <w:t>8,168</w:t>
            </w:r>
          </w:p>
        </w:tc>
        <w:tc>
          <w:tcPr>
            <w:tcW w:w="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43,549</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18,135</w:t>
            </w:r>
          </w:p>
        </w:tc>
      </w:tr>
      <w:tr>
        <w:trPr>
          <w:trHeight w:val="164"/>
        </w:trPr>
        <w:tc>
          <w:tcPr>
            <w:tcW w:w="628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r>
      <w:tr>
        <w:trPr>
          <w:trHeight w:val="383"/>
        </w:trPr>
        <w:tc>
          <w:tcPr>
            <w:tcW w:w="6280" w:type="dxa"/>
            <w:vAlign w:val="bottom"/>
          </w:tcPr>
          <w:p>
            <w:pPr>
              <w:ind w:left="120"/>
              <w:spacing w:after="0"/>
              <w:rPr>
                <w:sz w:val="20"/>
                <w:szCs w:val="20"/>
                <w:color w:val="auto"/>
              </w:rPr>
            </w:pPr>
            <w:r>
              <w:rPr>
                <w:rFonts w:ascii="Arial" w:cs="Arial" w:eastAsia="Arial" w:hAnsi="Arial"/>
                <w:sz w:val="18"/>
                <w:szCs w:val="18"/>
                <w:color w:val="auto"/>
              </w:rPr>
              <w:t>Total Nuevo Sol-denominated</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US$ 8,168</w:t>
            </w:r>
          </w:p>
        </w:tc>
        <w:tc>
          <w:tcPr>
            <w:tcW w:w="2040" w:type="dxa"/>
            <w:vAlign w:val="bottom"/>
            <w:gridSpan w:val="3"/>
          </w:tcPr>
          <w:p>
            <w:pPr>
              <w:jc w:val="right"/>
              <w:ind w:right="380"/>
              <w:spacing w:after="0"/>
              <w:rPr>
                <w:sz w:val="20"/>
                <w:szCs w:val="20"/>
                <w:color w:val="auto"/>
              </w:rPr>
            </w:pPr>
            <w:r>
              <w:rPr>
                <w:rFonts w:ascii="Arial" w:cs="Arial" w:eastAsia="Arial" w:hAnsi="Arial"/>
                <w:sz w:val="18"/>
                <w:szCs w:val="18"/>
                <w:color w:val="auto"/>
              </w:rPr>
              <w:t>US$ 43,549</w:t>
            </w:r>
          </w:p>
        </w:tc>
        <w:tc>
          <w:tcPr>
            <w:tcW w:w="1320" w:type="dxa"/>
            <w:vAlign w:val="bottom"/>
          </w:tcPr>
          <w:p>
            <w:pPr>
              <w:jc w:val="right"/>
              <w:spacing w:after="0"/>
              <w:rPr>
                <w:sz w:val="20"/>
                <w:szCs w:val="20"/>
                <w:color w:val="auto"/>
              </w:rPr>
            </w:pPr>
            <w:r>
              <w:rPr>
                <w:rFonts w:ascii="Arial" w:cs="Arial" w:eastAsia="Arial" w:hAnsi="Arial"/>
                <w:sz w:val="18"/>
                <w:szCs w:val="18"/>
                <w:color w:val="auto"/>
              </w:rPr>
              <w:t>US$ 18,135</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Foreign Currency-denominated:</w:t>
            </w:r>
          </w:p>
        </w:tc>
        <w:tc>
          <w:tcPr>
            <w:tcW w:w="1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6280" w:type="dxa"/>
            <w:vAlign w:val="bottom"/>
          </w:tcPr>
          <w:p>
            <w:pPr>
              <w:ind w:left="120"/>
              <w:spacing w:after="0"/>
              <w:rPr>
                <w:sz w:val="20"/>
                <w:szCs w:val="20"/>
                <w:color w:val="auto"/>
              </w:rPr>
            </w:pPr>
            <w:r>
              <w:rPr>
                <w:rFonts w:ascii="Arial" w:cs="Arial" w:eastAsia="Arial" w:hAnsi="Arial"/>
                <w:sz w:val="18"/>
                <w:szCs w:val="18"/>
                <w:color w:val="auto"/>
              </w:rPr>
              <w:t>Peruvian Central Bank (U.S. Dollars)</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US$ 1,091,351</w:t>
            </w:r>
          </w:p>
        </w:tc>
        <w:tc>
          <w:tcPr>
            <w:tcW w:w="2040" w:type="dxa"/>
            <w:vAlign w:val="bottom"/>
            <w:gridSpan w:val="3"/>
          </w:tcPr>
          <w:p>
            <w:pPr>
              <w:jc w:val="right"/>
              <w:ind w:right="380"/>
              <w:spacing w:after="0"/>
              <w:rPr>
                <w:sz w:val="20"/>
                <w:szCs w:val="20"/>
                <w:color w:val="auto"/>
              </w:rPr>
            </w:pPr>
            <w:r>
              <w:rPr>
                <w:rFonts w:ascii="Arial" w:cs="Arial" w:eastAsia="Arial" w:hAnsi="Arial"/>
                <w:sz w:val="18"/>
                <w:szCs w:val="18"/>
                <w:color w:val="auto"/>
              </w:rPr>
              <w:t>US$ 1,199,203</w:t>
            </w:r>
          </w:p>
        </w:tc>
        <w:tc>
          <w:tcPr>
            <w:tcW w:w="1320" w:type="dxa"/>
            <w:vAlign w:val="bottom"/>
          </w:tcPr>
          <w:p>
            <w:pPr>
              <w:jc w:val="right"/>
              <w:spacing w:after="0"/>
              <w:rPr>
                <w:sz w:val="20"/>
                <w:szCs w:val="20"/>
                <w:color w:val="auto"/>
              </w:rPr>
            </w:pPr>
            <w:r>
              <w:rPr>
                <w:rFonts w:ascii="Arial" w:cs="Arial" w:eastAsia="Arial" w:hAnsi="Arial"/>
                <w:sz w:val="18"/>
                <w:szCs w:val="18"/>
                <w:color w:val="auto"/>
              </w:rPr>
              <w:t>US$ 959,213</w:t>
            </w:r>
          </w:p>
        </w:tc>
      </w:tr>
      <w:tr>
        <w:trPr>
          <w:trHeight w:val="270"/>
        </w:trPr>
        <w:tc>
          <w:tcPr>
            <w:tcW w:w="6280" w:type="dxa"/>
            <w:vAlign w:val="bottom"/>
          </w:tcPr>
          <w:p>
            <w:pPr>
              <w:ind w:left="120"/>
              <w:spacing w:after="0"/>
              <w:rPr>
                <w:sz w:val="20"/>
                <w:szCs w:val="20"/>
                <w:color w:val="auto"/>
              </w:rPr>
            </w:pPr>
            <w:r>
              <w:rPr>
                <w:rFonts w:ascii="Arial" w:cs="Arial" w:eastAsia="Arial" w:hAnsi="Arial"/>
                <w:sz w:val="18"/>
                <w:szCs w:val="18"/>
                <w:color w:val="auto"/>
              </w:rPr>
              <w:t>U.S. Dollars, other</w:t>
            </w:r>
          </w:p>
        </w:tc>
        <w:tc>
          <w:tcPr>
            <w:tcW w:w="1660" w:type="dxa"/>
            <w:vAlign w:val="bottom"/>
          </w:tcPr>
          <w:p>
            <w:pPr>
              <w:jc w:val="right"/>
              <w:spacing w:after="0"/>
              <w:rPr>
                <w:sz w:val="20"/>
                <w:szCs w:val="20"/>
                <w:color w:val="auto"/>
              </w:rPr>
            </w:pPr>
            <w:r>
              <w:rPr>
                <w:rFonts w:ascii="Arial" w:cs="Arial" w:eastAsia="Arial" w:hAnsi="Arial"/>
                <w:sz w:val="18"/>
                <w:szCs w:val="18"/>
                <w:color w:val="auto"/>
              </w:rPr>
              <w:t>513,709</w:t>
            </w:r>
          </w:p>
        </w:tc>
        <w:tc>
          <w:tcPr>
            <w:tcW w:w="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591,149</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393,469</w:t>
            </w:r>
          </w:p>
        </w:tc>
      </w:tr>
      <w:tr>
        <w:trPr>
          <w:trHeight w:val="164"/>
        </w:trPr>
        <w:tc>
          <w:tcPr>
            <w:tcW w:w="628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r>
      <w:tr>
        <w:trPr>
          <w:trHeight w:val="383"/>
        </w:trPr>
        <w:tc>
          <w:tcPr>
            <w:tcW w:w="6280" w:type="dxa"/>
            <w:vAlign w:val="bottom"/>
          </w:tcPr>
          <w:p>
            <w:pPr>
              <w:ind w:left="120"/>
              <w:spacing w:after="0"/>
              <w:rPr>
                <w:sz w:val="20"/>
                <w:szCs w:val="20"/>
                <w:color w:val="auto"/>
              </w:rPr>
            </w:pPr>
            <w:r>
              <w:rPr>
                <w:rFonts w:ascii="Arial" w:cs="Arial" w:eastAsia="Arial" w:hAnsi="Arial"/>
                <w:sz w:val="18"/>
                <w:szCs w:val="18"/>
                <w:color w:val="auto"/>
              </w:rPr>
              <w:t>Other</w:t>
            </w:r>
          </w:p>
        </w:tc>
        <w:tc>
          <w:tcPr>
            <w:tcW w:w="1660" w:type="dxa"/>
            <w:vAlign w:val="bottom"/>
          </w:tcPr>
          <w:p>
            <w:pPr>
              <w:jc w:val="right"/>
              <w:spacing w:after="0"/>
              <w:rPr>
                <w:sz w:val="20"/>
                <w:szCs w:val="20"/>
                <w:color w:val="auto"/>
              </w:rPr>
            </w:pPr>
            <w:r>
              <w:rPr>
                <w:rFonts w:ascii="Arial" w:cs="Arial" w:eastAsia="Arial" w:hAnsi="Arial"/>
                <w:sz w:val="18"/>
                <w:szCs w:val="18"/>
                <w:color w:val="auto"/>
              </w:rPr>
              <w:t>6,383</w:t>
            </w:r>
          </w:p>
        </w:tc>
        <w:tc>
          <w:tcPr>
            <w:tcW w:w="6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34,085</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1,619</w:t>
            </w:r>
          </w:p>
        </w:tc>
      </w:tr>
      <w:tr>
        <w:trPr>
          <w:trHeight w:val="164"/>
        </w:trPr>
        <w:tc>
          <w:tcPr>
            <w:tcW w:w="628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r>
      <w:tr>
        <w:trPr>
          <w:trHeight w:val="383"/>
        </w:trPr>
        <w:tc>
          <w:tcPr>
            <w:tcW w:w="6280" w:type="dxa"/>
            <w:vAlign w:val="bottom"/>
          </w:tcPr>
          <w:p>
            <w:pPr>
              <w:ind w:left="260"/>
              <w:spacing w:after="0"/>
              <w:rPr>
                <w:sz w:val="20"/>
                <w:szCs w:val="20"/>
                <w:color w:val="auto"/>
              </w:rPr>
            </w:pPr>
            <w:r>
              <w:rPr>
                <w:rFonts w:ascii="Arial" w:cs="Arial" w:eastAsia="Arial" w:hAnsi="Arial"/>
                <w:sz w:val="18"/>
                <w:szCs w:val="18"/>
                <w:color w:val="auto"/>
              </w:rPr>
              <w:t>Total Foreign Currency-denominated</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US$ 1,611,443</w:t>
            </w:r>
          </w:p>
        </w:tc>
        <w:tc>
          <w:tcPr>
            <w:tcW w:w="2040" w:type="dxa"/>
            <w:vAlign w:val="bottom"/>
            <w:gridSpan w:val="3"/>
          </w:tcPr>
          <w:p>
            <w:pPr>
              <w:jc w:val="right"/>
              <w:ind w:right="380"/>
              <w:spacing w:after="0"/>
              <w:rPr>
                <w:sz w:val="20"/>
                <w:szCs w:val="20"/>
                <w:color w:val="auto"/>
              </w:rPr>
            </w:pPr>
            <w:r>
              <w:rPr>
                <w:rFonts w:ascii="Arial" w:cs="Arial" w:eastAsia="Arial" w:hAnsi="Arial"/>
                <w:sz w:val="18"/>
                <w:szCs w:val="18"/>
                <w:color w:val="auto"/>
              </w:rPr>
              <w:t>US$ 1,824,437</w:t>
            </w:r>
          </w:p>
        </w:tc>
        <w:tc>
          <w:tcPr>
            <w:tcW w:w="1320" w:type="dxa"/>
            <w:vAlign w:val="bottom"/>
          </w:tcPr>
          <w:p>
            <w:pPr>
              <w:jc w:val="right"/>
              <w:spacing w:after="0"/>
              <w:rPr>
                <w:sz w:val="20"/>
                <w:szCs w:val="20"/>
                <w:color w:val="auto"/>
              </w:rPr>
            </w:pPr>
            <w:r>
              <w:rPr>
                <w:rFonts w:ascii="Arial" w:cs="Arial" w:eastAsia="Arial" w:hAnsi="Arial"/>
                <w:sz w:val="18"/>
                <w:szCs w:val="18"/>
                <w:color w:val="auto"/>
              </w:rPr>
              <w:t>US$ 1,354,301</w:t>
            </w:r>
          </w:p>
        </w:tc>
      </w:tr>
      <w:tr>
        <w:trPr>
          <w:trHeight w:val="164"/>
        </w:trPr>
        <w:tc>
          <w:tcPr>
            <w:tcW w:w="628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r>
      <w:tr>
        <w:trPr>
          <w:trHeight w:val="383"/>
        </w:trPr>
        <w:tc>
          <w:tcPr>
            <w:tcW w:w="6280" w:type="dxa"/>
            <w:vAlign w:val="bottom"/>
          </w:tcPr>
          <w:p>
            <w:pPr>
              <w:ind w:left="260"/>
              <w:spacing w:after="0"/>
              <w:rPr>
                <w:sz w:val="20"/>
                <w:szCs w:val="20"/>
                <w:color w:val="auto"/>
              </w:rPr>
            </w:pPr>
            <w:r>
              <w:rPr>
                <w:rFonts w:ascii="Arial" w:cs="Arial" w:eastAsia="Arial" w:hAnsi="Arial"/>
                <w:sz w:val="18"/>
                <w:szCs w:val="18"/>
                <w:color w:val="auto"/>
              </w:rPr>
              <w:t>Total</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US$ 1,619,611</w:t>
            </w:r>
          </w:p>
        </w:tc>
        <w:tc>
          <w:tcPr>
            <w:tcW w:w="2040" w:type="dxa"/>
            <w:vAlign w:val="bottom"/>
            <w:gridSpan w:val="3"/>
          </w:tcPr>
          <w:p>
            <w:pPr>
              <w:jc w:val="right"/>
              <w:ind w:right="380"/>
              <w:spacing w:after="0"/>
              <w:rPr>
                <w:sz w:val="20"/>
                <w:szCs w:val="20"/>
                <w:color w:val="auto"/>
              </w:rPr>
            </w:pPr>
            <w:r>
              <w:rPr>
                <w:rFonts w:ascii="Arial" w:cs="Arial" w:eastAsia="Arial" w:hAnsi="Arial"/>
                <w:sz w:val="18"/>
                <w:szCs w:val="18"/>
                <w:color w:val="auto"/>
              </w:rPr>
              <w:t>US$ 1,867,986</w:t>
            </w:r>
          </w:p>
        </w:tc>
        <w:tc>
          <w:tcPr>
            <w:tcW w:w="1320" w:type="dxa"/>
            <w:vAlign w:val="bottom"/>
          </w:tcPr>
          <w:p>
            <w:pPr>
              <w:jc w:val="right"/>
              <w:spacing w:after="0"/>
              <w:rPr>
                <w:sz w:val="20"/>
                <w:szCs w:val="20"/>
                <w:color w:val="auto"/>
              </w:rPr>
            </w:pPr>
            <w:r>
              <w:rPr>
                <w:rFonts w:ascii="Arial" w:cs="Arial" w:eastAsia="Arial" w:hAnsi="Arial"/>
                <w:sz w:val="18"/>
                <w:szCs w:val="18"/>
                <w:color w:val="auto"/>
              </w:rPr>
              <w:t>US$ 1,372,436</w:t>
            </w:r>
          </w:p>
        </w:tc>
      </w:tr>
      <w:tr>
        <w:trPr>
          <w:trHeight w:val="174"/>
        </w:trPr>
        <w:tc>
          <w:tcPr>
            <w:tcW w:w="6280" w:type="dxa"/>
            <w:vAlign w:val="bottom"/>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-3221355</wp:posOffset>
            </wp:positionV>
            <wp:extent cx="34290" cy="342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5043805</wp:posOffset>
            </wp:positionH>
            <wp:positionV relativeFrom="paragraph">
              <wp:posOffset>-2861310</wp:posOffset>
            </wp:positionV>
            <wp:extent cx="34290" cy="342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-2861310</wp:posOffset>
            </wp:positionV>
            <wp:extent cx="34290" cy="342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-2861310</wp:posOffset>
            </wp:positionV>
            <wp:extent cx="34290" cy="342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5043805</wp:posOffset>
            </wp:positionH>
            <wp:positionV relativeFrom="paragraph">
              <wp:posOffset>-1986280</wp:posOffset>
            </wp:positionV>
            <wp:extent cx="34290" cy="342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-1986280</wp:posOffset>
            </wp:positionV>
            <wp:extent cx="34290" cy="342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-1986280</wp:posOffset>
            </wp:positionV>
            <wp:extent cx="34290" cy="342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5043805</wp:posOffset>
            </wp:positionH>
            <wp:positionV relativeFrom="paragraph">
              <wp:posOffset>-1111885</wp:posOffset>
            </wp:positionV>
            <wp:extent cx="34290" cy="342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-1111885</wp:posOffset>
            </wp:positionV>
            <wp:extent cx="34290" cy="342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-1111885</wp:posOffset>
            </wp:positionV>
            <wp:extent cx="34290" cy="342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5043805</wp:posOffset>
            </wp:positionH>
            <wp:positionV relativeFrom="paragraph">
              <wp:posOffset>-751840</wp:posOffset>
            </wp:positionV>
            <wp:extent cx="34290" cy="342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-751840</wp:posOffset>
            </wp:positionV>
            <wp:extent cx="34290" cy="342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-751840</wp:posOffset>
            </wp:positionV>
            <wp:extent cx="34290" cy="342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5043805</wp:posOffset>
            </wp:positionH>
            <wp:positionV relativeFrom="paragraph">
              <wp:posOffset>-391160</wp:posOffset>
            </wp:positionV>
            <wp:extent cx="34290" cy="342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-391160</wp:posOffset>
            </wp:positionV>
            <wp:extent cx="34290" cy="342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-391160</wp:posOffset>
            </wp:positionV>
            <wp:extent cx="34290" cy="342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-14605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-14605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-14605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-14605</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-14605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-14605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9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131" w:right="239" w:bottom="90" w:gutter="0" w:footer="0" w:header="0"/>
          <w:type w:val="continuous"/>
        </w:sectPr>
      </w:pPr>
    </w:p>
    <w:bookmarkStart w:id="64" w:name="page65"/>
    <w:bookmarkEnd w:id="64"/>
    <w:p>
      <w:pPr>
        <w:ind w:left="180"/>
        <w:spacing w:after="0"/>
        <w:rPr>
          <w:sz w:val="20"/>
          <w:szCs w:val="20"/>
          <w:color w:val="auto"/>
        </w:rPr>
      </w:pPr>
      <w:r>
        <w:rPr>
          <w:rFonts w:ascii="Arial" w:cs="Arial" w:eastAsia="Arial" w:hAnsi="Arial"/>
          <w:sz w:val="18"/>
          <w:szCs w:val="18"/>
          <w:b w:val="1"/>
          <w:bCs w:val="1"/>
          <w:i w:val="1"/>
          <w:iCs w:val="1"/>
          <w:color w:val="auto"/>
        </w:rPr>
        <w:t>(ii) Investment Portfolio</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The following table shows the net book value of Credicorp’s investment securities by type at the dates indicated. Figures shown in this table include marketable securities as investments. See Notes 5 and 6 to the Credicorp Consolidated Financial Statements.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3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6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89"/>
              </w:rPr>
              <w:t>At December 31,</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6340" w:type="dxa"/>
            <w:vAlign w:val="bottom"/>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83"/>
        </w:trPr>
        <w:tc>
          <w:tcPr>
            <w:tcW w:w="6340" w:type="dxa"/>
            <w:vAlign w:val="bottom"/>
          </w:tcPr>
          <w:p>
            <w:pPr>
              <w:spacing w:after="0"/>
              <w:rPr>
                <w:sz w:val="24"/>
                <w:szCs w:val="24"/>
                <w:color w:val="auto"/>
              </w:rPr>
            </w:pPr>
          </w:p>
        </w:tc>
        <w:tc>
          <w:tcPr>
            <w:tcW w:w="1640" w:type="dxa"/>
            <w:vAlign w:val="bottom"/>
          </w:tcPr>
          <w:p>
            <w:pPr>
              <w:jc w:val="right"/>
              <w:ind w:right="552"/>
              <w:spacing w:after="0"/>
              <w:rPr>
                <w:sz w:val="20"/>
                <w:szCs w:val="20"/>
                <w:color w:val="auto"/>
              </w:rPr>
            </w:pPr>
            <w:r>
              <w:rPr>
                <w:rFonts w:ascii="Arial" w:cs="Arial" w:eastAsia="Arial" w:hAnsi="Arial"/>
                <w:sz w:val="18"/>
                <w:szCs w:val="18"/>
                <w:b w:val="1"/>
                <w:bCs w:val="1"/>
                <w:color w:val="auto"/>
              </w:rPr>
              <w:t>2001</w:t>
            </w:r>
          </w:p>
        </w:tc>
        <w:tc>
          <w:tcPr>
            <w:tcW w:w="1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4"/>
              </w:rPr>
              <w:t>2002</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jc w:val="right"/>
              <w:ind w:right="572"/>
              <w:spacing w:after="0"/>
              <w:rPr>
                <w:sz w:val="20"/>
                <w:szCs w:val="20"/>
                <w:color w:val="auto"/>
              </w:rPr>
            </w:pPr>
            <w:r>
              <w:rPr>
                <w:rFonts w:ascii="Arial" w:cs="Arial" w:eastAsia="Arial" w:hAnsi="Arial"/>
                <w:sz w:val="18"/>
                <w:szCs w:val="18"/>
                <w:b w:val="1"/>
                <w:bCs w:val="1"/>
                <w:color w:val="auto"/>
              </w:rPr>
              <w:t>2003</w:t>
            </w:r>
          </w:p>
        </w:tc>
        <w:tc>
          <w:tcPr>
            <w:tcW w:w="0" w:type="dxa"/>
            <w:vAlign w:val="bottom"/>
          </w:tcPr>
          <w:p>
            <w:pPr>
              <w:spacing w:after="0"/>
              <w:rPr>
                <w:sz w:val="1"/>
                <w:szCs w:val="1"/>
                <w:color w:val="auto"/>
              </w:rPr>
            </w:pPr>
          </w:p>
        </w:tc>
      </w:tr>
      <w:tr>
        <w:trPr>
          <w:trHeight w:val="164"/>
        </w:trPr>
        <w:tc>
          <w:tcPr>
            <w:tcW w:w="6340" w:type="dxa"/>
            <w:vAlign w:val="bottom"/>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83"/>
        </w:trPr>
        <w:tc>
          <w:tcPr>
            <w:tcW w:w="6340" w:type="dxa"/>
            <w:vAlign w:val="bottom"/>
          </w:tcPr>
          <w:p>
            <w:pPr>
              <w:spacing w:after="0"/>
              <w:rPr>
                <w:sz w:val="24"/>
                <w:szCs w:val="24"/>
                <w:color w:val="auto"/>
              </w:rPr>
            </w:pPr>
          </w:p>
        </w:tc>
        <w:tc>
          <w:tcPr>
            <w:tcW w:w="3760" w:type="dxa"/>
            <w:vAlign w:val="bottom"/>
            <w:gridSpan w:val="5"/>
          </w:tcPr>
          <w:p>
            <w:pPr>
              <w:jc w:val="center"/>
              <w:ind w:left="1212"/>
              <w:spacing w:after="0"/>
              <w:rPr>
                <w:sz w:val="20"/>
                <w:szCs w:val="20"/>
                <w:color w:val="auto"/>
              </w:rPr>
            </w:pPr>
            <w:r>
              <w:rPr>
                <w:rFonts w:ascii="Arial" w:cs="Arial" w:eastAsia="Arial" w:hAnsi="Arial"/>
                <w:sz w:val="18"/>
                <w:szCs w:val="18"/>
                <w:i w:val="1"/>
                <w:iCs w:val="1"/>
                <w:color w:val="auto"/>
                <w:w w:val="90"/>
              </w:rPr>
              <w:t>(U.S. Dollars in thousands)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340" w:type="dxa"/>
            <w:vAlign w:val="bottom"/>
          </w:tcPr>
          <w:p>
            <w:pPr>
              <w:ind w:left="40"/>
              <w:spacing w:after="0"/>
              <w:rPr>
                <w:sz w:val="20"/>
                <w:szCs w:val="20"/>
                <w:color w:val="auto"/>
              </w:rPr>
            </w:pPr>
            <w:r>
              <w:rPr>
                <w:rFonts w:ascii="Arial" w:cs="Arial" w:eastAsia="Arial" w:hAnsi="Arial"/>
                <w:sz w:val="18"/>
                <w:szCs w:val="18"/>
                <w:b w:val="1"/>
                <w:bCs w:val="1"/>
                <w:color w:val="auto"/>
              </w:rPr>
              <w:t>Nuevo Sol-denominated :</w:t>
            </w:r>
          </w:p>
        </w:tc>
        <w:tc>
          <w:tcPr>
            <w:tcW w:w="1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40" w:type="dxa"/>
            <w:vAlign w:val="bottom"/>
          </w:tcPr>
          <w:p>
            <w:pPr>
              <w:ind w:left="40"/>
              <w:spacing w:after="0"/>
              <w:rPr>
                <w:sz w:val="20"/>
                <w:szCs w:val="20"/>
                <w:color w:val="auto"/>
              </w:rPr>
            </w:pPr>
            <w:r>
              <w:rPr>
                <w:rFonts w:ascii="Arial" w:cs="Arial" w:eastAsia="Arial" w:hAnsi="Arial"/>
                <w:sz w:val="18"/>
                <w:szCs w:val="18"/>
                <w:color w:val="auto"/>
              </w:rPr>
              <w:t>Peruvian government bonds</w:t>
            </w:r>
          </w:p>
        </w:tc>
        <w:tc>
          <w:tcPr>
            <w:tcW w:w="1640" w:type="dxa"/>
            <w:vAlign w:val="bottom"/>
          </w:tcPr>
          <w:p>
            <w:pPr>
              <w:jc w:val="right"/>
              <w:spacing w:after="0"/>
              <w:rPr>
                <w:sz w:val="20"/>
                <w:szCs w:val="20"/>
                <w:color w:val="auto"/>
              </w:rPr>
            </w:pPr>
            <w:r>
              <w:rPr>
                <w:rFonts w:ascii="Arial" w:cs="Arial" w:eastAsia="Arial" w:hAnsi="Arial"/>
                <w:sz w:val="18"/>
                <w:szCs w:val="18"/>
                <w:color w:val="auto"/>
              </w:rPr>
              <w:t>US$ 0</w:t>
            </w:r>
          </w:p>
        </w:tc>
        <w:tc>
          <w:tcPr>
            <w:tcW w:w="60" w:type="dxa"/>
            <w:vAlign w:val="bottom"/>
          </w:tcPr>
          <w:p>
            <w:pPr>
              <w:spacing w:after="0"/>
              <w:rPr>
                <w:sz w:val="23"/>
                <w:szCs w:val="23"/>
                <w:color w:val="auto"/>
              </w:rPr>
            </w:pPr>
          </w:p>
        </w:tc>
        <w:tc>
          <w:tcPr>
            <w:tcW w:w="2060" w:type="dxa"/>
            <w:vAlign w:val="bottom"/>
            <w:gridSpan w:val="3"/>
          </w:tcPr>
          <w:p>
            <w:pPr>
              <w:jc w:val="right"/>
              <w:ind w:right="400"/>
              <w:spacing w:after="0"/>
              <w:rPr>
                <w:sz w:val="20"/>
                <w:szCs w:val="20"/>
                <w:color w:val="auto"/>
              </w:rPr>
            </w:pPr>
            <w:r>
              <w:rPr>
                <w:rFonts w:ascii="Arial" w:cs="Arial" w:eastAsia="Arial" w:hAnsi="Arial"/>
                <w:sz w:val="18"/>
                <w:szCs w:val="18"/>
                <w:color w:val="auto"/>
              </w:rPr>
              <w:t>US$ 0</w:t>
            </w:r>
          </w:p>
        </w:tc>
        <w:tc>
          <w:tcPr>
            <w:tcW w:w="1300" w:type="dxa"/>
            <w:vAlign w:val="bottom"/>
          </w:tcPr>
          <w:p>
            <w:pPr>
              <w:jc w:val="right"/>
              <w:spacing w:after="0"/>
              <w:rPr>
                <w:sz w:val="20"/>
                <w:szCs w:val="20"/>
                <w:color w:val="auto"/>
              </w:rPr>
            </w:pPr>
            <w:r>
              <w:rPr>
                <w:rFonts w:ascii="Arial" w:cs="Arial" w:eastAsia="Arial" w:hAnsi="Arial"/>
                <w:sz w:val="18"/>
                <w:szCs w:val="18"/>
                <w:color w:val="auto"/>
              </w:rPr>
              <w:t>US$ 33,362</w:t>
            </w:r>
          </w:p>
        </w:tc>
        <w:tc>
          <w:tcPr>
            <w:tcW w:w="0" w:type="dxa"/>
            <w:vAlign w:val="bottom"/>
          </w:tcPr>
          <w:p>
            <w:pPr>
              <w:spacing w:after="0"/>
              <w:rPr>
                <w:sz w:val="1"/>
                <w:szCs w:val="1"/>
                <w:color w:val="auto"/>
              </w:rPr>
            </w:pPr>
          </w:p>
        </w:tc>
      </w:tr>
      <w:tr>
        <w:trPr>
          <w:trHeight w:val="270"/>
        </w:trPr>
        <w:tc>
          <w:tcPr>
            <w:tcW w:w="634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1640" w:type="dxa"/>
            <w:vAlign w:val="bottom"/>
          </w:tcPr>
          <w:p>
            <w:pPr>
              <w:jc w:val="right"/>
              <w:spacing w:after="0"/>
              <w:rPr>
                <w:sz w:val="20"/>
                <w:szCs w:val="20"/>
                <w:color w:val="auto"/>
              </w:rPr>
            </w:pPr>
            <w:r>
              <w:rPr>
                <w:rFonts w:ascii="Arial" w:cs="Arial" w:eastAsia="Arial" w:hAnsi="Arial"/>
                <w:sz w:val="18"/>
                <w:szCs w:val="18"/>
                <w:color w:val="auto"/>
              </w:rPr>
              <w:t>81,730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33,309</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65,617</w:t>
            </w:r>
          </w:p>
        </w:tc>
        <w:tc>
          <w:tcPr>
            <w:tcW w:w="0" w:type="dxa"/>
            <w:vAlign w:val="bottom"/>
          </w:tcPr>
          <w:p>
            <w:pPr>
              <w:spacing w:after="0"/>
              <w:rPr>
                <w:sz w:val="1"/>
                <w:szCs w:val="1"/>
                <w:color w:val="auto"/>
              </w:rPr>
            </w:pPr>
          </w:p>
        </w:tc>
      </w:tr>
      <w:tr>
        <w:trPr>
          <w:trHeight w:val="270"/>
        </w:trPr>
        <w:tc>
          <w:tcPr>
            <w:tcW w:w="6340" w:type="dxa"/>
            <w:vAlign w:val="bottom"/>
          </w:tcPr>
          <w:p>
            <w:pPr>
              <w:ind w:left="40"/>
              <w:spacing w:after="0"/>
              <w:rPr>
                <w:sz w:val="20"/>
                <w:szCs w:val="20"/>
                <w:color w:val="auto"/>
              </w:rPr>
            </w:pPr>
            <w:r>
              <w:rPr>
                <w:rFonts w:ascii="Arial" w:cs="Arial" w:eastAsia="Arial" w:hAnsi="Arial"/>
                <w:sz w:val="18"/>
                <w:szCs w:val="18"/>
                <w:color w:val="auto"/>
              </w:rPr>
              <w:t>Bonds</w:t>
            </w:r>
          </w:p>
        </w:tc>
        <w:tc>
          <w:tcPr>
            <w:tcW w:w="1640" w:type="dxa"/>
            <w:vAlign w:val="bottom"/>
          </w:tcPr>
          <w:p>
            <w:pPr>
              <w:jc w:val="right"/>
              <w:spacing w:after="0"/>
              <w:rPr>
                <w:sz w:val="20"/>
                <w:szCs w:val="20"/>
                <w:color w:val="auto"/>
              </w:rPr>
            </w:pPr>
            <w:r>
              <w:rPr>
                <w:rFonts w:ascii="Arial" w:cs="Arial" w:eastAsia="Arial" w:hAnsi="Arial"/>
                <w:sz w:val="18"/>
                <w:szCs w:val="18"/>
                <w:color w:val="auto"/>
              </w:rPr>
              <w:t>67,027</w:t>
            </w:r>
          </w:p>
        </w:tc>
        <w:tc>
          <w:tcPr>
            <w:tcW w:w="1760" w:type="dxa"/>
            <w:vAlign w:val="bottom"/>
            <w:gridSpan w:val="3"/>
          </w:tcPr>
          <w:p>
            <w:pPr>
              <w:jc w:val="right"/>
              <w:ind w:right="40"/>
              <w:spacing w:after="0"/>
              <w:rPr>
                <w:sz w:val="20"/>
                <w:szCs w:val="20"/>
                <w:color w:val="auto"/>
              </w:rPr>
            </w:pPr>
            <w:r>
              <w:rPr>
                <w:rFonts w:ascii="Arial" w:cs="Arial" w:eastAsia="Arial" w:hAnsi="Arial"/>
                <w:sz w:val="18"/>
                <w:szCs w:val="18"/>
                <w:color w:val="auto"/>
              </w:rPr>
              <w:t>116,158</w:t>
            </w: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71,629</w:t>
            </w:r>
          </w:p>
        </w:tc>
        <w:tc>
          <w:tcPr>
            <w:tcW w:w="0" w:type="dxa"/>
            <w:vAlign w:val="bottom"/>
          </w:tcPr>
          <w:p>
            <w:pPr>
              <w:spacing w:after="0"/>
              <w:rPr>
                <w:sz w:val="1"/>
                <w:szCs w:val="1"/>
                <w:color w:val="auto"/>
              </w:rPr>
            </w:pPr>
          </w:p>
        </w:tc>
      </w:tr>
      <w:tr>
        <w:trPr>
          <w:trHeight w:val="270"/>
        </w:trPr>
        <w:tc>
          <w:tcPr>
            <w:tcW w:w="6340" w:type="dxa"/>
            <w:vAlign w:val="bottom"/>
          </w:tcPr>
          <w:p>
            <w:pPr>
              <w:ind w:left="40"/>
              <w:spacing w:after="0"/>
              <w:rPr>
                <w:sz w:val="20"/>
                <w:szCs w:val="20"/>
                <w:color w:val="auto"/>
              </w:rPr>
            </w:pPr>
            <w:r>
              <w:rPr>
                <w:rFonts w:ascii="Arial" w:cs="Arial" w:eastAsia="Arial" w:hAnsi="Arial"/>
                <w:sz w:val="18"/>
                <w:szCs w:val="18"/>
                <w:color w:val="auto"/>
              </w:rPr>
              <w:t>Peruvian Central Bank certif. notes</w:t>
            </w:r>
          </w:p>
        </w:tc>
        <w:tc>
          <w:tcPr>
            <w:tcW w:w="1640" w:type="dxa"/>
            <w:vAlign w:val="bottom"/>
          </w:tcPr>
          <w:p>
            <w:pPr>
              <w:jc w:val="right"/>
              <w:spacing w:after="0"/>
              <w:rPr>
                <w:sz w:val="20"/>
                <w:szCs w:val="20"/>
                <w:color w:val="auto"/>
              </w:rPr>
            </w:pPr>
            <w:r>
              <w:rPr>
                <w:rFonts w:ascii="Arial" w:cs="Arial" w:eastAsia="Arial" w:hAnsi="Arial"/>
                <w:sz w:val="18"/>
                <w:szCs w:val="18"/>
                <w:color w:val="auto"/>
              </w:rPr>
              <w:t>91,624</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184,033</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375,713</w:t>
            </w:r>
          </w:p>
        </w:tc>
        <w:tc>
          <w:tcPr>
            <w:tcW w:w="0" w:type="dxa"/>
            <w:vAlign w:val="bottom"/>
          </w:tcPr>
          <w:p>
            <w:pPr>
              <w:spacing w:after="0"/>
              <w:rPr>
                <w:sz w:val="1"/>
                <w:szCs w:val="1"/>
                <w:color w:val="auto"/>
              </w:rPr>
            </w:pPr>
          </w:p>
        </w:tc>
      </w:tr>
      <w:tr>
        <w:trPr>
          <w:trHeight w:val="270"/>
        </w:trPr>
        <w:tc>
          <w:tcPr>
            <w:tcW w:w="634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1640" w:type="dxa"/>
            <w:vAlign w:val="bottom"/>
          </w:tcPr>
          <w:p>
            <w:pPr>
              <w:jc w:val="right"/>
              <w:spacing w:after="0"/>
              <w:rPr>
                <w:sz w:val="20"/>
                <w:szCs w:val="20"/>
                <w:color w:val="auto"/>
              </w:rPr>
            </w:pPr>
            <w:r>
              <w:rPr>
                <w:rFonts w:ascii="Arial" w:cs="Arial" w:eastAsia="Arial" w:hAnsi="Arial"/>
                <w:sz w:val="18"/>
                <w:szCs w:val="18"/>
                <w:color w:val="auto"/>
              </w:rPr>
              <w:t>15,294</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48,885</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15,570</w:t>
            </w:r>
          </w:p>
        </w:tc>
        <w:tc>
          <w:tcPr>
            <w:tcW w:w="0" w:type="dxa"/>
            <w:vAlign w:val="bottom"/>
          </w:tcPr>
          <w:p>
            <w:pPr>
              <w:spacing w:after="0"/>
              <w:rPr>
                <w:sz w:val="1"/>
                <w:szCs w:val="1"/>
                <w:color w:val="auto"/>
              </w:rPr>
            </w:pPr>
          </w:p>
        </w:tc>
      </w:tr>
      <w:tr>
        <w:trPr>
          <w:trHeight w:val="164"/>
        </w:trPr>
        <w:tc>
          <w:tcPr>
            <w:tcW w:w="6340" w:type="dxa"/>
            <w:vAlign w:val="bottom"/>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83"/>
        </w:trPr>
        <w:tc>
          <w:tcPr>
            <w:tcW w:w="6340" w:type="dxa"/>
            <w:vAlign w:val="bottom"/>
          </w:tcPr>
          <w:p>
            <w:pPr>
              <w:ind w:left="200"/>
              <w:spacing w:after="0"/>
              <w:rPr>
                <w:sz w:val="20"/>
                <w:szCs w:val="20"/>
                <w:color w:val="auto"/>
              </w:rPr>
            </w:pPr>
            <w:r>
              <w:rPr>
                <w:rFonts w:ascii="Arial" w:cs="Arial" w:eastAsia="Arial" w:hAnsi="Arial"/>
                <w:sz w:val="18"/>
                <w:szCs w:val="18"/>
                <w:color w:val="auto"/>
              </w:rPr>
              <w:t>Total Nuevo Sol-denominated</w:t>
            </w:r>
          </w:p>
        </w:tc>
        <w:tc>
          <w:tcPr>
            <w:tcW w:w="1640" w:type="dxa"/>
            <w:vAlign w:val="bottom"/>
          </w:tcPr>
          <w:p>
            <w:pPr>
              <w:jc w:val="right"/>
              <w:spacing w:after="0"/>
              <w:rPr>
                <w:sz w:val="20"/>
                <w:szCs w:val="20"/>
                <w:color w:val="auto"/>
              </w:rPr>
            </w:pPr>
            <w:r>
              <w:rPr>
                <w:rFonts w:ascii="Arial" w:cs="Arial" w:eastAsia="Arial" w:hAnsi="Arial"/>
                <w:sz w:val="18"/>
                <w:szCs w:val="18"/>
                <w:color w:val="auto"/>
              </w:rPr>
              <w:t>US$ 255,675</w:t>
            </w:r>
          </w:p>
        </w:tc>
        <w:tc>
          <w:tcPr>
            <w:tcW w:w="60" w:type="dxa"/>
            <w:vAlign w:val="bottom"/>
          </w:tcPr>
          <w:p>
            <w:pPr>
              <w:spacing w:after="0"/>
              <w:rPr>
                <w:sz w:val="24"/>
                <w:szCs w:val="24"/>
                <w:color w:val="auto"/>
              </w:rPr>
            </w:pPr>
          </w:p>
        </w:tc>
        <w:tc>
          <w:tcPr>
            <w:tcW w:w="2060" w:type="dxa"/>
            <w:vAlign w:val="bottom"/>
            <w:gridSpan w:val="3"/>
          </w:tcPr>
          <w:p>
            <w:pPr>
              <w:jc w:val="right"/>
              <w:ind w:right="400"/>
              <w:spacing w:after="0"/>
              <w:rPr>
                <w:sz w:val="20"/>
                <w:szCs w:val="20"/>
                <w:color w:val="auto"/>
              </w:rPr>
            </w:pPr>
            <w:r>
              <w:rPr>
                <w:rFonts w:ascii="Arial" w:cs="Arial" w:eastAsia="Arial" w:hAnsi="Arial"/>
                <w:sz w:val="18"/>
                <w:szCs w:val="18"/>
                <w:color w:val="auto"/>
              </w:rPr>
              <w:t>US$ 382,385</w:t>
            </w:r>
          </w:p>
        </w:tc>
        <w:tc>
          <w:tcPr>
            <w:tcW w:w="1300" w:type="dxa"/>
            <w:vAlign w:val="bottom"/>
          </w:tcPr>
          <w:p>
            <w:pPr>
              <w:jc w:val="right"/>
              <w:spacing w:after="0"/>
              <w:rPr>
                <w:sz w:val="20"/>
                <w:szCs w:val="20"/>
                <w:color w:val="auto"/>
              </w:rPr>
            </w:pPr>
            <w:r>
              <w:rPr>
                <w:rFonts w:ascii="Arial" w:cs="Arial" w:eastAsia="Arial" w:hAnsi="Arial"/>
                <w:sz w:val="18"/>
                <w:szCs w:val="18"/>
                <w:color w:val="auto"/>
              </w:rPr>
              <w:t>US$561,891</w:t>
            </w:r>
          </w:p>
        </w:tc>
        <w:tc>
          <w:tcPr>
            <w:tcW w:w="0" w:type="dxa"/>
            <w:vAlign w:val="bottom"/>
          </w:tcPr>
          <w:p>
            <w:pPr>
              <w:spacing w:after="0"/>
              <w:rPr>
                <w:sz w:val="1"/>
                <w:szCs w:val="1"/>
                <w:color w:val="auto"/>
              </w:rPr>
            </w:pPr>
          </w:p>
        </w:tc>
      </w:tr>
      <w:tr>
        <w:trPr>
          <w:trHeight w:val="164"/>
        </w:trPr>
        <w:tc>
          <w:tcPr>
            <w:tcW w:w="6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Foreign Currency-denominated:</w:t>
            </w:r>
          </w:p>
        </w:tc>
        <w:tc>
          <w:tcPr>
            <w:tcW w:w="164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83"/>
        </w:trPr>
        <w:tc>
          <w:tcPr>
            <w:tcW w:w="634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34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1640" w:type="dxa"/>
            <w:vAlign w:val="bottom"/>
          </w:tcPr>
          <w:p>
            <w:pPr>
              <w:jc w:val="right"/>
              <w:spacing w:after="0"/>
              <w:rPr>
                <w:sz w:val="20"/>
                <w:szCs w:val="20"/>
                <w:color w:val="auto"/>
              </w:rPr>
            </w:pPr>
            <w:r>
              <w:rPr>
                <w:rFonts w:ascii="Arial" w:cs="Arial" w:eastAsia="Arial" w:hAnsi="Arial"/>
                <w:sz w:val="18"/>
                <w:szCs w:val="18"/>
                <w:color w:val="auto"/>
              </w:rPr>
              <w:t>US$ 76,917</w:t>
            </w:r>
          </w:p>
        </w:tc>
        <w:tc>
          <w:tcPr>
            <w:tcW w:w="60" w:type="dxa"/>
            <w:vAlign w:val="bottom"/>
          </w:tcPr>
          <w:p>
            <w:pPr>
              <w:spacing w:after="0"/>
              <w:rPr>
                <w:sz w:val="23"/>
                <w:szCs w:val="23"/>
                <w:color w:val="auto"/>
              </w:rPr>
            </w:pPr>
          </w:p>
        </w:tc>
        <w:tc>
          <w:tcPr>
            <w:tcW w:w="2060" w:type="dxa"/>
            <w:vAlign w:val="bottom"/>
            <w:gridSpan w:val="3"/>
          </w:tcPr>
          <w:p>
            <w:pPr>
              <w:jc w:val="right"/>
              <w:ind w:right="400"/>
              <w:spacing w:after="0"/>
              <w:rPr>
                <w:sz w:val="20"/>
                <w:szCs w:val="20"/>
                <w:color w:val="auto"/>
              </w:rPr>
            </w:pPr>
            <w:r>
              <w:rPr>
                <w:rFonts w:ascii="Arial" w:cs="Arial" w:eastAsia="Arial" w:hAnsi="Arial"/>
                <w:sz w:val="18"/>
                <w:szCs w:val="18"/>
                <w:color w:val="auto"/>
              </w:rPr>
              <w:t>US$ 80,943</w:t>
            </w:r>
          </w:p>
        </w:tc>
        <w:tc>
          <w:tcPr>
            <w:tcW w:w="1300" w:type="dxa"/>
            <w:vAlign w:val="bottom"/>
          </w:tcPr>
          <w:p>
            <w:pPr>
              <w:jc w:val="right"/>
              <w:spacing w:after="0"/>
              <w:rPr>
                <w:sz w:val="20"/>
                <w:szCs w:val="20"/>
                <w:color w:val="auto"/>
              </w:rPr>
            </w:pPr>
            <w:r>
              <w:rPr>
                <w:rFonts w:ascii="Arial" w:cs="Arial" w:eastAsia="Arial" w:hAnsi="Arial"/>
                <w:sz w:val="18"/>
                <w:szCs w:val="18"/>
                <w:color w:val="auto"/>
              </w:rPr>
              <w:t>US$59,535</w:t>
            </w:r>
          </w:p>
        </w:tc>
        <w:tc>
          <w:tcPr>
            <w:tcW w:w="0" w:type="dxa"/>
            <w:vAlign w:val="bottom"/>
          </w:tcPr>
          <w:p>
            <w:pPr>
              <w:spacing w:after="0"/>
              <w:rPr>
                <w:sz w:val="1"/>
                <w:szCs w:val="1"/>
                <w:color w:val="auto"/>
              </w:rPr>
            </w:pPr>
          </w:p>
        </w:tc>
      </w:tr>
      <w:tr>
        <w:trPr>
          <w:trHeight w:val="270"/>
        </w:trPr>
        <w:tc>
          <w:tcPr>
            <w:tcW w:w="6340" w:type="dxa"/>
            <w:vAlign w:val="bottom"/>
          </w:tcPr>
          <w:p>
            <w:pPr>
              <w:ind w:left="40"/>
              <w:spacing w:after="0"/>
              <w:rPr>
                <w:sz w:val="20"/>
                <w:szCs w:val="20"/>
                <w:color w:val="auto"/>
              </w:rPr>
            </w:pPr>
            <w:r>
              <w:rPr>
                <w:rFonts w:ascii="Arial" w:cs="Arial" w:eastAsia="Arial" w:hAnsi="Arial"/>
                <w:sz w:val="18"/>
                <w:szCs w:val="18"/>
                <w:color w:val="auto"/>
              </w:rPr>
              <w:t>Bonds</w:t>
            </w:r>
          </w:p>
        </w:tc>
        <w:tc>
          <w:tcPr>
            <w:tcW w:w="1640" w:type="dxa"/>
            <w:vAlign w:val="bottom"/>
          </w:tcPr>
          <w:p>
            <w:pPr>
              <w:jc w:val="right"/>
              <w:spacing w:after="0"/>
              <w:rPr>
                <w:sz w:val="20"/>
                <w:szCs w:val="20"/>
                <w:color w:val="auto"/>
              </w:rPr>
            </w:pPr>
            <w:r>
              <w:rPr>
                <w:rFonts w:ascii="Arial" w:cs="Arial" w:eastAsia="Arial" w:hAnsi="Arial"/>
                <w:sz w:val="18"/>
                <w:szCs w:val="18"/>
                <w:color w:val="auto"/>
              </w:rPr>
              <w:t>366,137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461,684</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799,821</w:t>
            </w:r>
          </w:p>
        </w:tc>
        <w:tc>
          <w:tcPr>
            <w:tcW w:w="0" w:type="dxa"/>
            <w:vAlign w:val="bottom"/>
          </w:tcPr>
          <w:p>
            <w:pPr>
              <w:spacing w:after="0"/>
              <w:rPr>
                <w:sz w:val="1"/>
                <w:szCs w:val="1"/>
                <w:color w:val="auto"/>
              </w:rPr>
            </w:pPr>
          </w:p>
        </w:tc>
      </w:tr>
      <w:tr>
        <w:trPr>
          <w:trHeight w:val="270"/>
        </w:trPr>
        <w:tc>
          <w:tcPr>
            <w:tcW w:w="6340" w:type="dxa"/>
            <w:vAlign w:val="bottom"/>
          </w:tcPr>
          <w:p>
            <w:pPr>
              <w:ind w:left="40"/>
              <w:spacing w:after="0"/>
              <w:rPr>
                <w:sz w:val="20"/>
                <w:szCs w:val="20"/>
                <w:color w:val="auto"/>
              </w:rPr>
            </w:pPr>
            <w:r>
              <w:rPr>
                <w:rFonts w:ascii="Arial" w:cs="Arial" w:eastAsia="Arial" w:hAnsi="Arial"/>
                <w:sz w:val="18"/>
                <w:szCs w:val="18"/>
                <w:color w:val="auto"/>
              </w:rPr>
              <w:t>Investment in Peruvian debt</w:t>
            </w:r>
          </w:p>
        </w:tc>
        <w:tc>
          <w:tcPr>
            <w:tcW w:w="1640" w:type="dxa"/>
            <w:vAlign w:val="bottom"/>
          </w:tcPr>
          <w:p>
            <w:pPr>
              <w:jc w:val="right"/>
              <w:spacing w:after="0"/>
              <w:rPr>
                <w:sz w:val="20"/>
                <w:szCs w:val="20"/>
                <w:color w:val="auto"/>
              </w:rPr>
            </w:pPr>
            <w:r>
              <w:rPr>
                <w:rFonts w:ascii="Arial" w:cs="Arial" w:eastAsia="Arial" w:hAnsi="Arial"/>
                <w:sz w:val="18"/>
                <w:szCs w:val="18"/>
                <w:color w:val="auto"/>
              </w:rPr>
              <w:t>49,467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44,172</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112,457</w:t>
            </w:r>
          </w:p>
        </w:tc>
        <w:tc>
          <w:tcPr>
            <w:tcW w:w="0" w:type="dxa"/>
            <w:vAlign w:val="bottom"/>
          </w:tcPr>
          <w:p>
            <w:pPr>
              <w:spacing w:after="0"/>
              <w:rPr>
                <w:sz w:val="1"/>
                <w:szCs w:val="1"/>
                <w:color w:val="auto"/>
              </w:rPr>
            </w:pPr>
          </w:p>
        </w:tc>
      </w:tr>
      <w:tr>
        <w:trPr>
          <w:trHeight w:val="270"/>
        </w:trPr>
        <w:tc>
          <w:tcPr>
            <w:tcW w:w="6340" w:type="dxa"/>
            <w:vAlign w:val="bottom"/>
          </w:tcPr>
          <w:p>
            <w:pPr>
              <w:ind w:left="40"/>
              <w:spacing w:after="0"/>
              <w:rPr>
                <w:sz w:val="20"/>
                <w:szCs w:val="20"/>
                <w:color w:val="auto"/>
              </w:rPr>
            </w:pPr>
            <w:r>
              <w:rPr>
                <w:rFonts w:ascii="Arial" w:cs="Arial" w:eastAsia="Arial" w:hAnsi="Arial"/>
                <w:sz w:val="18"/>
                <w:szCs w:val="18"/>
                <w:color w:val="auto"/>
              </w:rPr>
              <w:t>Other investment.</w:t>
            </w:r>
          </w:p>
        </w:tc>
        <w:tc>
          <w:tcPr>
            <w:tcW w:w="1640" w:type="dxa"/>
            <w:vAlign w:val="bottom"/>
          </w:tcPr>
          <w:p>
            <w:pPr>
              <w:jc w:val="right"/>
              <w:spacing w:after="0"/>
              <w:rPr>
                <w:sz w:val="20"/>
                <w:szCs w:val="20"/>
                <w:color w:val="auto"/>
              </w:rPr>
            </w:pPr>
            <w:r>
              <w:rPr>
                <w:rFonts w:ascii="Arial" w:cs="Arial" w:eastAsia="Arial" w:hAnsi="Arial"/>
                <w:sz w:val="18"/>
                <w:szCs w:val="18"/>
                <w:color w:val="auto"/>
              </w:rPr>
              <w:t>390,522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271,204</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206,548</w:t>
            </w:r>
          </w:p>
        </w:tc>
        <w:tc>
          <w:tcPr>
            <w:tcW w:w="0" w:type="dxa"/>
            <w:vAlign w:val="bottom"/>
          </w:tcPr>
          <w:p>
            <w:pPr>
              <w:spacing w:after="0"/>
              <w:rPr>
                <w:sz w:val="1"/>
                <w:szCs w:val="1"/>
                <w:color w:val="auto"/>
              </w:rPr>
            </w:pPr>
          </w:p>
        </w:tc>
      </w:tr>
      <w:tr>
        <w:trPr>
          <w:trHeight w:val="164"/>
        </w:trPr>
        <w:tc>
          <w:tcPr>
            <w:tcW w:w="6340" w:type="dxa"/>
            <w:vAlign w:val="bottom"/>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83"/>
        </w:trPr>
        <w:tc>
          <w:tcPr>
            <w:tcW w:w="6340" w:type="dxa"/>
            <w:vAlign w:val="bottom"/>
          </w:tcPr>
          <w:p>
            <w:pPr>
              <w:ind w:left="200"/>
              <w:spacing w:after="0"/>
              <w:rPr>
                <w:sz w:val="20"/>
                <w:szCs w:val="20"/>
                <w:color w:val="auto"/>
              </w:rPr>
            </w:pPr>
            <w:r>
              <w:rPr>
                <w:rFonts w:ascii="Arial" w:cs="Arial" w:eastAsia="Arial" w:hAnsi="Arial"/>
                <w:sz w:val="18"/>
                <w:szCs w:val="18"/>
                <w:color w:val="auto"/>
              </w:rPr>
              <w:t>Total Foreign Currency-denominated</w:t>
            </w:r>
          </w:p>
        </w:tc>
        <w:tc>
          <w:tcPr>
            <w:tcW w:w="1640" w:type="dxa"/>
            <w:vAlign w:val="bottom"/>
          </w:tcPr>
          <w:p>
            <w:pPr>
              <w:jc w:val="right"/>
              <w:spacing w:after="0"/>
              <w:rPr>
                <w:sz w:val="20"/>
                <w:szCs w:val="20"/>
                <w:color w:val="auto"/>
              </w:rPr>
            </w:pPr>
            <w:r>
              <w:rPr>
                <w:rFonts w:ascii="Arial" w:cs="Arial" w:eastAsia="Arial" w:hAnsi="Arial"/>
                <w:sz w:val="18"/>
                <w:szCs w:val="18"/>
                <w:color w:val="auto"/>
              </w:rPr>
              <w:t>US$883,043</w:t>
            </w:r>
          </w:p>
        </w:tc>
        <w:tc>
          <w:tcPr>
            <w:tcW w:w="60" w:type="dxa"/>
            <w:vAlign w:val="bottom"/>
          </w:tcPr>
          <w:p>
            <w:pPr>
              <w:spacing w:after="0"/>
              <w:rPr>
                <w:sz w:val="24"/>
                <w:szCs w:val="24"/>
                <w:color w:val="auto"/>
              </w:rPr>
            </w:pPr>
          </w:p>
        </w:tc>
        <w:tc>
          <w:tcPr>
            <w:tcW w:w="2060" w:type="dxa"/>
            <w:vAlign w:val="bottom"/>
            <w:gridSpan w:val="3"/>
          </w:tcPr>
          <w:p>
            <w:pPr>
              <w:jc w:val="right"/>
              <w:ind w:right="400"/>
              <w:spacing w:after="0"/>
              <w:rPr>
                <w:sz w:val="20"/>
                <w:szCs w:val="20"/>
                <w:color w:val="auto"/>
              </w:rPr>
            </w:pPr>
            <w:r>
              <w:rPr>
                <w:rFonts w:ascii="Arial" w:cs="Arial" w:eastAsia="Arial" w:hAnsi="Arial"/>
                <w:sz w:val="18"/>
                <w:szCs w:val="18"/>
                <w:color w:val="auto"/>
              </w:rPr>
              <w:t>US$ 858,003</w:t>
            </w:r>
          </w:p>
        </w:tc>
        <w:tc>
          <w:tcPr>
            <w:tcW w:w="1300" w:type="dxa"/>
            <w:vAlign w:val="bottom"/>
          </w:tcPr>
          <w:p>
            <w:pPr>
              <w:jc w:val="right"/>
              <w:spacing w:after="0"/>
              <w:rPr>
                <w:sz w:val="20"/>
                <w:szCs w:val="20"/>
                <w:color w:val="auto"/>
              </w:rPr>
            </w:pPr>
            <w:r>
              <w:rPr>
                <w:rFonts w:ascii="Arial" w:cs="Arial" w:eastAsia="Arial" w:hAnsi="Arial"/>
                <w:sz w:val="18"/>
                <w:szCs w:val="18"/>
                <w:color w:val="auto"/>
              </w:rPr>
              <w:t>US$1,178,361</w:t>
            </w:r>
          </w:p>
        </w:tc>
        <w:tc>
          <w:tcPr>
            <w:tcW w:w="0" w:type="dxa"/>
            <w:vAlign w:val="bottom"/>
          </w:tcPr>
          <w:p>
            <w:pPr>
              <w:spacing w:after="0"/>
              <w:rPr>
                <w:sz w:val="1"/>
                <w:szCs w:val="1"/>
                <w:color w:val="auto"/>
              </w:rPr>
            </w:pPr>
          </w:p>
        </w:tc>
      </w:tr>
      <w:tr>
        <w:trPr>
          <w:trHeight w:val="164"/>
        </w:trPr>
        <w:tc>
          <w:tcPr>
            <w:tcW w:w="6340" w:type="dxa"/>
            <w:vAlign w:val="bottom"/>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83"/>
        </w:trPr>
        <w:tc>
          <w:tcPr>
            <w:tcW w:w="6340" w:type="dxa"/>
            <w:vAlign w:val="bottom"/>
          </w:tcPr>
          <w:p>
            <w:pPr>
              <w:ind w:left="40"/>
              <w:spacing w:after="0"/>
              <w:rPr>
                <w:sz w:val="20"/>
                <w:szCs w:val="20"/>
                <w:color w:val="auto"/>
              </w:rPr>
            </w:pPr>
            <w:r>
              <w:rPr>
                <w:rFonts w:ascii="Arial" w:cs="Arial" w:eastAsia="Arial" w:hAnsi="Arial"/>
                <w:sz w:val="18"/>
                <w:szCs w:val="18"/>
                <w:color w:val="auto"/>
              </w:rPr>
              <w:t>Total securities holdings</w:t>
            </w:r>
          </w:p>
        </w:tc>
        <w:tc>
          <w:tcPr>
            <w:tcW w:w="1640" w:type="dxa"/>
            <w:vAlign w:val="bottom"/>
          </w:tcPr>
          <w:p>
            <w:pPr>
              <w:jc w:val="right"/>
              <w:spacing w:after="0"/>
              <w:rPr>
                <w:sz w:val="20"/>
                <w:szCs w:val="20"/>
                <w:color w:val="auto"/>
              </w:rPr>
            </w:pPr>
            <w:r>
              <w:rPr>
                <w:rFonts w:ascii="Arial" w:cs="Arial" w:eastAsia="Arial" w:hAnsi="Arial"/>
                <w:sz w:val="18"/>
                <w:szCs w:val="18"/>
                <w:color w:val="auto"/>
              </w:rPr>
              <w:t>US$1,138,718</w:t>
            </w:r>
          </w:p>
        </w:tc>
        <w:tc>
          <w:tcPr>
            <w:tcW w:w="60" w:type="dxa"/>
            <w:vAlign w:val="bottom"/>
          </w:tcPr>
          <w:p>
            <w:pPr>
              <w:spacing w:after="0"/>
              <w:rPr>
                <w:sz w:val="24"/>
                <w:szCs w:val="24"/>
                <w:color w:val="auto"/>
              </w:rPr>
            </w:pPr>
          </w:p>
        </w:tc>
        <w:tc>
          <w:tcPr>
            <w:tcW w:w="2060" w:type="dxa"/>
            <w:vAlign w:val="bottom"/>
            <w:gridSpan w:val="3"/>
          </w:tcPr>
          <w:p>
            <w:pPr>
              <w:jc w:val="right"/>
              <w:ind w:right="400"/>
              <w:spacing w:after="0"/>
              <w:rPr>
                <w:sz w:val="20"/>
                <w:szCs w:val="20"/>
                <w:color w:val="auto"/>
              </w:rPr>
            </w:pPr>
            <w:r>
              <w:rPr>
                <w:rFonts w:ascii="Arial" w:cs="Arial" w:eastAsia="Arial" w:hAnsi="Arial"/>
                <w:sz w:val="18"/>
                <w:szCs w:val="18"/>
                <w:color w:val="auto"/>
              </w:rPr>
              <w:t>US$1,240,388</w:t>
            </w:r>
          </w:p>
        </w:tc>
        <w:tc>
          <w:tcPr>
            <w:tcW w:w="1300" w:type="dxa"/>
            <w:vAlign w:val="bottom"/>
          </w:tcPr>
          <w:p>
            <w:pPr>
              <w:jc w:val="right"/>
              <w:spacing w:after="0"/>
              <w:rPr>
                <w:sz w:val="20"/>
                <w:szCs w:val="20"/>
                <w:color w:val="auto"/>
              </w:rPr>
            </w:pPr>
            <w:r>
              <w:rPr>
                <w:rFonts w:ascii="Arial" w:cs="Arial" w:eastAsia="Arial" w:hAnsi="Arial"/>
                <w:sz w:val="18"/>
                <w:szCs w:val="18"/>
                <w:color w:val="auto"/>
              </w:rPr>
              <w:t>US$1,740,252</w:t>
            </w:r>
          </w:p>
        </w:tc>
        <w:tc>
          <w:tcPr>
            <w:tcW w:w="0" w:type="dxa"/>
            <w:vAlign w:val="bottom"/>
          </w:tcPr>
          <w:p>
            <w:pPr>
              <w:spacing w:after="0"/>
              <w:rPr>
                <w:sz w:val="1"/>
                <w:szCs w:val="1"/>
                <w:color w:val="auto"/>
              </w:rPr>
            </w:pPr>
          </w:p>
        </w:tc>
      </w:tr>
      <w:tr>
        <w:trPr>
          <w:trHeight w:val="264"/>
        </w:trPr>
        <w:tc>
          <w:tcPr>
            <w:tcW w:w="6340" w:type="dxa"/>
            <w:vAlign w:val="bottom"/>
          </w:tcPr>
          <w:p>
            <w:pPr>
              <w:ind w:left="40"/>
              <w:spacing w:after="0"/>
              <w:rPr>
                <w:sz w:val="20"/>
                <w:szCs w:val="20"/>
                <w:color w:val="auto"/>
              </w:rPr>
            </w:pPr>
            <w:r>
              <w:rPr>
                <w:rFonts w:ascii="Arial" w:cs="Arial" w:eastAsia="Arial" w:hAnsi="Arial"/>
                <w:sz w:val="18"/>
                <w:szCs w:val="18"/>
                <w:color w:val="auto"/>
              </w:rPr>
              <w:t>Allowance for decline in value</w:t>
            </w:r>
          </w:p>
        </w:tc>
        <w:tc>
          <w:tcPr>
            <w:tcW w:w="1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6340" w:type="dxa"/>
            <w:vAlign w:val="bottom"/>
          </w:tcPr>
          <w:p>
            <w:pPr>
              <w:ind w:left="380"/>
              <w:spacing w:after="0"/>
              <w:rPr>
                <w:sz w:val="20"/>
                <w:szCs w:val="20"/>
                <w:color w:val="auto"/>
              </w:rPr>
            </w:pPr>
            <w:r>
              <w:rPr>
                <w:rFonts w:ascii="Arial" w:cs="Arial" w:eastAsia="Arial" w:hAnsi="Arial"/>
                <w:sz w:val="18"/>
                <w:szCs w:val="18"/>
                <w:color w:val="auto"/>
              </w:rPr>
              <w:t>of marketable securities (1)</w:t>
            </w:r>
          </w:p>
        </w:tc>
        <w:tc>
          <w:tcPr>
            <w:tcW w:w="1640" w:type="dxa"/>
            <w:vAlign w:val="bottom"/>
          </w:tcPr>
          <w:p>
            <w:pPr>
              <w:jc w:val="right"/>
              <w:spacing w:after="0"/>
              <w:rPr>
                <w:sz w:val="20"/>
                <w:szCs w:val="20"/>
                <w:color w:val="auto"/>
              </w:rPr>
            </w:pPr>
            <w:r>
              <w:rPr>
                <w:rFonts w:ascii="Arial" w:cs="Arial" w:eastAsia="Arial" w:hAnsi="Arial"/>
                <w:sz w:val="18"/>
                <w:szCs w:val="18"/>
                <w:color w:val="auto"/>
              </w:rPr>
              <w:t>(3,231)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0"/>
        </w:trPr>
        <w:tc>
          <w:tcPr>
            <w:tcW w:w="6340" w:type="dxa"/>
            <w:vAlign w:val="bottom"/>
          </w:tcPr>
          <w:p>
            <w:pPr>
              <w:ind w:left="200"/>
              <w:spacing w:after="0"/>
              <w:rPr>
                <w:sz w:val="20"/>
                <w:szCs w:val="20"/>
                <w:color w:val="auto"/>
              </w:rPr>
            </w:pPr>
            <w:r>
              <w:rPr>
                <w:rFonts w:ascii="Arial" w:cs="Arial" w:eastAsia="Arial" w:hAnsi="Arial"/>
                <w:sz w:val="18"/>
                <w:szCs w:val="18"/>
                <w:color w:val="auto"/>
              </w:rPr>
              <w:t>Total net securities holdings</w:t>
            </w:r>
          </w:p>
        </w:tc>
        <w:tc>
          <w:tcPr>
            <w:tcW w:w="1640" w:type="dxa"/>
            <w:vAlign w:val="bottom"/>
          </w:tcPr>
          <w:p>
            <w:pPr>
              <w:jc w:val="right"/>
              <w:spacing w:after="0"/>
              <w:rPr>
                <w:sz w:val="20"/>
                <w:szCs w:val="20"/>
                <w:color w:val="auto"/>
              </w:rPr>
            </w:pPr>
            <w:r>
              <w:rPr>
                <w:rFonts w:ascii="Arial" w:cs="Arial" w:eastAsia="Arial" w:hAnsi="Arial"/>
                <w:sz w:val="18"/>
                <w:szCs w:val="18"/>
                <w:color w:val="auto"/>
              </w:rPr>
              <w:t>US$1,135,487</w:t>
            </w:r>
          </w:p>
        </w:tc>
        <w:tc>
          <w:tcPr>
            <w:tcW w:w="60" w:type="dxa"/>
            <w:vAlign w:val="bottom"/>
          </w:tcPr>
          <w:p>
            <w:pPr>
              <w:spacing w:after="0"/>
              <w:rPr>
                <w:sz w:val="23"/>
                <w:szCs w:val="23"/>
                <w:color w:val="auto"/>
              </w:rPr>
            </w:pPr>
          </w:p>
        </w:tc>
        <w:tc>
          <w:tcPr>
            <w:tcW w:w="2060" w:type="dxa"/>
            <w:vAlign w:val="bottom"/>
            <w:gridSpan w:val="3"/>
          </w:tcPr>
          <w:p>
            <w:pPr>
              <w:jc w:val="right"/>
              <w:ind w:right="400"/>
              <w:spacing w:after="0"/>
              <w:rPr>
                <w:sz w:val="20"/>
                <w:szCs w:val="20"/>
                <w:color w:val="auto"/>
              </w:rPr>
            </w:pPr>
            <w:r>
              <w:rPr>
                <w:rFonts w:ascii="Arial" w:cs="Arial" w:eastAsia="Arial" w:hAnsi="Arial"/>
                <w:sz w:val="18"/>
                <w:szCs w:val="18"/>
                <w:color w:val="auto"/>
              </w:rPr>
              <w:t>US$1,240,388</w:t>
            </w:r>
          </w:p>
        </w:tc>
        <w:tc>
          <w:tcPr>
            <w:tcW w:w="1300" w:type="dxa"/>
            <w:vAlign w:val="bottom"/>
          </w:tcPr>
          <w:p>
            <w:pPr>
              <w:jc w:val="right"/>
              <w:spacing w:after="0"/>
              <w:rPr>
                <w:sz w:val="20"/>
                <w:szCs w:val="20"/>
                <w:color w:val="auto"/>
              </w:rPr>
            </w:pPr>
            <w:r>
              <w:rPr>
                <w:rFonts w:ascii="Arial" w:cs="Arial" w:eastAsia="Arial" w:hAnsi="Arial"/>
                <w:sz w:val="18"/>
                <w:szCs w:val="18"/>
                <w:color w:val="auto"/>
              </w:rPr>
              <w:t>US$1,740,252</w:t>
            </w:r>
          </w:p>
        </w:tc>
        <w:tc>
          <w:tcPr>
            <w:tcW w:w="0" w:type="dxa"/>
            <w:vAlign w:val="bottom"/>
          </w:tcPr>
          <w:p>
            <w:pPr>
              <w:spacing w:after="0"/>
              <w:rPr>
                <w:sz w:val="1"/>
                <w:szCs w:val="1"/>
                <w:color w:val="auto"/>
              </w:rPr>
            </w:pPr>
          </w:p>
        </w:tc>
      </w:tr>
      <w:tr>
        <w:trPr>
          <w:trHeight w:val="243"/>
        </w:trPr>
        <w:tc>
          <w:tcPr>
            <w:tcW w:w="6340" w:type="dxa"/>
            <w:vAlign w:val="bottom"/>
          </w:tcPr>
          <w:p>
            <w:pPr>
              <w:spacing w:after="0"/>
              <w:rPr>
                <w:sz w:val="20"/>
                <w:szCs w:val="20"/>
                <w:color w:val="auto"/>
              </w:rPr>
            </w:pPr>
            <w:r>
              <w:rPr>
                <w:rFonts w:ascii="Arial" w:cs="Arial" w:eastAsia="Arial" w:hAnsi="Arial"/>
                <w:sz w:val="18"/>
                <w:szCs w:val="18"/>
                <w:color w:val="auto"/>
              </w:rPr>
              <w:t>___________________</w:t>
            </w:r>
          </w:p>
        </w:tc>
        <w:tc>
          <w:tcPr>
            <w:tcW w:w="1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-4418965</wp:posOffset>
            </wp:positionV>
            <wp:extent cx="34290" cy="342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-4058285</wp:posOffset>
            </wp:positionV>
            <wp:extent cx="34290" cy="342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-4058285</wp:posOffset>
            </wp:positionV>
            <wp:extent cx="34290" cy="342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-4058285</wp:posOffset>
            </wp:positionV>
            <wp:extent cx="34290" cy="342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-2669540</wp:posOffset>
            </wp:positionV>
            <wp:extent cx="34290" cy="342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-2669540</wp:posOffset>
            </wp:positionV>
            <wp:extent cx="34290" cy="342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-2669540</wp:posOffset>
            </wp:positionV>
            <wp:extent cx="34290" cy="342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-2308860</wp:posOffset>
            </wp:positionV>
            <wp:extent cx="34290" cy="342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-2308860</wp:posOffset>
            </wp:positionV>
            <wp:extent cx="34290" cy="342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-2308860</wp:posOffset>
            </wp:positionV>
            <wp:extent cx="34290" cy="342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-1263015</wp:posOffset>
            </wp:positionV>
            <wp:extent cx="34290" cy="342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-1263015</wp:posOffset>
            </wp:positionV>
            <wp:extent cx="34290" cy="342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-1263015</wp:posOffset>
            </wp:positionV>
            <wp:extent cx="34290" cy="342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-902970</wp:posOffset>
            </wp:positionV>
            <wp:extent cx="34290" cy="342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-902970</wp:posOffset>
            </wp:positionV>
            <wp:extent cx="34290" cy="342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-902970</wp:posOffset>
            </wp:positionV>
            <wp:extent cx="34290" cy="342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jc w:val="both"/>
        <w:ind w:left="580" w:right="20" w:hanging="572"/>
        <w:spacing w:after="0" w:line="280" w:lineRule="auto"/>
        <w:tabs>
          <w:tab w:leader="none" w:pos="5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allowance for decline in value of marketable securities reflects the amount of reserves at December 31 of each year, which can differ from income statement amounts of provision for fluctuation in value of investment securities if the securities for which the provision was taken during the year are no longer in Credicorp’s portfolio at year-end, or if their market value by year-end exceeds their acquisition cost, thus allowing a recovery of provision before year-end. In 2002 and 2003 the allowance is debited from the value of each individual security.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firstLine="239"/>
        <w:spacing w:after="0" w:line="259" w:lineRule="auto"/>
        <w:rPr>
          <w:sz w:val="20"/>
          <w:szCs w:val="20"/>
          <w:color w:val="auto"/>
        </w:rPr>
      </w:pPr>
      <w:r>
        <w:rPr>
          <w:rFonts w:ascii="Arial" w:cs="Arial" w:eastAsia="Arial" w:hAnsi="Arial"/>
          <w:sz w:val="18"/>
          <w:szCs w:val="18"/>
          <w:color w:val="auto"/>
        </w:rPr>
        <w:t>The weighted-average yield on Credicorp’s Nuevo Sol-denominated interest and dividend-earning investment portfolio was 6.6% in 2001, 3.4% in 2002, and 4.9% in 2003. The weighted-average yield on Credicorp’s foreign currency-denominated portfolio was 8.1% in 2001, 7.5% in 2002, and 5.1% in 2003. The total weighted-average yield of Credicorp’s portfolio was 7.7% in 2001, 6.4% in 2002, and 4.9% in 2003.</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shows the maturities of Credicorp’s investment securities by type at December 31, 2003:</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Maturing</w:t>
            </w: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After 1 year</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After 5 years</w:t>
            </w: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1320" w:type="dxa"/>
            <w:vAlign w:val="bottom"/>
          </w:tcPr>
          <w:p>
            <w:pPr>
              <w:jc w:val="right"/>
              <w:ind w:right="332"/>
              <w:spacing w:after="0"/>
              <w:rPr>
                <w:sz w:val="20"/>
                <w:szCs w:val="20"/>
                <w:color w:val="auto"/>
              </w:rPr>
            </w:pPr>
            <w:r>
              <w:rPr>
                <w:rFonts w:ascii="Arial" w:cs="Arial" w:eastAsia="Arial" w:hAnsi="Arial"/>
                <w:sz w:val="18"/>
                <w:szCs w:val="18"/>
                <w:b w:val="1"/>
                <w:bCs w:val="1"/>
                <w:color w:val="auto"/>
              </w:rPr>
              <w:t>Within</w:t>
            </w:r>
          </w:p>
        </w:tc>
        <w:tc>
          <w:tcPr>
            <w:tcW w:w="6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but within</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but within</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After</w:t>
            </w:r>
          </w:p>
        </w:tc>
        <w:tc>
          <w:tcPr>
            <w:tcW w:w="1320" w:type="dxa"/>
            <w:vAlign w:val="bottom"/>
          </w:tcPr>
          <w:p>
            <w:pPr>
              <w:spacing w:after="0"/>
              <w:rPr>
                <w:sz w:val="18"/>
                <w:szCs w:val="18"/>
                <w:color w:val="auto"/>
              </w:rPr>
            </w:pPr>
          </w:p>
        </w:tc>
      </w:tr>
      <w:tr>
        <w:trPr>
          <w:trHeight w:val="228"/>
        </w:trPr>
        <w:tc>
          <w:tcPr>
            <w:tcW w:w="4580" w:type="dxa"/>
            <w:vAlign w:val="bottom"/>
          </w:tcPr>
          <w:p>
            <w:pPr>
              <w:spacing w:after="0"/>
              <w:rPr>
                <w:sz w:val="19"/>
                <w:szCs w:val="19"/>
                <w:color w:val="auto"/>
              </w:rPr>
            </w:pPr>
          </w:p>
        </w:tc>
        <w:tc>
          <w:tcPr>
            <w:tcW w:w="1320" w:type="dxa"/>
            <w:vAlign w:val="bottom"/>
          </w:tcPr>
          <w:p>
            <w:pPr>
              <w:jc w:val="right"/>
              <w:ind w:right="352"/>
              <w:spacing w:after="0"/>
              <w:rPr>
                <w:sz w:val="20"/>
                <w:szCs w:val="20"/>
                <w:color w:val="auto"/>
              </w:rPr>
            </w:pPr>
            <w:r>
              <w:rPr>
                <w:rFonts w:ascii="Arial" w:cs="Arial" w:eastAsia="Arial" w:hAnsi="Arial"/>
                <w:sz w:val="18"/>
                <w:szCs w:val="18"/>
                <w:b w:val="1"/>
                <w:bCs w:val="1"/>
                <w:color w:val="auto"/>
              </w:rPr>
              <w:t>1 year</w:t>
            </w:r>
          </w:p>
        </w:tc>
        <w:tc>
          <w:tcPr>
            <w:tcW w:w="60" w:type="dxa"/>
            <w:vAlign w:val="bottom"/>
          </w:tcPr>
          <w:p>
            <w:pPr>
              <w:spacing w:after="0"/>
              <w:rPr>
                <w:sz w:val="19"/>
                <w:szCs w:val="19"/>
                <w:color w:val="auto"/>
              </w:rPr>
            </w:pPr>
          </w:p>
        </w:tc>
        <w:tc>
          <w:tcPr>
            <w:tcW w:w="13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5 years</w:t>
            </w:r>
          </w:p>
        </w:tc>
        <w:tc>
          <w:tcPr>
            <w:tcW w:w="13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5"/>
              </w:rPr>
              <w:t>10 years</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10 Years</w:t>
            </w:r>
          </w:p>
        </w:tc>
        <w:tc>
          <w:tcPr>
            <w:tcW w:w="1320" w:type="dxa"/>
            <w:vAlign w:val="bottom"/>
          </w:tcPr>
          <w:p>
            <w:pPr>
              <w:jc w:val="right"/>
              <w:ind w:right="372"/>
              <w:spacing w:after="0"/>
              <w:rPr>
                <w:sz w:val="20"/>
                <w:szCs w:val="20"/>
                <w:color w:val="auto"/>
              </w:rPr>
            </w:pPr>
            <w:r>
              <w:rPr>
                <w:rFonts w:ascii="Arial" w:cs="Arial" w:eastAsia="Arial" w:hAnsi="Arial"/>
                <w:sz w:val="18"/>
                <w:szCs w:val="18"/>
                <w:b w:val="1"/>
                <w:bCs w:val="1"/>
                <w:color w:val="auto"/>
              </w:rPr>
              <w:t>Total</w:t>
            </w:r>
          </w:p>
        </w:tc>
      </w:tr>
      <w:tr>
        <w:trPr>
          <w:trHeight w:val="164"/>
        </w:trPr>
        <w:tc>
          <w:tcPr>
            <w:tcW w:w="4580" w:type="dxa"/>
            <w:vAlign w:val="bottom"/>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r>
      <w:tr>
        <w:trPr>
          <w:trHeight w:val="653"/>
        </w:trPr>
        <w:tc>
          <w:tcPr>
            <w:tcW w:w="4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80" w:type="dxa"/>
            <w:vAlign w:val="bottom"/>
            <w:gridSpan w:val="6"/>
          </w:tcPr>
          <w:p>
            <w:pPr>
              <w:jc w:val="center"/>
              <w:ind w:right="80"/>
              <w:spacing w:after="0"/>
              <w:rPr>
                <w:sz w:val="20"/>
                <w:szCs w:val="20"/>
                <w:color w:val="auto"/>
              </w:rPr>
            </w:pPr>
            <w:r>
              <w:rPr>
                <w:rFonts w:ascii="Arial" w:cs="Arial" w:eastAsia="Arial" w:hAnsi="Arial"/>
                <w:sz w:val="18"/>
                <w:szCs w:val="18"/>
                <w:color w:val="auto"/>
                <w:w w:val="87"/>
              </w:rPr>
              <w:t xml:space="preserve">( </w:t>
            </w:r>
            <w:r>
              <w:rPr>
                <w:rFonts w:ascii="Arial" w:cs="Arial" w:eastAsia="Arial" w:hAnsi="Arial"/>
                <w:sz w:val="18"/>
                <w:szCs w:val="18"/>
                <w:i w:val="1"/>
                <w:iCs w:val="1"/>
                <w:color w:val="auto"/>
                <w:w w:val="87"/>
              </w:rPr>
              <w:t>U.S. Dollars in thousands, except percentages)</w:t>
            </w:r>
          </w:p>
        </w:tc>
        <w:tc>
          <w:tcPr>
            <w:tcW w:w="1320" w:type="dxa"/>
            <w:vAlign w:val="bottom"/>
          </w:tcPr>
          <w:p>
            <w:pPr>
              <w:spacing w:after="0"/>
              <w:rPr>
                <w:sz w:val="24"/>
                <w:szCs w:val="24"/>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18"/>
                <w:szCs w:val="18"/>
                <w:b w:val="1"/>
                <w:bCs w:val="1"/>
                <w:color w:val="auto"/>
              </w:rPr>
              <w:t>Nuevo Sol-denominated:</w:t>
            </w:r>
          </w:p>
        </w:tc>
        <w:tc>
          <w:tcPr>
            <w:tcW w:w="1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18"/>
                <w:szCs w:val="18"/>
                <w:color w:val="auto"/>
              </w:rPr>
              <w:t>Peruvian government bonds</w:t>
            </w:r>
          </w:p>
        </w:tc>
        <w:tc>
          <w:tcPr>
            <w:tcW w:w="1320" w:type="dxa"/>
            <w:vAlign w:val="bottom"/>
          </w:tcPr>
          <w:p>
            <w:pPr>
              <w:jc w:val="right"/>
              <w:spacing w:after="0"/>
              <w:rPr>
                <w:sz w:val="20"/>
                <w:szCs w:val="20"/>
                <w:color w:val="auto"/>
              </w:rPr>
            </w:pPr>
            <w:r>
              <w:rPr>
                <w:rFonts w:ascii="Arial" w:cs="Arial" w:eastAsia="Arial" w:hAnsi="Arial"/>
                <w:sz w:val="18"/>
                <w:szCs w:val="18"/>
                <w:color w:val="auto"/>
              </w:rPr>
              <w:t>US$ 28,196</w:t>
            </w:r>
          </w:p>
        </w:tc>
        <w:tc>
          <w:tcPr>
            <w:tcW w:w="60" w:type="dxa"/>
            <w:vAlign w:val="bottom"/>
          </w:tcPr>
          <w:p>
            <w:pPr>
              <w:spacing w:after="0"/>
              <w:rPr>
                <w:sz w:val="23"/>
                <w:szCs w:val="23"/>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US$ 0</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US$ 5,166</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US$ 0</w:t>
            </w:r>
          </w:p>
        </w:tc>
        <w:tc>
          <w:tcPr>
            <w:tcW w:w="1320" w:type="dxa"/>
            <w:vAlign w:val="bottom"/>
          </w:tcPr>
          <w:p>
            <w:pPr>
              <w:jc w:val="right"/>
              <w:spacing w:after="0"/>
              <w:rPr>
                <w:sz w:val="20"/>
                <w:szCs w:val="20"/>
                <w:color w:val="auto"/>
              </w:rPr>
            </w:pPr>
            <w:r>
              <w:rPr>
                <w:rFonts w:ascii="Arial" w:cs="Arial" w:eastAsia="Arial" w:hAnsi="Arial"/>
                <w:sz w:val="18"/>
                <w:szCs w:val="18"/>
                <w:color w:val="auto"/>
              </w:rPr>
              <w:t>US$ 33,362</w:t>
            </w:r>
          </w:p>
        </w:tc>
      </w:tr>
      <w:tr>
        <w:trPr>
          <w:trHeight w:val="270"/>
        </w:trPr>
        <w:tc>
          <w:tcPr>
            <w:tcW w:w="4580" w:type="dxa"/>
            <w:vAlign w:val="bottom"/>
          </w:tcPr>
          <w:p>
            <w:pPr>
              <w:spacing w:after="0"/>
              <w:rPr>
                <w:sz w:val="20"/>
                <w:szCs w:val="20"/>
                <w:color w:val="auto"/>
              </w:rPr>
            </w:pPr>
            <w:r>
              <w:rPr>
                <w:rFonts w:ascii="Arial" w:cs="Arial" w:eastAsia="Arial" w:hAnsi="Arial"/>
                <w:sz w:val="18"/>
                <w:szCs w:val="18"/>
                <w:color w:val="auto"/>
              </w:rPr>
              <w:t>Equity securities (1)</w:t>
            </w:r>
          </w:p>
        </w:tc>
        <w:tc>
          <w:tcPr>
            <w:tcW w:w="1320" w:type="dxa"/>
            <w:vAlign w:val="bottom"/>
          </w:tcPr>
          <w:p>
            <w:pPr>
              <w:jc w:val="right"/>
              <w:spacing w:after="0"/>
              <w:rPr>
                <w:sz w:val="20"/>
                <w:szCs w:val="20"/>
                <w:color w:val="auto"/>
              </w:rPr>
            </w:pPr>
            <w:r>
              <w:rPr>
                <w:rFonts w:ascii="Arial" w:cs="Arial" w:eastAsia="Arial" w:hAnsi="Arial"/>
                <w:sz w:val="18"/>
                <w:szCs w:val="18"/>
                <w:color w:val="auto"/>
              </w:rPr>
              <w:t>65,617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3"/>
                <w:szCs w:val="23"/>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1320" w:type="dxa"/>
            <w:vAlign w:val="bottom"/>
          </w:tcPr>
          <w:p>
            <w:pPr>
              <w:jc w:val="right"/>
              <w:spacing w:after="0"/>
              <w:rPr>
                <w:sz w:val="20"/>
                <w:szCs w:val="20"/>
                <w:color w:val="auto"/>
              </w:rPr>
            </w:pPr>
            <w:r>
              <w:rPr>
                <w:rFonts w:ascii="Arial" w:cs="Arial" w:eastAsia="Arial" w:hAnsi="Arial"/>
                <w:sz w:val="18"/>
                <w:szCs w:val="18"/>
                <w:color w:val="auto"/>
              </w:rPr>
              <w:t>65,617</w:t>
            </w:r>
          </w:p>
        </w:tc>
      </w:tr>
      <w:tr>
        <w:trPr>
          <w:trHeight w:val="270"/>
        </w:trPr>
        <w:tc>
          <w:tcPr>
            <w:tcW w:w="4580" w:type="dxa"/>
            <w:vAlign w:val="bottom"/>
          </w:tcPr>
          <w:p>
            <w:pPr>
              <w:spacing w:after="0"/>
              <w:rPr>
                <w:sz w:val="20"/>
                <w:szCs w:val="20"/>
                <w:color w:val="auto"/>
              </w:rPr>
            </w:pPr>
            <w:r>
              <w:rPr>
                <w:rFonts w:ascii="Arial" w:cs="Arial" w:eastAsia="Arial" w:hAnsi="Arial"/>
                <w:sz w:val="18"/>
                <w:szCs w:val="18"/>
                <w:color w:val="auto"/>
              </w:rPr>
              <w:t>Bonds and debentures</w:t>
            </w:r>
          </w:p>
        </w:tc>
        <w:tc>
          <w:tcPr>
            <w:tcW w:w="1320" w:type="dxa"/>
            <w:vAlign w:val="bottom"/>
          </w:tcPr>
          <w:p>
            <w:pPr>
              <w:jc w:val="right"/>
              <w:spacing w:after="0"/>
              <w:rPr>
                <w:sz w:val="20"/>
                <w:szCs w:val="20"/>
                <w:color w:val="auto"/>
              </w:rPr>
            </w:pPr>
            <w:r>
              <w:rPr>
                <w:rFonts w:ascii="Arial" w:cs="Arial" w:eastAsia="Arial" w:hAnsi="Arial"/>
                <w:sz w:val="18"/>
                <w:szCs w:val="18"/>
                <w:color w:val="auto"/>
              </w:rPr>
              <w:t>768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70,861</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3"/>
                <w:szCs w:val="23"/>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1320" w:type="dxa"/>
            <w:vAlign w:val="bottom"/>
          </w:tcPr>
          <w:p>
            <w:pPr>
              <w:jc w:val="right"/>
              <w:spacing w:after="0"/>
              <w:rPr>
                <w:sz w:val="20"/>
                <w:szCs w:val="20"/>
                <w:color w:val="auto"/>
              </w:rPr>
            </w:pPr>
            <w:r>
              <w:rPr>
                <w:rFonts w:ascii="Arial" w:cs="Arial" w:eastAsia="Arial" w:hAnsi="Arial"/>
                <w:sz w:val="18"/>
                <w:szCs w:val="18"/>
                <w:color w:val="auto"/>
              </w:rPr>
              <w:t>71,629</w:t>
            </w:r>
          </w:p>
        </w:tc>
      </w:tr>
      <w:tr>
        <w:trPr>
          <w:trHeight w:val="270"/>
        </w:trPr>
        <w:tc>
          <w:tcPr>
            <w:tcW w:w="4580" w:type="dxa"/>
            <w:vAlign w:val="bottom"/>
          </w:tcPr>
          <w:p>
            <w:pPr>
              <w:spacing w:after="0"/>
              <w:rPr>
                <w:sz w:val="20"/>
                <w:szCs w:val="20"/>
                <w:color w:val="auto"/>
              </w:rPr>
            </w:pPr>
            <w:r>
              <w:rPr>
                <w:rFonts w:ascii="Arial" w:cs="Arial" w:eastAsia="Arial" w:hAnsi="Arial"/>
                <w:sz w:val="18"/>
                <w:szCs w:val="18"/>
                <w:color w:val="auto"/>
              </w:rPr>
              <w:t>Peruvian Central Bank certif. notes</w:t>
            </w:r>
          </w:p>
        </w:tc>
        <w:tc>
          <w:tcPr>
            <w:tcW w:w="1320" w:type="dxa"/>
            <w:vAlign w:val="bottom"/>
          </w:tcPr>
          <w:p>
            <w:pPr>
              <w:jc w:val="right"/>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40,327</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3"/>
                <w:szCs w:val="23"/>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335,386</w:t>
            </w:r>
          </w:p>
        </w:tc>
        <w:tc>
          <w:tcPr>
            <w:tcW w:w="1320" w:type="dxa"/>
            <w:vAlign w:val="bottom"/>
          </w:tcPr>
          <w:p>
            <w:pPr>
              <w:jc w:val="right"/>
              <w:spacing w:after="0"/>
              <w:rPr>
                <w:sz w:val="20"/>
                <w:szCs w:val="20"/>
                <w:color w:val="auto"/>
              </w:rPr>
            </w:pPr>
            <w:r>
              <w:rPr>
                <w:rFonts w:ascii="Arial" w:cs="Arial" w:eastAsia="Arial" w:hAnsi="Arial"/>
                <w:sz w:val="18"/>
                <w:szCs w:val="18"/>
                <w:color w:val="auto"/>
              </w:rPr>
              <w:t>375,713</w:t>
            </w:r>
          </w:p>
        </w:tc>
      </w:tr>
      <w:tr>
        <w:trPr>
          <w:trHeight w:val="270"/>
        </w:trPr>
        <w:tc>
          <w:tcPr>
            <w:tcW w:w="4580" w:type="dxa"/>
            <w:vAlign w:val="bottom"/>
          </w:tcPr>
          <w:p>
            <w:pPr>
              <w:spacing w:after="0"/>
              <w:rPr>
                <w:sz w:val="20"/>
                <w:szCs w:val="20"/>
                <w:color w:val="auto"/>
              </w:rPr>
            </w:pPr>
            <w:r>
              <w:rPr>
                <w:rFonts w:ascii="Arial" w:cs="Arial" w:eastAsia="Arial" w:hAnsi="Arial"/>
                <w:sz w:val="18"/>
                <w:szCs w:val="18"/>
                <w:color w:val="auto"/>
              </w:rPr>
              <w:t>Other investments</w:t>
            </w:r>
          </w:p>
        </w:tc>
        <w:tc>
          <w:tcPr>
            <w:tcW w:w="1320" w:type="dxa"/>
            <w:vAlign w:val="bottom"/>
          </w:tcPr>
          <w:p>
            <w:pPr>
              <w:jc w:val="right"/>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3"/>
                <w:szCs w:val="23"/>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15,570</w:t>
            </w:r>
          </w:p>
        </w:tc>
        <w:tc>
          <w:tcPr>
            <w:tcW w:w="1320" w:type="dxa"/>
            <w:vAlign w:val="bottom"/>
          </w:tcPr>
          <w:p>
            <w:pPr>
              <w:jc w:val="right"/>
              <w:spacing w:after="0"/>
              <w:rPr>
                <w:sz w:val="20"/>
                <w:szCs w:val="20"/>
                <w:color w:val="auto"/>
              </w:rPr>
            </w:pPr>
            <w:r>
              <w:rPr>
                <w:rFonts w:ascii="Arial" w:cs="Arial" w:eastAsia="Arial" w:hAnsi="Arial"/>
                <w:sz w:val="18"/>
                <w:szCs w:val="18"/>
                <w:color w:val="auto"/>
              </w:rPr>
              <w:t>15,570</w:t>
            </w:r>
          </w:p>
        </w:tc>
      </w:tr>
      <w:tr>
        <w:trPr>
          <w:trHeight w:val="164"/>
        </w:trPr>
        <w:tc>
          <w:tcPr>
            <w:tcW w:w="4580" w:type="dxa"/>
            <w:vAlign w:val="bottom"/>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r>
      <w:tr>
        <w:trPr>
          <w:trHeight w:val="383"/>
        </w:trPr>
        <w:tc>
          <w:tcPr>
            <w:tcW w:w="4580" w:type="dxa"/>
            <w:vAlign w:val="bottom"/>
          </w:tcPr>
          <w:p>
            <w:pPr>
              <w:spacing w:after="0"/>
              <w:rPr>
                <w:sz w:val="20"/>
                <w:szCs w:val="20"/>
                <w:color w:val="auto"/>
              </w:rPr>
            </w:pPr>
            <w:r>
              <w:rPr>
                <w:rFonts w:ascii="Arial" w:cs="Arial" w:eastAsia="Arial" w:hAnsi="Arial"/>
                <w:sz w:val="18"/>
                <w:szCs w:val="18"/>
                <w:color w:val="auto"/>
              </w:rPr>
              <w:t>Total Nuevo Sol-denominated</w:t>
            </w:r>
          </w:p>
        </w:tc>
        <w:tc>
          <w:tcPr>
            <w:tcW w:w="1320" w:type="dxa"/>
            <w:vAlign w:val="bottom"/>
          </w:tcPr>
          <w:p>
            <w:pPr>
              <w:jc w:val="right"/>
              <w:spacing w:after="0"/>
              <w:rPr>
                <w:sz w:val="20"/>
                <w:szCs w:val="20"/>
                <w:color w:val="auto"/>
              </w:rPr>
            </w:pPr>
            <w:r>
              <w:rPr>
                <w:rFonts w:ascii="Arial" w:cs="Arial" w:eastAsia="Arial" w:hAnsi="Arial"/>
                <w:sz w:val="18"/>
                <w:szCs w:val="18"/>
                <w:color w:val="auto"/>
              </w:rPr>
              <w:t>US$ 94,581</w:t>
            </w:r>
          </w:p>
        </w:tc>
        <w:tc>
          <w:tcPr>
            <w:tcW w:w="60" w:type="dxa"/>
            <w:vAlign w:val="bottom"/>
          </w:tcPr>
          <w:p>
            <w:pPr>
              <w:spacing w:after="0"/>
              <w:rPr>
                <w:sz w:val="24"/>
                <w:szCs w:val="24"/>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US$ 111,188</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US$ 5,166</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US$ 350,956</w:t>
            </w:r>
          </w:p>
        </w:tc>
        <w:tc>
          <w:tcPr>
            <w:tcW w:w="1320" w:type="dxa"/>
            <w:vAlign w:val="bottom"/>
          </w:tcPr>
          <w:p>
            <w:pPr>
              <w:jc w:val="right"/>
              <w:spacing w:after="0"/>
              <w:rPr>
                <w:sz w:val="20"/>
                <w:szCs w:val="20"/>
                <w:color w:val="auto"/>
              </w:rPr>
            </w:pPr>
            <w:r>
              <w:rPr>
                <w:rFonts w:ascii="Arial" w:cs="Arial" w:eastAsia="Arial" w:hAnsi="Arial"/>
                <w:sz w:val="18"/>
                <w:szCs w:val="18"/>
                <w:color w:val="auto"/>
              </w:rPr>
              <w:t>US$ 561,891</w:t>
            </w:r>
          </w:p>
        </w:tc>
      </w:tr>
      <w:tr>
        <w:trPr>
          <w:trHeight w:val="270"/>
        </w:trPr>
        <w:tc>
          <w:tcPr>
            <w:tcW w:w="4580" w:type="dxa"/>
            <w:vAlign w:val="bottom"/>
          </w:tcPr>
          <w:p>
            <w:pPr>
              <w:spacing w:after="0"/>
              <w:rPr>
                <w:sz w:val="20"/>
                <w:szCs w:val="20"/>
                <w:color w:val="auto"/>
              </w:rPr>
            </w:pPr>
            <w:r>
              <w:rPr>
                <w:rFonts w:ascii="Arial" w:cs="Arial" w:eastAsia="Arial" w:hAnsi="Arial"/>
                <w:sz w:val="18"/>
                <w:szCs w:val="18"/>
                <w:b w:val="1"/>
                <w:bCs w:val="1"/>
                <w:color w:val="auto"/>
              </w:rPr>
              <w:t>Foreign Currency-denominated:</w:t>
            </w:r>
          </w:p>
        </w:tc>
        <w:tc>
          <w:tcPr>
            <w:tcW w:w="1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4580" w:type="dxa"/>
            <w:vAlign w:val="bottom"/>
          </w:tcPr>
          <w:p>
            <w:pPr>
              <w:ind w:left="180"/>
              <w:spacing w:after="0"/>
              <w:rPr>
                <w:sz w:val="20"/>
                <w:szCs w:val="20"/>
                <w:color w:val="auto"/>
              </w:rPr>
            </w:pPr>
            <w:r>
              <w:rPr>
                <w:rFonts w:ascii="Arial" w:cs="Arial" w:eastAsia="Arial" w:hAnsi="Arial"/>
                <w:sz w:val="18"/>
                <w:szCs w:val="18"/>
                <w:color w:val="auto"/>
              </w:rPr>
              <w:t>Equity securities</w:t>
            </w:r>
          </w:p>
        </w:tc>
        <w:tc>
          <w:tcPr>
            <w:tcW w:w="1320" w:type="dxa"/>
            <w:vAlign w:val="bottom"/>
          </w:tcPr>
          <w:p>
            <w:pPr>
              <w:jc w:val="right"/>
              <w:spacing w:after="0"/>
              <w:rPr>
                <w:sz w:val="20"/>
                <w:szCs w:val="20"/>
                <w:color w:val="auto"/>
              </w:rPr>
            </w:pPr>
            <w:r>
              <w:rPr>
                <w:rFonts w:ascii="Arial" w:cs="Arial" w:eastAsia="Arial" w:hAnsi="Arial"/>
                <w:sz w:val="18"/>
                <w:szCs w:val="18"/>
                <w:color w:val="auto"/>
              </w:rPr>
              <w:t>US$ 59,535</w:t>
            </w:r>
          </w:p>
        </w:tc>
        <w:tc>
          <w:tcPr>
            <w:tcW w:w="60" w:type="dxa"/>
            <w:vAlign w:val="bottom"/>
          </w:tcPr>
          <w:p>
            <w:pPr>
              <w:spacing w:after="0"/>
              <w:rPr>
                <w:sz w:val="23"/>
                <w:szCs w:val="23"/>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US$ 0</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US$ 0</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US$ 0</w:t>
            </w:r>
          </w:p>
        </w:tc>
        <w:tc>
          <w:tcPr>
            <w:tcW w:w="1320" w:type="dxa"/>
            <w:vAlign w:val="bottom"/>
          </w:tcPr>
          <w:p>
            <w:pPr>
              <w:jc w:val="right"/>
              <w:spacing w:after="0"/>
              <w:rPr>
                <w:sz w:val="20"/>
                <w:szCs w:val="20"/>
                <w:color w:val="auto"/>
              </w:rPr>
            </w:pPr>
            <w:r>
              <w:rPr>
                <w:rFonts w:ascii="Arial" w:cs="Arial" w:eastAsia="Arial" w:hAnsi="Arial"/>
                <w:sz w:val="18"/>
                <w:szCs w:val="18"/>
                <w:color w:val="auto"/>
              </w:rPr>
              <w:t>US$ 59,535</w:t>
            </w:r>
          </w:p>
        </w:tc>
      </w:tr>
      <w:tr>
        <w:trPr>
          <w:trHeight w:val="270"/>
        </w:trPr>
        <w:tc>
          <w:tcPr>
            <w:tcW w:w="4580" w:type="dxa"/>
            <w:vAlign w:val="bottom"/>
          </w:tcPr>
          <w:p>
            <w:pPr>
              <w:ind w:left="180"/>
              <w:spacing w:after="0"/>
              <w:rPr>
                <w:sz w:val="20"/>
                <w:szCs w:val="20"/>
                <w:color w:val="auto"/>
              </w:rPr>
            </w:pPr>
            <w:r>
              <w:rPr>
                <w:rFonts w:ascii="Arial" w:cs="Arial" w:eastAsia="Arial" w:hAnsi="Arial"/>
                <w:sz w:val="18"/>
                <w:szCs w:val="18"/>
                <w:color w:val="auto"/>
              </w:rPr>
              <w:t>Bonds</w:t>
            </w:r>
          </w:p>
        </w:tc>
        <w:tc>
          <w:tcPr>
            <w:tcW w:w="1320" w:type="dxa"/>
            <w:vAlign w:val="bottom"/>
          </w:tcPr>
          <w:p>
            <w:pPr>
              <w:jc w:val="right"/>
              <w:spacing w:after="0"/>
              <w:rPr>
                <w:sz w:val="20"/>
                <w:szCs w:val="20"/>
                <w:color w:val="auto"/>
              </w:rPr>
            </w:pPr>
            <w:r>
              <w:rPr>
                <w:rFonts w:ascii="Arial" w:cs="Arial" w:eastAsia="Arial" w:hAnsi="Arial"/>
                <w:sz w:val="18"/>
                <w:szCs w:val="18"/>
                <w:color w:val="auto"/>
              </w:rPr>
              <w:t>179,444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557,560</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62,817</w:t>
            </w:r>
          </w:p>
        </w:tc>
        <w:tc>
          <w:tcPr>
            <w:tcW w:w="60" w:type="dxa"/>
            <w:vAlign w:val="bottom"/>
          </w:tcPr>
          <w:p>
            <w:pPr>
              <w:spacing w:after="0"/>
              <w:rPr>
                <w:sz w:val="23"/>
                <w:szCs w:val="23"/>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1320" w:type="dxa"/>
            <w:vAlign w:val="bottom"/>
          </w:tcPr>
          <w:p>
            <w:pPr>
              <w:jc w:val="right"/>
              <w:spacing w:after="0"/>
              <w:rPr>
                <w:sz w:val="20"/>
                <w:szCs w:val="20"/>
                <w:color w:val="auto"/>
              </w:rPr>
            </w:pPr>
            <w:r>
              <w:rPr>
                <w:rFonts w:ascii="Arial" w:cs="Arial" w:eastAsia="Arial" w:hAnsi="Arial"/>
                <w:sz w:val="18"/>
                <w:szCs w:val="18"/>
                <w:color w:val="auto"/>
              </w:rPr>
              <w:t>799,821</w:t>
            </w:r>
          </w:p>
        </w:tc>
      </w:tr>
      <w:tr>
        <w:trPr>
          <w:trHeight w:val="270"/>
        </w:trPr>
        <w:tc>
          <w:tcPr>
            <w:tcW w:w="4580" w:type="dxa"/>
            <w:vAlign w:val="bottom"/>
          </w:tcPr>
          <w:p>
            <w:pPr>
              <w:ind w:left="180"/>
              <w:spacing w:after="0"/>
              <w:rPr>
                <w:sz w:val="20"/>
                <w:szCs w:val="20"/>
                <w:color w:val="auto"/>
              </w:rPr>
            </w:pPr>
            <w:r>
              <w:rPr>
                <w:rFonts w:ascii="Arial" w:cs="Arial" w:eastAsia="Arial" w:hAnsi="Arial"/>
                <w:sz w:val="18"/>
                <w:szCs w:val="18"/>
                <w:color w:val="auto"/>
              </w:rPr>
              <w:t>Investment in Peruvian debt</w:t>
            </w:r>
          </w:p>
        </w:tc>
        <w:tc>
          <w:tcPr>
            <w:tcW w:w="1320" w:type="dxa"/>
            <w:vAlign w:val="bottom"/>
          </w:tcPr>
          <w:p>
            <w:pPr>
              <w:jc w:val="right"/>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62,305</w:t>
            </w:r>
          </w:p>
        </w:tc>
        <w:tc>
          <w:tcPr>
            <w:tcW w:w="60" w:type="dxa"/>
            <w:vAlign w:val="bottom"/>
          </w:tcPr>
          <w:p>
            <w:pPr>
              <w:spacing w:after="0"/>
              <w:rPr>
                <w:sz w:val="23"/>
                <w:szCs w:val="23"/>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50,152</w:t>
            </w:r>
          </w:p>
        </w:tc>
        <w:tc>
          <w:tcPr>
            <w:tcW w:w="1320" w:type="dxa"/>
            <w:vAlign w:val="bottom"/>
          </w:tcPr>
          <w:p>
            <w:pPr>
              <w:jc w:val="right"/>
              <w:spacing w:after="0"/>
              <w:rPr>
                <w:sz w:val="20"/>
                <w:szCs w:val="20"/>
                <w:color w:val="auto"/>
              </w:rPr>
            </w:pPr>
            <w:r>
              <w:rPr>
                <w:rFonts w:ascii="Arial" w:cs="Arial" w:eastAsia="Arial" w:hAnsi="Arial"/>
                <w:sz w:val="18"/>
                <w:szCs w:val="18"/>
                <w:color w:val="auto"/>
              </w:rPr>
              <w:t>112,457</w:t>
            </w:r>
          </w:p>
        </w:tc>
      </w:tr>
      <w:tr>
        <w:trPr>
          <w:trHeight w:val="270"/>
        </w:trPr>
        <w:tc>
          <w:tcPr>
            <w:tcW w:w="4580" w:type="dxa"/>
            <w:vAlign w:val="bottom"/>
          </w:tcPr>
          <w:p>
            <w:pPr>
              <w:ind w:left="180"/>
              <w:spacing w:after="0"/>
              <w:rPr>
                <w:sz w:val="20"/>
                <w:szCs w:val="20"/>
                <w:color w:val="auto"/>
              </w:rPr>
            </w:pPr>
            <w:r>
              <w:rPr>
                <w:rFonts w:ascii="Arial" w:cs="Arial" w:eastAsia="Arial" w:hAnsi="Arial"/>
                <w:sz w:val="18"/>
                <w:szCs w:val="18"/>
                <w:color w:val="auto"/>
              </w:rPr>
              <w:t>Other investments</w:t>
            </w:r>
          </w:p>
        </w:tc>
        <w:tc>
          <w:tcPr>
            <w:tcW w:w="1320" w:type="dxa"/>
            <w:vAlign w:val="bottom"/>
          </w:tcPr>
          <w:p>
            <w:pPr>
              <w:jc w:val="right"/>
              <w:spacing w:after="0"/>
              <w:rPr>
                <w:sz w:val="20"/>
                <w:szCs w:val="20"/>
                <w:color w:val="auto"/>
              </w:rPr>
            </w:pPr>
            <w:r>
              <w:rPr>
                <w:rFonts w:ascii="Arial" w:cs="Arial" w:eastAsia="Arial" w:hAnsi="Arial"/>
                <w:sz w:val="18"/>
                <w:szCs w:val="18"/>
                <w:color w:val="auto"/>
              </w:rPr>
              <w:t>126,227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80,321</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3"/>
                <w:szCs w:val="23"/>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1320" w:type="dxa"/>
            <w:vAlign w:val="bottom"/>
          </w:tcPr>
          <w:p>
            <w:pPr>
              <w:jc w:val="right"/>
              <w:spacing w:after="0"/>
              <w:rPr>
                <w:sz w:val="20"/>
                <w:szCs w:val="20"/>
                <w:color w:val="auto"/>
              </w:rPr>
            </w:pPr>
            <w:r>
              <w:rPr>
                <w:rFonts w:ascii="Arial" w:cs="Arial" w:eastAsia="Arial" w:hAnsi="Arial"/>
                <w:sz w:val="18"/>
                <w:szCs w:val="18"/>
                <w:color w:val="auto"/>
              </w:rPr>
              <w:t>206,548</w:t>
            </w:r>
          </w:p>
        </w:tc>
      </w:tr>
      <w:tr>
        <w:trPr>
          <w:trHeight w:val="270"/>
        </w:trPr>
        <w:tc>
          <w:tcPr>
            <w:tcW w:w="4580" w:type="dxa"/>
            <w:vAlign w:val="bottom"/>
          </w:tcPr>
          <w:p>
            <w:pPr>
              <w:spacing w:after="0"/>
              <w:rPr>
                <w:sz w:val="20"/>
                <w:szCs w:val="20"/>
                <w:color w:val="auto"/>
              </w:rPr>
            </w:pPr>
            <w:r>
              <w:rPr>
                <w:rFonts w:ascii="Arial" w:cs="Arial" w:eastAsia="Arial" w:hAnsi="Arial"/>
                <w:sz w:val="18"/>
                <w:szCs w:val="18"/>
                <w:color w:val="auto"/>
              </w:rPr>
              <w:t>Total Foreign Currency-denominated</w:t>
            </w:r>
          </w:p>
        </w:tc>
        <w:tc>
          <w:tcPr>
            <w:tcW w:w="1320" w:type="dxa"/>
            <w:vAlign w:val="bottom"/>
          </w:tcPr>
          <w:p>
            <w:pPr>
              <w:jc w:val="right"/>
              <w:spacing w:after="0"/>
              <w:rPr>
                <w:sz w:val="20"/>
                <w:szCs w:val="20"/>
                <w:color w:val="auto"/>
              </w:rPr>
            </w:pPr>
            <w:r>
              <w:rPr>
                <w:rFonts w:ascii="Arial" w:cs="Arial" w:eastAsia="Arial" w:hAnsi="Arial"/>
                <w:sz w:val="18"/>
                <w:szCs w:val="18"/>
                <w:color w:val="auto"/>
              </w:rPr>
              <w:t>US$ 365,206</w:t>
            </w:r>
          </w:p>
        </w:tc>
        <w:tc>
          <w:tcPr>
            <w:tcW w:w="60" w:type="dxa"/>
            <w:vAlign w:val="bottom"/>
          </w:tcPr>
          <w:p>
            <w:pPr>
              <w:spacing w:after="0"/>
              <w:rPr>
                <w:sz w:val="23"/>
                <w:szCs w:val="23"/>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US$ 637,881</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US$ 125,122</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US$ 50,152</w:t>
            </w:r>
          </w:p>
        </w:tc>
        <w:tc>
          <w:tcPr>
            <w:tcW w:w="1320" w:type="dxa"/>
            <w:vAlign w:val="bottom"/>
          </w:tcPr>
          <w:p>
            <w:pPr>
              <w:jc w:val="right"/>
              <w:spacing w:after="0"/>
              <w:rPr>
                <w:sz w:val="20"/>
                <w:szCs w:val="20"/>
                <w:color w:val="auto"/>
              </w:rPr>
            </w:pPr>
            <w:r>
              <w:rPr>
                <w:rFonts w:ascii="Arial" w:cs="Arial" w:eastAsia="Arial" w:hAnsi="Arial"/>
                <w:sz w:val="18"/>
                <w:szCs w:val="18"/>
                <w:color w:val="auto"/>
              </w:rPr>
              <w:t>US$1,178,361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3748405</wp:posOffset>
            </wp:positionH>
            <wp:positionV relativeFrom="paragraph">
              <wp:posOffset>-2858135</wp:posOffset>
            </wp:positionV>
            <wp:extent cx="34290" cy="342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4614545</wp:posOffset>
            </wp:positionH>
            <wp:positionV relativeFrom="paragraph">
              <wp:posOffset>-2858135</wp:posOffset>
            </wp:positionV>
            <wp:extent cx="34290" cy="342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-2858135</wp:posOffset>
            </wp:positionV>
            <wp:extent cx="34290" cy="342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-2858135</wp:posOffset>
            </wp:positionV>
            <wp:extent cx="34290" cy="342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-2858135</wp:posOffset>
            </wp:positionV>
            <wp:extent cx="34290" cy="342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3748405</wp:posOffset>
            </wp:positionH>
            <wp:positionV relativeFrom="paragraph">
              <wp:posOffset>-1297305</wp:posOffset>
            </wp:positionV>
            <wp:extent cx="34290" cy="342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4614545</wp:posOffset>
            </wp:positionH>
            <wp:positionV relativeFrom="paragraph">
              <wp:posOffset>-1297305</wp:posOffset>
            </wp:positionV>
            <wp:extent cx="34290" cy="342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-1297305</wp:posOffset>
            </wp:positionV>
            <wp:extent cx="34290" cy="342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-1297305</wp:posOffset>
            </wp:positionV>
            <wp:extent cx="34290" cy="342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-1297305</wp:posOffset>
            </wp:positionV>
            <wp:extent cx="34290" cy="342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91440</wp:posOffset>
            </wp:positionV>
            <wp:extent cx="4318000" cy="228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318000" cy="2286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65" w:name="page66"/>
    <w:bookmarkEnd w:id="65"/>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9019"/>
          </w:cols>
          <w:pgMar w:left="1440" w:top="617" w:right="1440"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Maturing</w:t>
            </w: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4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After 1 year</w:t>
            </w:r>
          </w:p>
        </w:tc>
        <w:tc>
          <w:tcPr>
            <w:tcW w:w="14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After 5 years</w:t>
            </w: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4040" w:type="dxa"/>
            <w:vAlign w:val="bottom"/>
          </w:tcPr>
          <w:p>
            <w:pPr>
              <w:spacing w:after="0"/>
              <w:rPr>
                <w:sz w:val="18"/>
                <w:szCs w:val="18"/>
                <w:color w:val="auto"/>
              </w:rPr>
            </w:pPr>
          </w:p>
        </w:tc>
        <w:tc>
          <w:tcPr>
            <w:tcW w:w="1480" w:type="dxa"/>
            <w:vAlign w:val="bottom"/>
            <w:gridSpan w:val="2"/>
          </w:tcPr>
          <w:p>
            <w:pPr>
              <w:ind w:left="420"/>
              <w:spacing w:after="0"/>
              <w:rPr>
                <w:sz w:val="20"/>
                <w:szCs w:val="20"/>
                <w:color w:val="auto"/>
              </w:rPr>
            </w:pPr>
            <w:r>
              <w:rPr>
                <w:rFonts w:ascii="Arial" w:cs="Arial" w:eastAsia="Arial" w:hAnsi="Arial"/>
                <w:sz w:val="18"/>
                <w:szCs w:val="18"/>
                <w:b w:val="1"/>
                <w:bCs w:val="1"/>
                <w:color w:val="auto"/>
              </w:rPr>
              <w:t>Within</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but within</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but within</w:t>
            </w:r>
          </w:p>
        </w:tc>
        <w:tc>
          <w:tcPr>
            <w:tcW w:w="1500" w:type="dxa"/>
            <w:vAlign w:val="bottom"/>
            <w:gridSpan w:val="2"/>
          </w:tcPr>
          <w:p>
            <w:pPr>
              <w:ind w:left="500"/>
              <w:spacing w:after="0"/>
              <w:rPr>
                <w:sz w:val="20"/>
                <w:szCs w:val="20"/>
                <w:color w:val="auto"/>
              </w:rPr>
            </w:pPr>
            <w:r>
              <w:rPr>
                <w:rFonts w:ascii="Arial" w:cs="Arial" w:eastAsia="Arial" w:hAnsi="Arial"/>
                <w:sz w:val="18"/>
                <w:szCs w:val="18"/>
                <w:b w:val="1"/>
                <w:bCs w:val="1"/>
                <w:color w:val="auto"/>
              </w:rPr>
              <w:t>After</w:t>
            </w:r>
          </w:p>
        </w:tc>
        <w:tc>
          <w:tcPr>
            <w:tcW w:w="1420" w:type="dxa"/>
            <w:vAlign w:val="bottom"/>
          </w:tcPr>
          <w:p>
            <w:pPr>
              <w:spacing w:after="0"/>
              <w:rPr>
                <w:sz w:val="18"/>
                <w:szCs w:val="18"/>
                <w:color w:val="auto"/>
              </w:rPr>
            </w:pPr>
          </w:p>
        </w:tc>
      </w:tr>
      <w:tr>
        <w:trPr>
          <w:trHeight w:val="228"/>
        </w:trPr>
        <w:tc>
          <w:tcPr>
            <w:tcW w:w="4040" w:type="dxa"/>
            <w:vAlign w:val="bottom"/>
          </w:tcPr>
          <w:p>
            <w:pPr>
              <w:spacing w:after="0"/>
              <w:rPr>
                <w:sz w:val="19"/>
                <w:szCs w:val="19"/>
                <w:color w:val="auto"/>
              </w:rPr>
            </w:pPr>
          </w:p>
        </w:tc>
        <w:tc>
          <w:tcPr>
            <w:tcW w:w="1480" w:type="dxa"/>
            <w:vAlign w:val="bottom"/>
            <w:gridSpan w:val="2"/>
          </w:tcPr>
          <w:p>
            <w:pPr>
              <w:ind w:left="480"/>
              <w:spacing w:after="0"/>
              <w:rPr>
                <w:sz w:val="20"/>
                <w:szCs w:val="20"/>
                <w:color w:val="auto"/>
              </w:rPr>
            </w:pPr>
            <w:r>
              <w:rPr>
                <w:rFonts w:ascii="Arial" w:cs="Arial" w:eastAsia="Arial" w:hAnsi="Arial"/>
                <w:sz w:val="18"/>
                <w:szCs w:val="18"/>
                <w:b w:val="1"/>
                <w:bCs w:val="1"/>
                <w:color w:val="auto"/>
              </w:rPr>
              <w:t>1 year</w:t>
            </w:r>
          </w:p>
        </w:tc>
        <w:tc>
          <w:tcPr>
            <w:tcW w:w="14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5 years</w:t>
            </w:r>
          </w:p>
        </w:tc>
        <w:tc>
          <w:tcPr>
            <w:tcW w:w="14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3"/>
              </w:rPr>
              <w:t>10 years</w:t>
            </w:r>
          </w:p>
        </w:tc>
        <w:tc>
          <w:tcPr>
            <w:tcW w:w="1500" w:type="dxa"/>
            <w:vAlign w:val="bottom"/>
            <w:gridSpan w:val="2"/>
          </w:tcPr>
          <w:p>
            <w:pPr>
              <w:ind w:left="400"/>
              <w:spacing w:after="0"/>
              <w:rPr>
                <w:sz w:val="20"/>
                <w:szCs w:val="20"/>
                <w:color w:val="auto"/>
              </w:rPr>
            </w:pPr>
            <w:r>
              <w:rPr>
                <w:rFonts w:ascii="Arial" w:cs="Arial" w:eastAsia="Arial" w:hAnsi="Arial"/>
                <w:sz w:val="18"/>
                <w:szCs w:val="18"/>
                <w:b w:val="1"/>
                <w:bCs w:val="1"/>
                <w:color w:val="auto"/>
              </w:rPr>
              <w:t>10 Years</w:t>
            </w:r>
          </w:p>
        </w:tc>
        <w:tc>
          <w:tcPr>
            <w:tcW w:w="1420" w:type="dxa"/>
            <w:vAlign w:val="bottom"/>
          </w:tcPr>
          <w:p>
            <w:pPr>
              <w:jc w:val="right"/>
              <w:ind w:right="432"/>
              <w:spacing w:after="0"/>
              <w:rPr>
                <w:sz w:val="20"/>
                <w:szCs w:val="20"/>
                <w:color w:val="auto"/>
              </w:rPr>
            </w:pPr>
            <w:r>
              <w:rPr>
                <w:rFonts w:ascii="Arial" w:cs="Arial" w:eastAsia="Arial" w:hAnsi="Arial"/>
                <w:sz w:val="18"/>
                <w:szCs w:val="18"/>
                <w:b w:val="1"/>
                <w:bCs w:val="1"/>
                <w:color w:val="auto"/>
              </w:rPr>
              <w:t>Total</w:t>
            </w:r>
          </w:p>
        </w:tc>
      </w:tr>
      <w:tr>
        <w:trPr>
          <w:trHeight w:val="164"/>
        </w:trPr>
        <w:tc>
          <w:tcPr>
            <w:tcW w:w="4040" w:type="dxa"/>
            <w:vAlign w:val="bottom"/>
          </w:tcPr>
          <w:p>
            <w:pPr>
              <w:spacing w:after="0"/>
              <w:rPr>
                <w:sz w:val="14"/>
                <w:szCs w:val="14"/>
                <w:color w:val="auto"/>
              </w:rPr>
            </w:pPr>
          </w:p>
        </w:tc>
        <w:tc>
          <w:tcPr>
            <w:tcW w:w="142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tcBorders>
              <w:bottom w:val="single" w:sz="8" w:color="9A9A9A"/>
            </w:tcBorders>
          </w:tcPr>
          <w:p>
            <w:pPr>
              <w:spacing w:after="0"/>
              <w:rPr>
                <w:sz w:val="14"/>
                <w:szCs w:val="14"/>
                <w:color w:val="auto"/>
              </w:rPr>
            </w:pPr>
          </w:p>
        </w:tc>
      </w:tr>
      <w:tr>
        <w:trPr>
          <w:trHeight w:val="653"/>
        </w:trPr>
        <w:tc>
          <w:tcPr>
            <w:tcW w:w="4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60" w:type="dxa"/>
            <w:vAlign w:val="bottom"/>
            <w:gridSpan w:val="6"/>
          </w:tcPr>
          <w:p>
            <w:pPr>
              <w:jc w:val="center"/>
              <w:ind w:right="60"/>
              <w:spacing w:after="0"/>
              <w:rPr>
                <w:sz w:val="20"/>
                <w:szCs w:val="20"/>
                <w:color w:val="auto"/>
              </w:rPr>
            </w:pPr>
            <w:r>
              <w:rPr>
                <w:rFonts w:ascii="Arial" w:cs="Arial" w:eastAsia="Arial" w:hAnsi="Arial"/>
                <w:sz w:val="18"/>
                <w:szCs w:val="18"/>
                <w:color w:val="auto"/>
                <w:w w:val="87"/>
              </w:rPr>
              <w:t xml:space="preserve">( </w:t>
            </w:r>
            <w:r>
              <w:rPr>
                <w:rFonts w:ascii="Arial" w:cs="Arial" w:eastAsia="Arial" w:hAnsi="Arial"/>
                <w:sz w:val="18"/>
                <w:szCs w:val="18"/>
                <w:i w:val="1"/>
                <w:iCs w:val="1"/>
                <w:color w:val="auto"/>
                <w:w w:val="87"/>
              </w:rPr>
              <w:t>U.S. Dollars in thousands, except percentages)</w:t>
            </w:r>
          </w:p>
        </w:tc>
        <w:tc>
          <w:tcPr>
            <w:tcW w:w="1420" w:type="dxa"/>
            <w:vAlign w:val="bottom"/>
          </w:tcPr>
          <w:p>
            <w:pPr>
              <w:spacing w:after="0"/>
              <w:rPr>
                <w:sz w:val="24"/>
                <w:szCs w:val="24"/>
                <w:color w:val="auto"/>
              </w:rPr>
            </w:pPr>
          </w:p>
        </w:tc>
      </w:tr>
      <w:tr>
        <w:trPr>
          <w:trHeight w:val="270"/>
        </w:trPr>
        <w:tc>
          <w:tcPr>
            <w:tcW w:w="4040" w:type="dxa"/>
            <w:vAlign w:val="bottom"/>
          </w:tcPr>
          <w:p>
            <w:pPr>
              <w:ind w:left="40"/>
              <w:spacing w:after="0"/>
              <w:rPr>
                <w:sz w:val="20"/>
                <w:szCs w:val="20"/>
                <w:color w:val="auto"/>
              </w:rPr>
            </w:pPr>
            <w:r>
              <w:rPr>
                <w:rFonts w:ascii="Arial" w:cs="Arial" w:eastAsia="Arial" w:hAnsi="Arial"/>
                <w:sz w:val="18"/>
                <w:szCs w:val="18"/>
                <w:b w:val="1"/>
                <w:bCs w:val="1"/>
                <w:color w:val="auto"/>
              </w:rPr>
              <w:t>Total securities holdings:</w:t>
            </w:r>
          </w:p>
        </w:tc>
        <w:tc>
          <w:tcPr>
            <w:tcW w:w="1480" w:type="dxa"/>
            <w:vAlign w:val="bottom"/>
            <w:gridSpan w:val="2"/>
          </w:tcPr>
          <w:p>
            <w:pPr>
              <w:ind w:left="500"/>
              <w:spacing w:after="0"/>
              <w:rPr>
                <w:sz w:val="20"/>
                <w:szCs w:val="20"/>
                <w:color w:val="auto"/>
              </w:rPr>
            </w:pPr>
            <w:r>
              <w:rPr>
                <w:rFonts w:ascii="Arial" w:cs="Arial" w:eastAsia="Arial" w:hAnsi="Arial"/>
                <w:sz w:val="18"/>
                <w:szCs w:val="18"/>
                <w:b w:val="1"/>
                <w:bCs w:val="1"/>
                <w:color w:val="auto"/>
                <w:w w:val="91"/>
              </w:rPr>
              <w:t>US$ 459,787</w:t>
            </w:r>
          </w:p>
        </w:tc>
        <w:tc>
          <w:tcPr>
            <w:tcW w:w="1480" w:type="dxa"/>
            <w:vAlign w:val="bottom"/>
            <w:gridSpan w:val="2"/>
          </w:tcPr>
          <w:p>
            <w:pPr>
              <w:ind w:left="500"/>
              <w:spacing w:after="0"/>
              <w:rPr>
                <w:sz w:val="20"/>
                <w:szCs w:val="20"/>
                <w:color w:val="auto"/>
              </w:rPr>
            </w:pPr>
            <w:r>
              <w:rPr>
                <w:rFonts w:ascii="Arial" w:cs="Arial" w:eastAsia="Arial" w:hAnsi="Arial"/>
                <w:sz w:val="18"/>
                <w:szCs w:val="18"/>
                <w:b w:val="1"/>
                <w:bCs w:val="1"/>
                <w:color w:val="auto"/>
                <w:w w:val="91"/>
              </w:rPr>
              <w:t>US$ 749,069</w:t>
            </w:r>
          </w:p>
        </w:tc>
        <w:tc>
          <w:tcPr>
            <w:tcW w:w="1480" w:type="dxa"/>
            <w:vAlign w:val="bottom"/>
            <w:gridSpan w:val="2"/>
          </w:tcPr>
          <w:p>
            <w:pPr>
              <w:ind w:left="500"/>
              <w:spacing w:after="0"/>
              <w:rPr>
                <w:sz w:val="20"/>
                <w:szCs w:val="20"/>
                <w:color w:val="auto"/>
              </w:rPr>
            </w:pPr>
            <w:r>
              <w:rPr>
                <w:rFonts w:ascii="Arial" w:cs="Arial" w:eastAsia="Arial" w:hAnsi="Arial"/>
                <w:sz w:val="18"/>
                <w:szCs w:val="18"/>
                <w:b w:val="1"/>
                <w:bCs w:val="1"/>
                <w:color w:val="auto"/>
                <w:w w:val="91"/>
              </w:rPr>
              <w:t>US$ 130,288</w:t>
            </w:r>
          </w:p>
        </w:tc>
        <w:tc>
          <w:tcPr>
            <w:tcW w:w="1500" w:type="dxa"/>
            <w:vAlign w:val="bottom"/>
            <w:gridSpan w:val="2"/>
          </w:tcPr>
          <w:p>
            <w:pPr>
              <w:ind w:left="520"/>
              <w:spacing w:after="0"/>
              <w:rPr>
                <w:sz w:val="20"/>
                <w:szCs w:val="20"/>
                <w:color w:val="auto"/>
              </w:rPr>
            </w:pPr>
            <w:r>
              <w:rPr>
                <w:rFonts w:ascii="Arial" w:cs="Arial" w:eastAsia="Arial" w:hAnsi="Arial"/>
                <w:sz w:val="18"/>
                <w:szCs w:val="18"/>
                <w:b w:val="1"/>
                <w:bCs w:val="1"/>
                <w:color w:val="auto"/>
                <w:w w:val="91"/>
              </w:rPr>
              <w:t>US$ 401,108</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US$ 1,740,252</w:t>
            </w:r>
          </w:p>
        </w:tc>
      </w:tr>
      <w:tr>
        <w:trPr>
          <w:trHeight w:val="540"/>
        </w:trPr>
        <w:tc>
          <w:tcPr>
            <w:tcW w:w="4040" w:type="dxa"/>
            <w:vAlign w:val="bottom"/>
          </w:tcPr>
          <w:p>
            <w:pPr>
              <w:ind w:left="40"/>
              <w:spacing w:after="0"/>
              <w:rPr>
                <w:sz w:val="20"/>
                <w:szCs w:val="20"/>
                <w:color w:val="auto"/>
              </w:rPr>
            </w:pPr>
            <w:r>
              <w:rPr>
                <w:rFonts w:ascii="Arial" w:cs="Arial" w:eastAsia="Arial" w:hAnsi="Arial"/>
                <w:sz w:val="18"/>
                <w:szCs w:val="18"/>
                <w:color w:val="auto"/>
              </w:rPr>
              <w:t>Weighted average yield</w:t>
            </w: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4.93%</w:t>
            </w:r>
          </w:p>
        </w:tc>
      </w:tr>
      <w:tr>
        <w:trPr>
          <w:trHeight w:val="459"/>
        </w:trPr>
        <w:tc>
          <w:tcPr>
            <w:tcW w:w="4040" w:type="dxa"/>
            <w:vAlign w:val="bottom"/>
          </w:tcPr>
          <w:p>
            <w:pPr>
              <w:jc w:val="right"/>
              <w:ind w:right="2272"/>
              <w:spacing w:after="0"/>
              <w:rPr>
                <w:sz w:val="20"/>
                <w:szCs w:val="20"/>
                <w:color w:val="auto"/>
              </w:rPr>
            </w:pPr>
            <w:r>
              <w:rPr>
                <w:rFonts w:ascii="Arial" w:cs="Arial" w:eastAsia="Arial" w:hAnsi="Arial"/>
                <w:sz w:val="18"/>
                <w:szCs w:val="18"/>
                <w:color w:val="auto"/>
                <w:w w:val="87"/>
              </w:rPr>
              <w:t>___________________</w:t>
            </w: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-1245870</wp:posOffset>
            </wp:positionV>
            <wp:extent cx="34290" cy="342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4391660</wp:posOffset>
            </wp:positionH>
            <wp:positionV relativeFrom="paragraph">
              <wp:posOffset>-1245870</wp:posOffset>
            </wp:positionV>
            <wp:extent cx="34290" cy="342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5335270</wp:posOffset>
            </wp:positionH>
            <wp:positionV relativeFrom="paragraph">
              <wp:posOffset>-1245870</wp:posOffset>
            </wp:positionV>
            <wp:extent cx="34290" cy="342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6278245</wp:posOffset>
            </wp:positionH>
            <wp:positionV relativeFrom="paragraph">
              <wp:posOffset>-1245870</wp:posOffset>
            </wp:positionV>
            <wp:extent cx="34290" cy="342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-1245870</wp:posOffset>
            </wp:positionV>
            <wp:extent cx="34290" cy="342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80" w:hanging="572"/>
        <w:spacing w:after="0"/>
        <w:tabs>
          <w:tab w:leader="none" w:pos="5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Equity securities in Credicorp’s trading account are categorized as maturing within one year, while other equity securities are categorized according to their maturity.</w:t>
      </w:r>
    </w:p>
    <w:p>
      <w:pPr>
        <w:spacing w:after="0" w:line="197" w:lineRule="exact"/>
        <w:rPr>
          <w:sz w:val="20"/>
          <w:szCs w:val="20"/>
          <w:color w:val="auto"/>
        </w:rPr>
      </w:pPr>
    </w:p>
    <w:p>
      <w:pPr>
        <w:jc w:val="both"/>
        <w:ind w:firstLine="239"/>
        <w:spacing w:after="0" w:line="298" w:lineRule="auto"/>
        <w:rPr>
          <w:sz w:val="20"/>
          <w:szCs w:val="20"/>
          <w:color w:val="auto"/>
        </w:rPr>
      </w:pPr>
      <w:r>
        <w:rPr>
          <w:rFonts w:ascii="Arial" w:cs="Arial" w:eastAsia="Arial" w:hAnsi="Arial"/>
          <w:sz w:val="16"/>
          <w:szCs w:val="16"/>
          <w:color w:val="auto"/>
        </w:rPr>
        <w:t>If the price of any security in Credicorp’s portfolio falls below its acquisition price, guidelines require Credicorp to establish a reserve against each individual security in the amount of the difference between the acquisition cost and the current market value. The provisions taken to establish these reserves are charged to Credicorp’s income or retained earnings in the case of marketable or available-for-sale securities, respectively. Unrealized losses of available-for-sale securities are also charged against income if they are considered permanent (see Note 3(i) to the Credicorp Consolidated Financial Statements).</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(iii) Loan Portfolio</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Loans by Type of Loan</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shows Credicorp’s loans by type of loan, at the dates indicated: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7"/>
              </w:rPr>
              <w:t>At December 31,</w:t>
            </w: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4620" w:type="dxa"/>
            <w:vAlign w:val="bottom"/>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83"/>
        </w:trPr>
        <w:tc>
          <w:tcPr>
            <w:tcW w:w="4620" w:type="dxa"/>
            <w:vAlign w:val="bottom"/>
          </w:tcPr>
          <w:p>
            <w:pPr>
              <w:spacing w:after="0"/>
              <w:rPr>
                <w:sz w:val="24"/>
                <w:szCs w:val="24"/>
                <w:color w:val="auto"/>
              </w:rPr>
            </w:pPr>
          </w:p>
        </w:tc>
        <w:tc>
          <w:tcPr>
            <w:tcW w:w="1320" w:type="dxa"/>
            <w:vAlign w:val="bottom"/>
          </w:tcPr>
          <w:p>
            <w:pPr>
              <w:jc w:val="right"/>
              <w:ind w:right="392"/>
              <w:spacing w:after="0"/>
              <w:rPr>
                <w:sz w:val="20"/>
                <w:szCs w:val="20"/>
                <w:color w:val="auto"/>
              </w:rPr>
            </w:pPr>
            <w:r>
              <w:rPr>
                <w:rFonts w:ascii="Arial" w:cs="Arial" w:eastAsia="Arial" w:hAnsi="Arial"/>
                <w:sz w:val="18"/>
                <w:szCs w:val="18"/>
                <w:b w:val="1"/>
                <w:bCs w:val="1"/>
                <w:color w:val="auto"/>
              </w:rPr>
              <w:t>1999</w:t>
            </w:r>
          </w:p>
        </w:tc>
        <w:tc>
          <w:tcPr>
            <w:tcW w:w="1360" w:type="dxa"/>
            <w:vAlign w:val="bottom"/>
            <w:gridSpan w:val="2"/>
          </w:tcPr>
          <w:p>
            <w:pPr>
              <w:jc w:val="right"/>
              <w:ind w:right="392"/>
              <w:spacing w:after="0"/>
              <w:rPr>
                <w:sz w:val="20"/>
                <w:szCs w:val="20"/>
                <w:color w:val="auto"/>
              </w:rPr>
            </w:pPr>
            <w:r>
              <w:rPr>
                <w:rFonts w:ascii="Arial" w:cs="Arial" w:eastAsia="Arial" w:hAnsi="Arial"/>
                <w:sz w:val="18"/>
                <w:szCs w:val="18"/>
                <w:b w:val="1"/>
                <w:bCs w:val="1"/>
                <w:color w:val="auto"/>
              </w:rPr>
              <w:t>2000</w:t>
            </w:r>
          </w:p>
        </w:tc>
        <w:tc>
          <w:tcPr>
            <w:tcW w:w="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4"/>
              </w:rPr>
              <w:t>2001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392"/>
              <w:spacing w:after="0"/>
              <w:rPr>
                <w:sz w:val="20"/>
                <w:szCs w:val="20"/>
                <w:color w:val="auto"/>
              </w:rPr>
            </w:pPr>
            <w:r>
              <w:rPr>
                <w:rFonts w:ascii="Arial" w:cs="Arial" w:eastAsia="Arial" w:hAnsi="Arial"/>
                <w:sz w:val="18"/>
                <w:szCs w:val="18"/>
                <w:b w:val="1"/>
                <w:bCs w:val="1"/>
                <w:color w:val="auto"/>
              </w:rPr>
              <w:t>2002</w:t>
            </w:r>
          </w:p>
        </w:tc>
        <w:tc>
          <w:tcPr>
            <w:tcW w:w="60" w:type="dxa"/>
            <w:vAlign w:val="bottom"/>
          </w:tcPr>
          <w:p>
            <w:pPr>
              <w:spacing w:after="0"/>
              <w:rPr>
                <w:sz w:val="24"/>
                <w:szCs w:val="24"/>
                <w:color w:val="auto"/>
              </w:rPr>
            </w:pPr>
          </w:p>
        </w:tc>
        <w:tc>
          <w:tcPr>
            <w:tcW w:w="1320" w:type="dxa"/>
            <w:vAlign w:val="bottom"/>
          </w:tcPr>
          <w:p>
            <w:pPr>
              <w:jc w:val="right"/>
              <w:ind w:right="392"/>
              <w:spacing w:after="0"/>
              <w:rPr>
                <w:sz w:val="20"/>
                <w:szCs w:val="20"/>
                <w:color w:val="auto"/>
              </w:rPr>
            </w:pPr>
            <w:r>
              <w:rPr>
                <w:rFonts w:ascii="Arial" w:cs="Arial" w:eastAsia="Arial" w:hAnsi="Arial"/>
                <w:sz w:val="18"/>
                <w:szCs w:val="18"/>
                <w:b w:val="1"/>
                <w:bCs w:val="1"/>
                <w:color w:val="auto"/>
              </w:rPr>
              <w:t>2003</w:t>
            </w:r>
          </w:p>
        </w:tc>
        <w:tc>
          <w:tcPr>
            <w:tcW w:w="0" w:type="dxa"/>
            <w:vAlign w:val="bottom"/>
          </w:tcPr>
          <w:p>
            <w:pPr>
              <w:spacing w:after="0"/>
              <w:rPr>
                <w:sz w:val="1"/>
                <w:szCs w:val="1"/>
                <w:color w:val="auto"/>
              </w:rPr>
            </w:pPr>
          </w:p>
        </w:tc>
      </w:tr>
      <w:tr>
        <w:trPr>
          <w:trHeight w:val="164"/>
        </w:trPr>
        <w:tc>
          <w:tcPr>
            <w:tcW w:w="4620" w:type="dxa"/>
            <w:vAlign w:val="bottom"/>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83"/>
        </w:trPr>
        <w:tc>
          <w:tcPr>
            <w:tcW w:w="4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0" w:type="dxa"/>
            <w:vAlign w:val="bottom"/>
            <w:gridSpan w:val="5"/>
          </w:tcPr>
          <w:p>
            <w:pPr>
              <w:jc w:val="center"/>
              <w:ind w:left="932"/>
              <w:spacing w:after="0"/>
              <w:rPr>
                <w:sz w:val="20"/>
                <w:szCs w:val="20"/>
                <w:color w:val="auto"/>
              </w:rPr>
            </w:pPr>
            <w:r>
              <w:rPr>
                <w:rFonts w:ascii="Arial" w:cs="Arial" w:eastAsia="Arial" w:hAnsi="Arial"/>
                <w:sz w:val="18"/>
                <w:szCs w:val="18"/>
                <w:i w:val="1"/>
                <w:iCs w:val="1"/>
                <w:color w:val="auto"/>
                <w:w w:val="90"/>
              </w:rPr>
              <w:t>(U.S. Dollars in thousands)</w:t>
            </w: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20" w:type="dxa"/>
            <w:vAlign w:val="bottom"/>
          </w:tcPr>
          <w:p>
            <w:pPr>
              <w:ind w:left="40"/>
              <w:spacing w:after="0"/>
              <w:rPr>
                <w:sz w:val="20"/>
                <w:szCs w:val="20"/>
                <w:color w:val="auto"/>
              </w:rPr>
            </w:pPr>
            <w:r>
              <w:rPr>
                <w:rFonts w:ascii="Arial" w:cs="Arial" w:eastAsia="Arial" w:hAnsi="Arial"/>
                <w:sz w:val="18"/>
                <w:szCs w:val="18"/>
                <w:color w:val="auto"/>
              </w:rPr>
              <w:t>Loans</w:t>
            </w:r>
          </w:p>
        </w:tc>
        <w:tc>
          <w:tcPr>
            <w:tcW w:w="1320" w:type="dxa"/>
            <w:vAlign w:val="bottom"/>
          </w:tcPr>
          <w:p>
            <w:pPr>
              <w:jc w:val="right"/>
              <w:spacing w:after="0"/>
              <w:rPr>
                <w:sz w:val="20"/>
                <w:szCs w:val="20"/>
                <w:color w:val="auto"/>
              </w:rPr>
            </w:pPr>
            <w:r>
              <w:rPr>
                <w:rFonts w:ascii="Arial" w:cs="Arial" w:eastAsia="Arial" w:hAnsi="Arial"/>
                <w:sz w:val="18"/>
                <w:szCs w:val="18"/>
                <w:color w:val="auto"/>
              </w:rPr>
              <w:t>US$3,517,221</w:t>
            </w:r>
          </w:p>
        </w:tc>
        <w:tc>
          <w:tcPr>
            <w:tcW w:w="60" w:type="dxa"/>
            <w:vAlign w:val="bottom"/>
          </w:tcPr>
          <w:p>
            <w:pPr>
              <w:spacing w:after="0"/>
              <w:rPr>
                <w:sz w:val="23"/>
                <w:szCs w:val="23"/>
                <w:color w:val="auto"/>
              </w:rPr>
            </w:pPr>
          </w:p>
        </w:tc>
        <w:tc>
          <w:tcPr>
            <w:tcW w:w="1360" w:type="dxa"/>
            <w:vAlign w:val="bottom"/>
            <w:gridSpan w:val="2"/>
          </w:tcPr>
          <w:p>
            <w:pPr>
              <w:ind w:left="280"/>
              <w:spacing w:after="0"/>
              <w:rPr>
                <w:sz w:val="20"/>
                <w:szCs w:val="20"/>
                <w:color w:val="auto"/>
              </w:rPr>
            </w:pPr>
            <w:r>
              <w:rPr>
                <w:rFonts w:ascii="Arial" w:cs="Arial" w:eastAsia="Arial" w:hAnsi="Arial"/>
                <w:sz w:val="18"/>
                <w:szCs w:val="18"/>
                <w:color w:val="auto"/>
                <w:w w:val="92"/>
              </w:rPr>
              <w:t>US$3,219,491</w:t>
            </w:r>
          </w:p>
        </w:tc>
        <w:tc>
          <w:tcPr>
            <w:tcW w:w="1640" w:type="dxa"/>
            <w:vAlign w:val="bottom"/>
            <w:gridSpan w:val="3"/>
          </w:tcPr>
          <w:p>
            <w:pPr>
              <w:ind w:left="300"/>
              <w:spacing w:after="0"/>
              <w:rPr>
                <w:sz w:val="20"/>
                <w:szCs w:val="20"/>
                <w:color w:val="auto"/>
              </w:rPr>
            </w:pPr>
            <w:r>
              <w:rPr>
                <w:rFonts w:ascii="Arial" w:cs="Arial" w:eastAsia="Arial" w:hAnsi="Arial"/>
                <w:sz w:val="18"/>
                <w:szCs w:val="18"/>
                <w:color w:val="auto"/>
              </w:rPr>
              <w:t>US$2,917,267</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US$3,268,103</w:t>
            </w:r>
          </w:p>
        </w:tc>
        <w:tc>
          <w:tcPr>
            <w:tcW w:w="1320" w:type="dxa"/>
            <w:vAlign w:val="bottom"/>
          </w:tcPr>
          <w:p>
            <w:pPr>
              <w:jc w:val="right"/>
              <w:spacing w:after="0"/>
              <w:rPr>
                <w:sz w:val="20"/>
                <w:szCs w:val="20"/>
                <w:color w:val="auto"/>
              </w:rPr>
            </w:pPr>
            <w:r>
              <w:rPr>
                <w:rFonts w:ascii="Arial" w:cs="Arial" w:eastAsia="Arial" w:hAnsi="Arial"/>
                <w:sz w:val="18"/>
                <w:szCs w:val="18"/>
                <w:color w:val="auto"/>
              </w:rPr>
              <w:t>US$3,147,982</w:t>
            </w:r>
          </w:p>
        </w:tc>
        <w:tc>
          <w:tcPr>
            <w:tcW w:w="0" w:type="dxa"/>
            <w:vAlign w:val="bottom"/>
          </w:tcPr>
          <w:p>
            <w:pPr>
              <w:spacing w:after="0"/>
              <w:rPr>
                <w:sz w:val="1"/>
                <w:szCs w:val="1"/>
                <w:color w:val="auto"/>
              </w:rPr>
            </w:pPr>
          </w:p>
        </w:tc>
      </w:tr>
      <w:tr>
        <w:trPr>
          <w:trHeight w:val="270"/>
        </w:trPr>
        <w:tc>
          <w:tcPr>
            <w:tcW w:w="4620" w:type="dxa"/>
            <w:vAlign w:val="bottom"/>
          </w:tcPr>
          <w:p>
            <w:pPr>
              <w:ind w:left="40"/>
              <w:spacing w:after="0"/>
              <w:rPr>
                <w:sz w:val="20"/>
                <w:szCs w:val="20"/>
                <w:color w:val="auto"/>
              </w:rPr>
            </w:pPr>
            <w:r>
              <w:rPr>
                <w:rFonts w:ascii="Arial" w:cs="Arial" w:eastAsia="Arial" w:hAnsi="Arial"/>
                <w:sz w:val="18"/>
                <w:szCs w:val="18"/>
                <w:color w:val="auto"/>
              </w:rPr>
              <w:t>Discounted notes (1)</w:t>
            </w:r>
          </w:p>
        </w:tc>
        <w:tc>
          <w:tcPr>
            <w:tcW w:w="1320" w:type="dxa"/>
            <w:vAlign w:val="bottom"/>
          </w:tcPr>
          <w:p>
            <w:pPr>
              <w:jc w:val="right"/>
              <w:spacing w:after="0"/>
              <w:rPr>
                <w:sz w:val="20"/>
                <w:szCs w:val="20"/>
                <w:color w:val="auto"/>
              </w:rPr>
            </w:pPr>
            <w:r>
              <w:rPr>
                <w:rFonts w:ascii="Arial" w:cs="Arial" w:eastAsia="Arial" w:hAnsi="Arial"/>
                <w:sz w:val="18"/>
                <w:szCs w:val="18"/>
                <w:color w:val="auto"/>
              </w:rPr>
              <w:t>217,141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160,204</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151,592</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175,949</w:t>
            </w:r>
          </w:p>
        </w:tc>
        <w:tc>
          <w:tcPr>
            <w:tcW w:w="1320" w:type="dxa"/>
            <w:vAlign w:val="bottom"/>
          </w:tcPr>
          <w:p>
            <w:pPr>
              <w:jc w:val="right"/>
              <w:spacing w:after="0"/>
              <w:rPr>
                <w:sz w:val="20"/>
                <w:szCs w:val="20"/>
                <w:color w:val="auto"/>
              </w:rPr>
            </w:pPr>
            <w:r>
              <w:rPr>
                <w:rFonts w:ascii="Arial" w:cs="Arial" w:eastAsia="Arial" w:hAnsi="Arial"/>
                <w:sz w:val="18"/>
                <w:szCs w:val="18"/>
                <w:color w:val="auto"/>
              </w:rPr>
              <w:t>170,379</w:t>
            </w:r>
          </w:p>
        </w:tc>
        <w:tc>
          <w:tcPr>
            <w:tcW w:w="0" w:type="dxa"/>
            <w:vAlign w:val="bottom"/>
          </w:tcPr>
          <w:p>
            <w:pPr>
              <w:spacing w:after="0"/>
              <w:rPr>
                <w:sz w:val="1"/>
                <w:szCs w:val="1"/>
                <w:color w:val="auto"/>
              </w:rPr>
            </w:pPr>
          </w:p>
        </w:tc>
      </w:tr>
      <w:tr>
        <w:trPr>
          <w:trHeight w:val="270"/>
        </w:trPr>
        <w:tc>
          <w:tcPr>
            <w:tcW w:w="4620" w:type="dxa"/>
            <w:vAlign w:val="bottom"/>
          </w:tcPr>
          <w:p>
            <w:pPr>
              <w:ind w:left="40"/>
              <w:spacing w:after="0"/>
              <w:rPr>
                <w:sz w:val="20"/>
                <w:szCs w:val="20"/>
                <w:color w:val="auto"/>
              </w:rPr>
            </w:pPr>
            <w:r>
              <w:rPr>
                <w:rFonts w:ascii="Arial" w:cs="Arial" w:eastAsia="Arial" w:hAnsi="Arial"/>
                <w:sz w:val="18"/>
                <w:szCs w:val="18"/>
                <w:color w:val="auto"/>
              </w:rPr>
              <w:t>Advances and overdrafts</w:t>
            </w:r>
          </w:p>
        </w:tc>
        <w:tc>
          <w:tcPr>
            <w:tcW w:w="1320" w:type="dxa"/>
            <w:vAlign w:val="bottom"/>
          </w:tcPr>
          <w:p>
            <w:pPr>
              <w:jc w:val="right"/>
              <w:spacing w:after="0"/>
              <w:rPr>
                <w:sz w:val="20"/>
                <w:szCs w:val="20"/>
                <w:color w:val="auto"/>
              </w:rPr>
            </w:pPr>
            <w:r>
              <w:rPr>
                <w:rFonts w:ascii="Arial" w:cs="Arial" w:eastAsia="Arial" w:hAnsi="Arial"/>
                <w:sz w:val="18"/>
                <w:szCs w:val="18"/>
                <w:color w:val="auto"/>
              </w:rPr>
              <w:t>202,904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164,472</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45,501</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169,132</w:t>
            </w:r>
          </w:p>
        </w:tc>
        <w:tc>
          <w:tcPr>
            <w:tcW w:w="1320" w:type="dxa"/>
            <w:vAlign w:val="bottom"/>
          </w:tcPr>
          <w:p>
            <w:pPr>
              <w:jc w:val="right"/>
              <w:spacing w:after="0"/>
              <w:rPr>
                <w:sz w:val="20"/>
                <w:szCs w:val="20"/>
                <w:color w:val="auto"/>
              </w:rPr>
            </w:pPr>
            <w:r>
              <w:rPr>
                <w:rFonts w:ascii="Arial" w:cs="Arial" w:eastAsia="Arial" w:hAnsi="Arial"/>
                <w:sz w:val="18"/>
                <w:szCs w:val="18"/>
                <w:color w:val="auto"/>
              </w:rPr>
              <w:t>181,986</w:t>
            </w:r>
          </w:p>
        </w:tc>
        <w:tc>
          <w:tcPr>
            <w:tcW w:w="0" w:type="dxa"/>
            <w:vAlign w:val="bottom"/>
          </w:tcPr>
          <w:p>
            <w:pPr>
              <w:spacing w:after="0"/>
              <w:rPr>
                <w:sz w:val="1"/>
                <w:szCs w:val="1"/>
                <w:color w:val="auto"/>
              </w:rPr>
            </w:pPr>
          </w:p>
        </w:tc>
      </w:tr>
      <w:tr>
        <w:trPr>
          <w:trHeight w:val="270"/>
        </w:trPr>
        <w:tc>
          <w:tcPr>
            <w:tcW w:w="4620" w:type="dxa"/>
            <w:vAlign w:val="bottom"/>
          </w:tcPr>
          <w:p>
            <w:pPr>
              <w:ind w:left="40"/>
              <w:spacing w:after="0"/>
              <w:rPr>
                <w:sz w:val="20"/>
                <w:szCs w:val="20"/>
                <w:color w:val="auto"/>
              </w:rPr>
            </w:pPr>
            <w:r>
              <w:rPr>
                <w:rFonts w:ascii="Arial" w:cs="Arial" w:eastAsia="Arial" w:hAnsi="Arial"/>
                <w:sz w:val="18"/>
                <w:szCs w:val="18"/>
                <w:color w:val="auto"/>
              </w:rPr>
              <w:t>Leasing transactions (1)</w:t>
            </w:r>
          </w:p>
        </w:tc>
        <w:tc>
          <w:tcPr>
            <w:tcW w:w="1320" w:type="dxa"/>
            <w:vAlign w:val="bottom"/>
          </w:tcPr>
          <w:p>
            <w:pPr>
              <w:jc w:val="right"/>
              <w:spacing w:after="0"/>
              <w:rPr>
                <w:sz w:val="20"/>
                <w:szCs w:val="20"/>
                <w:color w:val="auto"/>
              </w:rPr>
            </w:pPr>
            <w:r>
              <w:rPr>
                <w:rFonts w:ascii="Arial" w:cs="Arial" w:eastAsia="Arial" w:hAnsi="Arial"/>
                <w:sz w:val="18"/>
                <w:szCs w:val="18"/>
                <w:color w:val="auto"/>
              </w:rPr>
              <w:t>247,723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281,625</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274,042</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405,200</w:t>
            </w:r>
          </w:p>
        </w:tc>
        <w:tc>
          <w:tcPr>
            <w:tcW w:w="1320" w:type="dxa"/>
            <w:vAlign w:val="bottom"/>
          </w:tcPr>
          <w:p>
            <w:pPr>
              <w:jc w:val="right"/>
              <w:spacing w:after="0"/>
              <w:rPr>
                <w:sz w:val="20"/>
                <w:szCs w:val="20"/>
                <w:color w:val="auto"/>
              </w:rPr>
            </w:pPr>
            <w:r>
              <w:rPr>
                <w:rFonts w:ascii="Arial" w:cs="Arial" w:eastAsia="Arial" w:hAnsi="Arial"/>
                <w:sz w:val="18"/>
                <w:szCs w:val="18"/>
                <w:color w:val="auto"/>
              </w:rPr>
              <w:t>372,379</w:t>
            </w:r>
          </w:p>
        </w:tc>
        <w:tc>
          <w:tcPr>
            <w:tcW w:w="0" w:type="dxa"/>
            <w:vAlign w:val="bottom"/>
          </w:tcPr>
          <w:p>
            <w:pPr>
              <w:spacing w:after="0"/>
              <w:rPr>
                <w:sz w:val="1"/>
                <w:szCs w:val="1"/>
                <w:color w:val="auto"/>
              </w:rPr>
            </w:pPr>
          </w:p>
        </w:tc>
      </w:tr>
      <w:tr>
        <w:trPr>
          <w:trHeight w:val="270"/>
        </w:trPr>
        <w:tc>
          <w:tcPr>
            <w:tcW w:w="4620" w:type="dxa"/>
            <w:vAlign w:val="bottom"/>
          </w:tcPr>
          <w:p>
            <w:pPr>
              <w:ind w:left="40"/>
              <w:spacing w:after="0"/>
              <w:rPr>
                <w:sz w:val="20"/>
                <w:szCs w:val="20"/>
                <w:color w:val="auto"/>
              </w:rPr>
            </w:pPr>
            <w:r>
              <w:rPr>
                <w:rFonts w:ascii="Arial" w:cs="Arial" w:eastAsia="Arial" w:hAnsi="Arial"/>
                <w:sz w:val="18"/>
                <w:szCs w:val="18"/>
                <w:color w:val="auto"/>
              </w:rPr>
              <w:t>Factoring</w:t>
            </w:r>
          </w:p>
        </w:tc>
        <w:tc>
          <w:tcPr>
            <w:tcW w:w="1320" w:type="dxa"/>
            <w:vAlign w:val="bottom"/>
          </w:tcPr>
          <w:p>
            <w:pPr>
              <w:jc w:val="right"/>
              <w:spacing w:after="0"/>
              <w:rPr>
                <w:sz w:val="20"/>
                <w:szCs w:val="20"/>
                <w:color w:val="auto"/>
              </w:rPr>
            </w:pPr>
            <w:r>
              <w:rPr>
                <w:rFonts w:ascii="Arial" w:cs="Arial" w:eastAsia="Arial" w:hAnsi="Arial"/>
                <w:sz w:val="18"/>
                <w:szCs w:val="18"/>
                <w:color w:val="auto"/>
              </w:rPr>
              <w:t>67,575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62,510</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56,616</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62,302</w:t>
            </w:r>
          </w:p>
        </w:tc>
        <w:tc>
          <w:tcPr>
            <w:tcW w:w="1320" w:type="dxa"/>
            <w:vAlign w:val="bottom"/>
          </w:tcPr>
          <w:p>
            <w:pPr>
              <w:jc w:val="right"/>
              <w:spacing w:after="0"/>
              <w:rPr>
                <w:sz w:val="20"/>
                <w:szCs w:val="20"/>
                <w:color w:val="auto"/>
              </w:rPr>
            </w:pPr>
            <w:r>
              <w:rPr>
                <w:rFonts w:ascii="Arial" w:cs="Arial" w:eastAsia="Arial" w:hAnsi="Arial"/>
                <w:sz w:val="18"/>
                <w:szCs w:val="18"/>
                <w:color w:val="auto"/>
              </w:rPr>
              <w:t>56,446</w:t>
            </w:r>
          </w:p>
        </w:tc>
        <w:tc>
          <w:tcPr>
            <w:tcW w:w="0" w:type="dxa"/>
            <w:vAlign w:val="bottom"/>
          </w:tcPr>
          <w:p>
            <w:pPr>
              <w:spacing w:after="0"/>
              <w:rPr>
                <w:sz w:val="1"/>
                <w:szCs w:val="1"/>
                <w:color w:val="auto"/>
              </w:rPr>
            </w:pPr>
          </w:p>
        </w:tc>
      </w:tr>
      <w:tr>
        <w:trPr>
          <w:trHeight w:val="270"/>
        </w:trPr>
        <w:tc>
          <w:tcPr>
            <w:tcW w:w="4620" w:type="dxa"/>
            <w:vAlign w:val="bottom"/>
          </w:tcPr>
          <w:p>
            <w:pPr>
              <w:ind w:left="40"/>
              <w:spacing w:after="0"/>
              <w:rPr>
                <w:sz w:val="20"/>
                <w:szCs w:val="20"/>
                <w:color w:val="auto"/>
              </w:rPr>
            </w:pPr>
            <w:r>
              <w:rPr>
                <w:rFonts w:ascii="Arial" w:cs="Arial" w:eastAsia="Arial" w:hAnsi="Arial"/>
                <w:sz w:val="18"/>
                <w:szCs w:val="18"/>
                <w:color w:val="auto"/>
              </w:rPr>
              <w:t>Refinanced loans</w:t>
            </w:r>
          </w:p>
        </w:tc>
        <w:tc>
          <w:tcPr>
            <w:tcW w:w="1320" w:type="dxa"/>
            <w:vAlign w:val="bottom"/>
          </w:tcPr>
          <w:p>
            <w:pPr>
              <w:jc w:val="right"/>
              <w:spacing w:after="0"/>
              <w:rPr>
                <w:sz w:val="20"/>
                <w:szCs w:val="20"/>
                <w:color w:val="auto"/>
              </w:rPr>
            </w:pPr>
            <w:r>
              <w:rPr>
                <w:rFonts w:ascii="Arial" w:cs="Arial" w:eastAsia="Arial" w:hAnsi="Arial"/>
                <w:sz w:val="18"/>
                <w:szCs w:val="18"/>
                <w:color w:val="auto"/>
              </w:rPr>
              <w:t>125,331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189,682</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268,626</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330,842</w:t>
            </w:r>
          </w:p>
        </w:tc>
        <w:tc>
          <w:tcPr>
            <w:tcW w:w="1320" w:type="dxa"/>
            <w:vAlign w:val="bottom"/>
          </w:tcPr>
          <w:p>
            <w:pPr>
              <w:jc w:val="right"/>
              <w:spacing w:after="0"/>
              <w:rPr>
                <w:sz w:val="20"/>
                <w:szCs w:val="20"/>
                <w:color w:val="auto"/>
              </w:rPr>
            </w:pPr>
            <w:r>
              <w:rPr>
                <w:rFonts w:ascii="Arial" w:cs="Arial" w:eastAsia="Arial" w:hAnsi="Arial"/>
                <w:sz w:val="18"/>
                <w:szCs w:val="18"/>
                <w:color w:val="auto"/>
              </w:rPr>
              <w:t>296,116</w:t>
            </w:r>
          </w:p>
        </w:tc>
        <w:tc>
          <w:tcPr>
            <w:tcW w:w="0" w:type="dxa"/>
            <w:vAlign w:val="bottom"/>
          </w:tcPr>
          <w:p>
            <w:pPr>
              <w:spacing w:after="0"/>
              <w:rPr>
                <w:sz w:val="1"/>
                <w:szCs w:val="1"/>
                <w:color w:val="auto"/>
              </w:rPr>
            </w:pPr>
          </w:p>
        </w:tc>
      </w:tr>
      <w:tr>
        <w:trPr>
          <w:trHeight w:val="270"/>
        </w:trPr>
        <w:tc>
          <w:tcPr>
            <w:tcW w:w="4620" w:type="dxa"/>
            <w:vAlign w:val="bottom"/>
          </w:tcPr>
          <w:p>
            <w:pPr>
              <w:ind w:left="40"/>
              <w:spacing w:after="0"/>
              <w:rPr>
                <w:sz w:val="20"/>
                <w:szCs w:val="20"/>
                <w:color w:val="auto"/>
              </w:rPr>
            </w:pPr>
            <w:r>
              <w:rPr>
                <w:rFonts w:ascii="Arial" w:cs="Arial" w:eastAsia="Arial" w:hAnsi="Arial"/>
                <w:sz w:val="18"/>
                <w:szCs w:val="18"/>
                <w:color w:val="auto"/>
              </w:rPr>
              <w:t>Past due loans (2)</w:t>
            </w:r>
          </w:p>
        </w:tc>
        <w:tc>
          <w:tcPr>
            <w:tcW w:w="1320" w:type="dxa"/>
            <w:vAlign w:val="bottom"/>
          </w:tcPr>
          <w:p>
            <w:pPr>
              <w:jc w:val="right"/>
              <w:spacing w:after="0"/>
              <w:rPr>
                <w:sz w:val="20"/>
                <w:szCs w:val="20"/>
                <w:color w:val="auto"/>
              </w:rPr>
            </w:pPr>
            <w:r>
              <w:rPr>
                <w:rFonts w:ascii="Arial" w:cs="Arial" w:eastAsia="Arial" w:hAnsi="Arial"/>
                <w:sz w:val="18"/>
                <w:szCs w:val="18"/>
                <w:color w:val="auto"/>
              </w:rPr>
              <w:t>359,794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376,101</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350,835</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406,135</w:t>
            </w:r>
          </w:p>
        </w:tc>
        <w:tc>
          <w:tcPr>
            <w:tcW w:w="1320" w:type="dxa"/>
            <w:vAlign w:val="bottom"/>
          </w:tcPr>
          <w:p>
            <w:pPr>
              <w:jc w:val="right"/>
              <w:spacing w:after="0"/>
              <w:rPr>
                <w:sz w:val="20"/>
                <w:szCs w:val="20"/>
                <w:color w:val="auto"/>
              </w:rPr>
            </w:pPr>
            <w:r>
              <w:rPr>
                <w:rFonts w:ascii="Arial" w:cs="Arial" w:eastAsia="Arial" w:hAnsi="Arial"/>
                <w:sz w:val="18"/>
                <w:szCs w:val="18"/>
                <w:color w:val="auto"/>
              </w:rPr>
              <w:t>256,208</w:t>
            </w:r>
          </w:p>
        </w:tc>
        <w:tc>
          <w:tcPr>
            <w:tcW w:w="0" w:type="dxa"/>
            <w:vAlign w:val="bottom"/>
          </w:tcPr>
          <w:p>
            <w:pPr>
              <w:spacing w:after="0"/>
              <w:rPr>
                <w:sz w:val="1"/>
                <w:szCs w:val="1"/>
                <w:color w:val="auto"/>
              </w:rPr>
            </w:pPr>
          </w:p>
        </w:tc>
      </w:tr>
      <w:tr>
        <w:trPr>
          <w:trHeight w:val="164"/>
        </w:trPr>
        <w:tc>
          <w:tcPr>
            <w:tcW w:w="4620" w:type="dxa"/>
            <w:vAlign w:val="bottom"/>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83"/>
        </w:trPr>
        <w:tc>
          <w:tcPr>
            <w:tcW w:w="4620" w:type="dxa"/>
            <w:vAlign w:val="bottom"/>
          </w:tcPr>
          <w:p>
            <w:pPr>
              <w:ind w:left="40"/>
              <w:spacing w:after="0"/>
              <w:rPr>
                <w:sz w:val="20"/>
                <w:szCs w:val="20"/>
                <w:color w:val="auto"/>
              </w:rPr>
            </w:pPr>
            <w:r>
              <w:rPr>
                <w:rFonts w:ascii="Arial" w:cs="Arial" w:eastAsia="Arial" w:hAnsi="Arial"/>
                <w:sz w:val="18"/>
                <w:szCs w:val="18"/>
                <w:color w:val="auto"/>
              </w:rPr>
              <w:t>Total loans:</w:t>
            </w:r>
          </w:p>
        </w:tc>
        <w:tc>
          <w:tcPr>
            <w:tcW w:w="1320" w:type="dxa"/>
            <w:vAlign w:val="bottom"/>
          </w:tcPr>
          <w:p>
            <w:pPr>
              <w:jc w:val="right"/>
              <w:spacing w:after="0"/>
              <w:rPr>
                <w:sz w:val="20"/>
                <w:szCs w:val="20"/>
                <w:color w:val="auto"/>
              </w:rPr>
            </w:pPr>
            <w:r>
              <w:rPr>
                <w:rFonts w:ascii="Arial" w:cs="Arial" w:eastAsia="Arial" w:hAnsi="Arial"/>
                <w:sz w:val="18"/>
                <w:szCs w:val="18"/>
                <w:color w:val="auto"/>
              </w:rPr>
              <w:t>US$4,737,689</w:t>
            </w:r>
          </w:p>
        </w:tc>
        <w:tc>
          <w:tcPr>
            <w:tcW w:w="60" w:type="dxa"/>
            <w:vAlign w:val="bottom"/>
          </w:tcPr>
          <w:p>
            <w:pPr>
              <w:spacing w:after="0"/>
              <w:rPr>
                <w:sz w:val="24"/>
                <w:szCs w:val="24"/>
                <w:color w:val="auto"/>
              </w:rPr>
            </w:pPr>
          </w:p>
        </w:tc>
        <w:tc>
          <w:tcPr>
            <w:tcW w:w="1360" w:type="dxa"/>
            <w:vAlign w:val="bottom"/>
            <w:gridSpan w:val="2"/>
          </w:tcPr>
          <w:p>
            <w:pPr>
              <w:ind w:left="280"/>
              <w:spacing w:after="0"/>
              <w:rPr>
                <w:sz w:val="20"/>
                <w:szCs w:val="20"/>
                <w:color w:val="auto"/>
              </w:rPr>
            </w:pPr>
            <w:r>
              <w:rPr>
                <w:rFonts w:ascii="Arial" w:cs="Arial" w:eastAsia="Arial" w:hAnsi="Arial"/>
                <w:sz w:val="18"/>
                <w:szCs w:val="18"/>
                <w:color w:val="auto"/>
                <w:w w:val="92"/>
              </w:rPr>
              <w:t>US$4,454,085</w:t>
            </w:r>
          </w:p>
        </w:tc>
        <w:tc>
          <w:tcPr>
            <w:tcW w:w="1640" w:type="dxa"/>
            <w:vAlign w:val="bottom"/>
            <w:gridSpan w:val="3"/>
          </w:tcPr>
          <w:p>
            <w:pPr>
              <w:ind w:left="300"/>
              <w:spacing w:after="0"/>
              <w:rPr>
                <w:sz w:val="20"/>
                <w:szCs w:val="20"/>
                <w:color w:val="auto"/>
              </w:rPr>
            </w:pPr>
            <w:r>
              <w:rPr>
                <w:rFonts w:ascii="Arial" w:cs="Arial" w:eastAsia="Arial" w:hAnsi="Arial"/>
                <w:sz w:val="18"/>
                <w:szCs w:val="18"/>
                <w:color w:val="auto"/>
              </w:rPr>
              <w:t>US$4,064,479</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US$4,817,663</w:t>
            </w:r>
          </w:p>
        </w:tc>
        <w:tc>
          <w:tcPr>
            <w:tcW w:w="1320" w:type="dxa"/>
            <w:vAlign w:val="bottom"/>
          </w:tcPr>
          <w:p>
            <w:pPr>
              <w:jc w:val="right"/>
              <w:spacing w:after="0"/>
              <w:rPr>
                <w:sz w:val="20"/>
                <w:szCs w:val="20"/>
                <w:color w:val="auto"/>
              </w:rPr>
            </w:pPr>
            <w:r>
              <w:rPr>
                <w:rFonts w:ascii="Arial" w:cs="Arial" w:eastAsia="Arial" w:hAnsi="Arial"/>
                <w:sz w:val="18"/>
                <w:szCs w:val="18"/>
                <w:color w:val="auto"/>
              </w:rPr>
              <w:t>US$4,481,496</w:t>
            </w:r>
          </w:p>
        </w:tc>
        <w:tc>
          <w:tcPr>
            <w:tcW w:w="0" w:type="dxa"/>
            <w:vAlign w:val="bottom"/>
          </w:tcPr>
          <w:p>
            <w:pPr>
              <w:spacing w:after="0"/>
              <w:rPr>
                <w:sz w:val="1"/>
                <w:szCs w:val="1"/>
                <w:color w:val="auto"/>
              </w:rPr>
            </w:pPr>
          </w:p>
        </w:tc>
      </w:tr>
      <w:tr>
        <w:trPr>
          <w:trHeight w:val="270"/>
        </w:trPr>
        <w:tc>
          <w:tcPr>
            <w:tcW w:w="4620" w:type="dxa"/>
            <w:vAlign w:val="bottom"/>
          </w:tcPr>
          <w:p>
            <w:pPr>
              <w:ind w:left="200"/>
              <w:spacing w:after="0"/>
              <w:rPr>
                <w:sz w:val="20"/>
                <w:szCs w:val="20"/>
                <w:color w:val="auto"/>
              </w:rPr>
            </w:pPr>
            <w:r>
              <w:rPr>
                <w:rFonts w:ascii="Arial" w:cs="Arial" w:eastAsia="Arial" w:hAnsi="Arial"/>
                <w:sz w:val="18"/>
                <w:szCs w:val="18"/>
                <w:color w:val="auto"/>
              </w:rPr>
              <w:t>Total past due loans amounts</w:t>
            </w:r>
          </w:p>
        </w:tc>
        <w:tc>
          <w:tcPr>
            <w:tcW w:w="1320" w:type="dxa"/>
            <w:vAlign w:val="bottom"/>
          </w:tcPr>
          <w:p>
            <w:pPr>
              <w:jc w:val="right"/>
              <w:spacing w:after="0"/>
              <w:rPr>
                <w:sz w:val="20"/>
                <w:szCs w:val="20"/>
                <w:color w:val="auto"/>
              </w:rPr>
            </w:pPr>
            <w:r>
              <w:rPr>
                <w:rFonts w:ascii="Arial" w:cs="Arial" w:eastAsia="Arial" w:hAnsi="Arial"/>
                <w:sz w:val="18"/>
                <w:szCs w:val="18"/>
                <w:color w:val="auto"/>
              </w:rPr>
              <w:t>359,794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376,101</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350,835</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406,135</w:t>
            </w:r>
          </w:p>
        </w:tc>
        <w:tc>
          <w:tcPr>
            <w:tcW w:w="1320" w:type="dxa"/>
            <w:vAlign w:val="bottom"/>
          </w:tcPr>
          <w:p>
            <w:pPr>
              <w:jc w:val="right"/>
              <w:spacing w:after="0"/>
              <w:rPr>
                <w:sz w:val="20"/>
                <w:szCs w:val="20"/>
                <w:color w:val="auto"/>
              </w:rPr>
            </w:pPr>
            <w:r>
              <w:rPr>
                <w:rFonts w:ascii="Arial" w:cs="Arial" w:eastAsia="Arial" w:hAnsi="Arial"/>
                <w:sz w:val="18"/>
                <w:szCs w:val="18"/>
                <w:color w:val="auto"/>
              </w:rPr>
              <w:t>256,208</w:t>
            </w:r>
          </w:p>
        </w:tc>
        <w:tc>
          <w:tcPr>
            <w:tcW w:w="0" w:type="dxa"/>
            <w:vAlign w:val="bottom"/>
          </w:tcPr>
          <w:p>
            <w:pPr>
              <w:spacing w:after="0"/>
              <w:rPr>
                <w:sz w:val="1"/>
                <w:szCs w:val="1"/>
                <w:color w:val="auto"/>
              </w:rPr>
            </w:pPr>
          </w:p>
        </w:tc>
      </w:tr>
      <w:tr>
        <w:trPr>
          <w:trHeight w:val="164"/>
        </w:trPr>
        <w:tc>
          <w:tcPr>
            <w:tcW w:w="4620" w:type="dxa"/>
            <w:vAlign w:val="bottom"/>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83"/>
        </w:trPr>
        <w:tc>
          <w:tcPr>
            <w:tcW w:w="4620" w:type="dxa"/>
            <w:vAlign w:val="bottom"/>
          </w:tcPr>
          <w:p>
            <w:pPr>
              <w:ind w:left="200"/>
              <w:spacing w:after="0"/>
              <w:rPr>
                <w:sz w:val="20"/>
                <w:szCs w:val="20"/>
                <w:color w:val="auto"/>
              </w:rPr>
            </w:pPr>
            <w:r>
              <w:rPr>
                <w:rFonts w:ascii="Arial" w:cs="Arial" w:eastAsia="Arial" w:hAnsi="Arial"/>
                <w:sz w:val="18"/>
                <w:szCs w:val="18"/>
                <w:color w:val="auto"/>
              </w:rPr>
              <w:t>Total performing loans</w:t>
            </w:r>
          </w:p>
        </w:tc>
        <w:tc>
          <w:tcPr>
            <w:tcW w:w="1320" w:type="dxa"/>
            <w:vAlign w:val="bottom"/>
          </w:tcPr>
          <w:p>
            <w:pPr>
              <w:jc w:val="right"/>
              <w:spacing w:after="0"/>
              <w:rPr>
                <w:sz w:val="20"/>
                <w:szCs w:val="20"/>
                <w:color w:val="auto"/>
              </w:rPr>
            </w:pPr>
            <w:r>
              <w:rPr>
                <w:rFonts w:ascii="Arial" w:cs="Arial" w:eastAsia="Arial" w:hAnsi="Arial"/>
                <w:sz w:val="18"/>
                <w:szCs w:val="18"/>
                <w:color w:val="auto"/>
              </w:rPr>
              <w:t>US$4,377,895</w:t>
            </w:r>
          </w:p>
        </w:tc>
        <w:tc>
          <w:tcPr>
            <w:tcW w:w="60" w:type="dxa"/>
            <w:vAlign w:val="bottom"/>
          </w:tcPr>
          <w:p>
            <w:pPr>
              <w:spacing w:after="0"/>
              <w:rPr>
                <w:sz w:val="24"/>
                <w:szCs w:val="24"/>
                <w:color w:val="auto"/>
              </w:rPr>
            </w:pPr>
          </w:p>
        </w:tc>
        <w:tc>
          <w:tcPr>
            <w:tcW w:w="1360" w:type="dxa"/>
            <w:vAlign w:val="bottom"/>
            <w:gridSpan w:val="2"/>
          </w:tcPr>
          <w:p>
            <w:pPr>
              <w:ind w:left="280"/>
              <w:spacing w:after="0"/>
              <w:rPr>
                <w:sz w:val="20"/>
                <w:szCs w:val="20"/>
                <w:color w:val="auto"/>
              </w:rPr>
            </w:pPr>
            <w:r>
              <w:rPr>
                <w:rFonts w:ascii="Arial" w:cs="Arial" w:eastAsia="Arial" w:hAnsi="Arial"/>
                <w:sz w:val="18"/>
                <w:szCs w:val="18"/>
                <w:color w:val="auto"/>
                <w:w w:val="92"/>
              </w:rPr>
              <w:t>US$4,077,984</w:t>
            </w:r>
          </w:p>
        </w:tc>
        <w:tc>
          <w:tcPr>
            <w:tcW w:w="1640" w:type="dxa"/>
            <w:vAlign w:val="bottom"/>
            <w:gridSpan w:val="3"/>
          </w:tcPr>
          <w:p>
            <w:pPr>
              <w:ind w:left="300"/>
              <w:spacing w:after="0"/>
              <w:rPr>
                <w:sz w:val="20"/>
                <w:szCs w:val="20"/>
                <w:color w:val="auto"/>
              </w:rPr>
            </w:pPr>
            <w:r>
              <w:rPr>
                <w:rFonts w:ascii="Arial" w:cs="Arial" w:eastAsia="Arial" w:hAnsi="Arial"/>
                <w:sz w:val="18"/>
                <w:szCs w:val="18"/>
                <w:color w:val="auto"/>
              </w:rPr>
              <w:t>US$3,713,644</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US$4,411,528</w:t>
            </w:r>
          </w:p>
        </w:tc>
        <w:tc>
          <w:tcPr>
            <w:tcW w:w="1320" w:type="dxa"/>
            <w:vAlign w:val="bottom"/>
          </w:tcPr>
          <w:p>
            <w:pPr>
              <w:jc w:val="right"/>
              <w:spacing w:after="0"/>
              <w:rPr>
                <w:sz w:val="20"/>
                <w:szCs w:val="20"/>
                <w:color w:val="auto"/>
              </w:rPr>
            </w:pPr>
            <w:r>
              <w:rPr>
                <w:rFonts w:ascii="Arial" w:cs="Arial" w:eastAsia="Arial" w:hAnsi="Arial"/>
                <w:sz w:val="18"/>
                <w:szCs w:val="18"/>
                <w:color w:val="auto"/>
              </w:rPr>
              <w:t>US$4,225,288</w:t>
            </w:r>
          </w:p>
        </w:tc>
        <w:tc>
          <w:tcPr>
            <w:tcW w:w="0" w:type="dxa"/>
            <w:vAlign w:val="bottom"/>
          </w:tcPr>
          <w:p>
            <w:pPr>
              <w:spacing w:after="0"/>
              <w:rPr>
                <w:sz w:val="1"/>
                <w:szCs w:val="1"/>
                <w:color w:val="auto"/>
              </w:rPr>
            </w:pPr>
          </w:p>
        </w:tc>
      </w:tr>
      <w:tr>
        <w:trPr>
          <w:trHeight w:val="174"/>
        </w:trPr>
        <w:tc>
          <w:tcPr>
            <w:tcW w:w="4620" w:type="dxa"/>
            <w:vAlign w:val="bottom"/>
            <w:vMerge w:val="restart"/>
          </w:tcPr>
          <w:p>
            <w:pPr>
              <w:spacing w:after="0"/>
              <w:rPr>
                <w:sz w:val="20"/>
                <w:szCs w:val="20"/>
                <w:color w:val="auto"/>
              </w:rPr>
            </w:pPr>
            <w:r>
              <w:rPr>
                <w:rFonts w:ascii="Arial" w:cs="Arial" w:eastAsia="Arial" w:hAnsi="Arial"/>
                <w:sz w:val="18"/>
                <w:szCs w:val="18"/>
                <w:color w:val="auto"/>
              </w:rPr>
              <w:t>___________________</w:t>
            </w:r>
          </w:p>
        </w:tc>
        <w:tc>
          <w:tcPr>
            <w:tcW w:w="13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462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-3063875</wp:posOffset>
            </wp:positionV>
            <wp:extent cx="34290" cy="342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3748405</wp:posOffset>
            </wp:positionH>
            <wp:positionV relativeFrom="paragraph">
              <wp:posOffset>-2703830</wp:posOffset>
            </wp:positionV>
            <wp:extent cx="34290" cy="342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4614545</wp:posOffset>
            </wp:positionH>
            <wp:positionV relativeFrom="paragraph">
              <wp:posOffset>-2703830</wp:posOffset>
            </wp:positionV>
            <wp:extent cx="34290" cy="342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-2703830</wp:posOffset>
            </wp:positionV>
            <wp:extent cx="34290" cy="342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-2703830</wp:posOffset>
            </wp:positionV>
            <wp:extent cx="34290" cy="342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-2703830</wp:posOffset>
            </wp:positionV>
            <wp:extent cx="34290" cy="342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3748405</wp:posOffset>
            </wp:positionH>
            <wp:positionV relativeFrom="paragraph">
              <wp:posOffset>-1143000</wp:posOffset>
            </wp:positionV>
            <wp:extent cx="34290" cy="342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4614545</wp:posOffset>
            </wp:positionH>
            <wp:positionV relativeFrom="paragraph">
              <wp:posOffset>-1143000</wp:posOffset>
            </wp:positionV>
            <wp:extent cx="34290" cy="342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-1143000</wp:posOffset>
            </wp:positionV>
            <wp:extent cx="34290" cy="342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-1143000</wp:posOffset>
            </wp:positionV>
            <wp:extent cx="34290" cy="342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-1143000</wp:posOffset>
            </wp:positionV>
            <wp:extent cx="34290" cy="342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3748405</wp:posOffset>
            </wp:positionH>
            <wp:positionV relativeFrom="paragraph">
              <wp:posOffset>-610870</wp:posOffset>
            </wp:positionV>
            <wp:extent cx="34290" cy="342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4614545</wp:posOffset>
            </wp:positionH>
            <wp:positionV relativeFrom="paragraph">
              <wp:posOffset>-610870</wp:posOffset>
            </wp:positionV>
            <wp:extent cx="34290" cy="342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-610870</wp:posOffset>
            </wp:positionV>
            <wp:extent cx="34290" cy="342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-610870</wp:posOffset>
            </wp:positionV>
            <wp:extent cx="34290" cy="342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-610870</wp:posOffset>
            </wp:positionV>
            <wp:extent cx="34290" cy="342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-233680</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-233680</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-233680</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-233680</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-233680</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-233680</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-233680</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-233680</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-233680</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-233680</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80" w:hanging="572"/>
        <w:spacing w:after="0" w:line="226" w:lineRule="auto"/>
        <w:tabs>
          <w:tab w:leader="none" w:pos="5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Figures are net of unearned interest.</w:t>
      </w:r>
    </w:p>
    <w:p>
      <w:pPr>
        <w:ind w:left="580" w:hanging="572"/>
        <w:spacing w:after="0"/>
        <w:tabs>
          <w:tab w:leader="none" w:pos="5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Net of unearned interest.</w:t>
      </w:r>
    </w:p>
    <w:p>
      <w:pPr>
        <w:spacing w:after="0" w:line="194" w:lineRule="exact"/>
        <w:rPr>
          <w:sz w:val="20"/>
          <w:szCs w:val="20"/>
          <w:color w:val="auto"/>
        </w:rPr>
      </w:pPr>
    </w:p>
    <w:p>
      <w:pPr>
        <w:jc w:val="both"/>
        <w:ind w:firstLine="239"/>
        <w:spacing w:after="0" w:line="256" w:lineRule="auto"/>
        <w:rPr>
          <w:sz w:val="20"/>
          <w:szCs w:val="20"/>
          <w:color w:val="auto"/>
        </w:rPr>
      </w:pPr>
      <w:r>
        <w:rPr>
          <w:rFonts w:ascii="Arial" w:cs="Arial" w:eastAsia="Arial" w:hAnsi="Arial"/>
          <w:sz w:val="18"/>
          <w:szCs w:val="18"/>
          <w:color w:val="auto"/>
        </w:rPr>
        <w:t>The categorization of the loan portfolio as set forth in the table above is based on the regulations of the SBS, which Credicorp has applied to loans generated by BCP and ASHC. These categories do not correspond to the classifications used in preparing the breakdown of the loan portfolio by business unit set forth under “Item 4. Information on the Company—(B) Business Overview—(3) Commercial Banking.” Pursuant to the guidelines of the SBS, loans are categorized as follows:</w:t>
      </w:r>
    </w:p>
    <w:p>
      <w:pPr>
        <w:spacing w:after="0" w:line="197" w:lineRule="exact"/>
        <w:rPr>
          <w:sz w:val="20"/>
          <w:szCs w:val="20"/>
          <w:color w:val="auto"/>
        </w:rPr>
      </w:pPr>
    </w:p>
    <w:p>
      <w:pPr>
        <w:jc w:val="both"/>
        <w:ind w:firstLine="274"/>
        <w:spacing w:after="0" w:line="332" w:lineRule="auto"/>
        <w:rPr>
          <w:sz w:val="20"/>
          <w:szCs w:val="20"/>
          <w:color w:val="auto"/>
        </w:rPr>
      </w:pPr>
      <w:r>
        <w:rPr>
          <w:rFonts w:ascii="Arial" w:cs="Arial" w:eastAsia="Arial" w:hAnsi="Arial"/>
          <w:sz w:val="16"/>
          <w:szCs w:val="16"/>
          <w:i w:val="1"/>
          <w:iCs w:val="1"/>
          <w:color w:val="auto"/>
        </w:rPr>
        <w:t xml:space="preserve">Loans: </w:t>
      </w:r>
      <w:r>
        <w:rPr>
          <w:rFonts w:ascii="Arial" w:cs="Arial" w:eastAsia="Arial" w:hAnsi="Arial"/>
          <w:sz w:val="16"/>
          <w:szCs w:val="16"/>
          <w:color w:val="auto"/>
        </w:rPr>
        <w:t>Basic term loans documented by promissory notes and other extensions of credit, such as mortgage loans, credit cards and other consumer loans in</w:t>
      </w:r>
      <w:r>
        <w:rPr>
          <w:rFonts w:ascii="Arial" w:cs="Arial" w:eastAsia="Arial" w:hAnsi="Arial"/>
          <w:sz w:val="16"/>
          <w:szCs w:val="16"/>
          <w:i w:val="1"/>
          <w:iCs w:val="1"/>
          <w:color w:val="auto"/>
        </w:rPr>
        <w:t xml:space="preserve"> </w:t>
      </w:r>
      <w:r>
        <w:rPr>
          <w:rFonts w:ascii="Arial" w:cs="Arial" w:eastAsia="Arial" w:hAnsi="Arial"/>
          <w:sz w:val="16"/>
          <w:szCs w:val="16"/>
          <w:color w:val="auto"/>
        </w:rPr>
        <w:t>various forms, including trade finance loans to importers and exporters on specialized terms adapted to the needs of the international trade transaction.</w:t>
      </w:r>
    </w:p>
    <w:p>
      <w:pPr>
        <w:spacing w:after="0" w:line="139" w:lineRule="exact"/>
        <w:rPr>
          <w:sz w:val="20"/>
          <w:szCs w:val="20"/>
          <w:color w:val="auto"/>
        </w:rPr>
      </w:pPr>
    </w:p>
    <w:p>
      <w:pPr>
        <w:jc w:val="both"/>
        <w:ind w:firstLine="260"/>
        <w:spacing w:after="0" w:line="259" w:lineRule="auto"/>
        <w:rPr>
          <w:sz w:val="20"/>
          <w:szCs w:val="20"/>
          <w:color w:val="auto"/>
        </w:rPr>
      </w:pPr>
      <w:r>
        <w:rPr>
          <w:rFonts w:ascii="Arial" w:cs="Arial" w:eastAsia="Arial" w:hAnsi="Arial"/>
          <w:sz w:val="18"/>
          <w:szCs w:val="18"/>
          <w:i w:val="1"/>
          <w:iCs w:val="1"/>
          <w:color w:val="auto"/>
        </w:rPr>
        <w:t xml:space="preserve">Discounted notes: </w:t>
      </w:r>
      <w:r>
        <w:rPr>
          <w:rFonts w:ascii="Arial" w:cs="Arial" w:eastAsia="Arial" w:hAnsi="Arial"/>
          <w:sz w:val="18"/>
          <w:szCs w:val="18"/>
          <w:color w:val="auto"/>
        </w:rPr>
        <w:t>Loans discounted at the outset (the client signs a promissory note or other evidence of indebtedness for the principal amount payable at a</w:t>
      </w:r>
      <w:r>
        <w:rPr>
          <w:rFonts w:ascii="Arial" w:cs="Arial" w:eastAsia="Arial" w:hAnsi="Arial"/>
          <w:sz w:val="18"/>
          <w:szCs w:val="18"/>
          <w:i w:val="1"/>
          <w:iCs w:val="1"/>
          <w:color w:val="auto"/>
        </w:rPr>
        <w:t xml:space="preserve"> </w:t>
      </w:r>
      <w:r>
        <w:rPr>
          <w:rFonts w:ascii="Arial" w:cs="Arial" w:eastAsia="Arial" w:hAnsi="Arial"/>
          <w:sz w:val="18"/>
          <w:szCs w:val="18"/>
          <w:color w:val="auto"/>
        </w:rPr>
        <w:t>future date). Discounted loans also include discounting of drafts, where Credicorp makes a loan supported by a draft signed by one party and discounted by another party, with recourse to both parties.</w:t>
      </w:r>
    </w:p>
    <w:p>
      <w:pPr>
        <w:sectPr>
          <w:pgSz w:w="11900" w:h="16838" w:orient="portrait"/>
          <w:cols w:equalWidth="0" w:num="1">
            <w:col w:w="11420"/>
          </w:cols>
          <w:pgMar w:left="240" w:top="368" w:right="239" w:bottom="144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368" w:right="239" w:bottom="1440" w:gutter="0" w:footer="0" w:header="0"/>
          <w:type w:val="continuous"/>
        </w:sectPr>
      </w:pPr>
    </w:p>
    <w:bookmarkStart w:id="67" w:name="page68"/>
    <w:bookmarkEnd w:id="67"/>
    <w:p>
      <w:pPr>
        <w:jc w:val="both"/>
        <w:ind w:firstLine="260"/>
        <w:spacing w:after="0" w:line="268" w:lineRule="auto"/>
        <w:rPr>
          <w:sz w:val="20"/>
          <w:szCs w:val="20"/>
          <w:color w:val="auto"/>
        </w:rPr>
      </w:pPr>
      <w:r>
        <w:rPr>
          <w:rFonts w:ascii="Arial" w:cs="Arial" w:eastAsia="Arial" w:hAnsi="Arial"/>
          <w:sz w:val="18"/>
          <w:szCs w:val="18"/>
          <w:i w:val="1"/>
          <w:iCs w:val="1"/>
          <w:color w:val="auto"/>
        </w:rPr>
        <w:t xml:space="preserve">Advances and overdrafts: </w:t>
      </w:r>
      <w:r>
        <w:rPr>
          <w:rFonts w:ascii="Arial" w:cs="Arial" w:eastAsia="Arial" w:hAnsi="Arial"/>
          <w:sz w:val="18"/>
          <w:szCs w:val="18"/>
          <w:color w:val="auto"/>
        </w:rPr>
        <w:t>Extensions of credit to clients by way of an overdraft facility in the client’s checking account. This category also includes secured</w:t>
      </w:r>
      <w:r>
        <w:rPr>
          <w:rFonts w:ascii="Arial" w:cs="Arial" w:eastAsia="Arial" w:hAnsi="Arial"/>
          <w:sz w:val="18"/>
          <w:szCs w:val="18"/>
          <w:i w:val="1"/>
          <w:iCs w:val="1"/>
          <w:color w:val="auto"/>
        </w:rPr>
        <w:t xml:space="preserve"> </w:t>
      </w:r>
      <w:r>
        <w:rPr>
          <w:rFonts w:ascii="Arial" w:cs="Arial" w:eastAsia="Arial" w:hAnsi="Arial"/>
          <w:sz w:val="18"/>
          <w:szCs w:val="18"/>
          <w:color w:val="auto"/>
        </w:rPr>
        <w:t>short-term advances.</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 xml:space="preserve">Leasing transactions: </w:t>
      </w:r>
      <w:r>
        <w:rPr>
          <w:rFonts w:ascii="Arial" w:cs="Arial" w:eastAsia="Arial" w:hAnsi="Arial"/>
          <w:sz w:val="18"/>
          <w:szCs w:val="18"/>
          <w:color w:val="auto"/>
        </w:rPr>
        <w:t>Involves the acquisition by Credicorp of an asset and the leasing of that asset to Credicorp’s client.</w:t>
      </w:r>
    </w:p>
    <w:p>
      <w:pPr>
        <w:spacing w:after="0" w:line="225" w:lineRule="exact"/>
        <w:rPr>
          <w:sz w:val="20"/>
          <w:szCs w:val="20"/>
          <w:color w:val="auto"/>
        </w:rPr>
      </w:pPr>
    </w:p>
    <w:p>
      <w:pPr>
        <w:jc w:val="both"/>
        <w:ind w:firstLine="247"/>
        <w:spacing w:after="0" w:line="306" w:lineRule="auto"/>
        <w:rPr>
          <w:sz w:val="20"/>
          <w:szCs w:val="20"/>
          <w:color w:val="auto"/>
        </w:rPr>
      </w:pPr>
      <w:r>
        <w:rPr>
          <w:rFonts w:ascii="Arial" w:cs="Arial" w:eastAsia="Arial" w:hAnsi="Arial"/>
          <w:sz w:val="16"/>
          <w:szCs w:val="16"/>
          <w:i w:val="1"/>
          <w:iCs w:val="1"/>
          <w:color w:val="auto"/>
        </w:rPr>
        <w:t xml:space="preserve">Factoring: </w:t>
      </w:r>
      <w:r>
        <w:rPr>
          <w:rFonts w:ascii="Arial" w:cs="Arial" w:eastAsia="Arial" w:hAnsi="Arial"/>
          <w:sz w:val="16"/>
          <w:szCs w:val="16"/>
          <w:color w:val="auto"/>
        </w:rPr>
        <w:t>Involves the sale of title of a company’s accounts receivables to a bank (or financial company). The receivables are sold without recourse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bank cannot turn to the seller in the event accounts prove uncollectible. Factoring involves the receipt of funds by the seller from the bank prior to the average maturity date, based on the invoice amount of the receivable, less cash discounts, less an allowance for estimated claims and returns, among other items.</w:t>
      </w:r>
    </w:p>
    <w:p>
      <w:pPr>
        <w:spacing w:after="0" w:line="161" w:lineRule="exact"/>
        <w:rPr>
          <w:sz w:val="20"/>
          <w:szCs w:val="20"/>
          <w:color w:val="auto"/>
        </w:rPr>
      </w:pPr>
    </w:p>
    <w:p>
      <w:pPr>
        <w:jc w:val="both"/>
        <w:ind w:firstLine="314"/>
        <w:spacing w:after="0" w:line="323" w:lineRule="auto"/>
        <w:rPr>
          <w:sz w:val="20"/>
          <w:szCs w:val="20"/>
          <w:color w:val="auto"/>
        </w:rPr>
      </w:pPr>
      <w:r>
        <w:rPr>
          <w:rFonts w:ascii="Arial" w:cs="Arial" w:eastAsia="Arial" w:hAnsi="Arial"/>
          <w:sz w:val="15"/>
          <w:szCs w:val="15"/>
          <w:i w:val="1"/>
          <w:iCs w:val="1"/>
          <w:color w:val="auto"/>
        </w:rPr>
        <w:t xml:space="preserve">Refinanced loans: </w:t>
      </w:r>
      <w:r>
        <w:rPr>
          <w:rFonts w:ascii="Arial" w:cs="Arial" w:eastAsia="Arial" w:hAnsi="Arial"/>
          <w:sz w:val="15"/>
          <w:szCs w:val="15"/>
          <w:color w:val="auto"/>
        </w:rPr>
        <w:t>Includes loans that were refinanced because the client was unable to pay at maturity. Under SBS regulations, a loan is required to be</w:t>
      </w:r>
      <w:r>
        <w:rPr>
          <w:rFonts w:ascii="Arial" w:cs="Arial" w:eastAsia="Arial" w:hAnsi="Arial"/>
          <w:sz w:val="15"/>
          <w:szCs w:val="15"/>
          <w:i w:val="1"/>
          <w:iCs w:val="1"/>
          <w:color w:val="auto"/>
        </w:rPr>
        <w:t xml:space="preserve"> </w:t>
      </w:r>
      <w:r>
        <w:rPr>
          <w:rFonts w:ascii="Arial" w:cs="Arial" w:eastAsia="Arial" w:hAnsi="Arial"/>
          <w:sz w:val="15"/>
          <w:szCs w:val="15"/>
          <w:color w:val="auto"/>
        </w:rPr>
        <w:t>categorized as a refinanced loan when a debtor is experiencing payment problems, unless the debtor is current on all interest payments and pays down at least 10% of the principal amount of the original loan. The SBS has required refinanced loans as a separate category since 1992, and since July 1999, has distinguished a sub-group entitled Restructured Loans, defined as those loans extended under the bankruptcy protection procedures established in the Equity Restructuring Law.</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 xml:space="preserve">Past due loans: </w:t>
      </w:r>
      <w:r>
        <w:rPr>
          <w:rFonts w:ascii="Arial" w:cs="Arial" w:eastAsia="Arial" w:hAnsi="Arial"/>
          <w:sz w:val="18"/>
          <w:szCs w:val="18"/>
          <w:color w:val="auto"/>
        </w:rPr>
        <w:t>Includes overdue loans categorized according to the SBS guidelines. See “— Past Due Loan Portfolio” for further detail.</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Loans by Economic Activity</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shows Credicorp’s total loan portfolio composition based on the borrower’s principal economic activity:</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4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8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87"/>
              </w:rPr>
              <w:t>At December 31,</w:t>
            </w: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64"/>
        </w:trPr>
        <w:tc>
          <w:tcPr>
            <w:tcW w:w="4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r>
      <w:tr>
        <w:trPr>
          <w:trHeight w:val="383"/>
        </w:trPr>
        <w:tc>
          <w:tcPr>
            <w:tcW w:w="4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1999</w:t>
            </w: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gridSpan w:val="3"/>
          </w:tcPr>
          <w:p>
            <w:pPr>
              <w:jc w:val="center"/>
              <w:ind w:left="712"/>
              <w:spacing w:after="0"/>
              <w:rPr>
                <w:sz w:val="20"/>
                <w:szCs w:val="20"/>
                <w:color w:val="auto"/>
              </w:rPr>
            </w:pPr>
            <w:r>
              <w:rPr>
                <w:rFonts w:ascii="Arial" w:cs="Arial" w:eastAsia="Arial" w:hAnsi="Arial"/>
                <w:sz w:val="18"/>
                <w:szCs w:val="18"/>
                <w:b w:val="1"/>
                <w:bCs w:val="1"/>
                <w:color w:val="auto"/>
                <w:w w:val="89"/>
              </w:rPr>
              <w:t>2000</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2001</w:t>
            </w:r>
          </w:p>
        </w:tc>
        <w:tc>
          <w:tcPr>
            <w:tcW w:w="780" w:type="dxa"/>
            <w:vAlign w:val="bottom"/>
          </w:tcPr>
          <w:p>
            <w:pPr>
              <w:spacing w:after="0"/>
              <w:rPr>
                <w:sz w:val="24"/>
                <w:szCs w:val="24"/>
                <w:color w:val="auto"/>
              </w:rPr>
            </w:pPr>
          </w:p>
        </w:tc>
      </w:tr>
      <w:tr>
        <w:trPr>
          <w:trHeight w:val="164"/>
        </w:trPr>
        <w:tc>
          <w:tcPr>
            <w:tcW w:w="4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gridSpan w:val="2"/>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r>
      <w:tr>
        <w:trPr>
          <w:trHeight w:val="383"/>
        </w:trPr>
        <w:tc>
          <w:tcPr>
            <w:tcW w:w="4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560" w:type="dxa"/>
            <w:vAlign w:val="bottom"/>
            <w:gridSpan w:val="10"/>
          </w:tcPr>
          <w:p>
            <w:pPr>
              <w:jc w:val="center"/>
              <w:ind w:right="680"/>
              <w:spacing w:after="0"/>
              <w:rPr>
                <w:sz w:val="20"/>
                <w:szCs w:val="20"/>
                <w:color w:val="auto"/>
              </w:rPr>
            </w:pPr>
            <w:r>
              <w:rPr>
                <w:rFonts w:ascii="Arial" w:cs="Arial" w:eastAsia="Arial" w:hAnsi="Arial"/>
                <w:sz w:val="18"/>
                <w:szCs w:val="18"/>
                <w:i w:val="1"/>
                <w:iCs w:val="1"/>
                <w:color w:val="auto"/>
                <w:w w:val="87"/>
              </w:rPr>
              <w:t>(U.S. Dollars in thousands, except percentages)</w:t>
            </w:r>
          </w:p>
        </w:tc>
        <w:tc>
          <w:tcPr>
            <w:tcW w:w="780" w:type="dxa"/>
            <w:vAlign w:val="bottom"/>
          </w:tcPr>
          <w:p>
            <w:pPr>
              <w:spacing w:after="0"/>
              <w:rPr>
                <w:sz w:val="24"/>
                <w:szCs w:val="24"/>
                <w:color w:val="auto"/>
              </w:rPr>
            </w:pPr>
          </w:p>
        </w:tc>
      </w:tr>
      <w:tr>
        <w:trPr>
          <w:trHeight w:val="270"/>
        </w:trPr>
        <w:tc>
          <w:tcPr>
            <w:tcW w:w="4580" w:type="dxa"/>
            <w:vAlign w:val="bottom"/>
            <w:gridSpan w:val="2"/>
          </w:tcPr>
          <w:p>
            <w:pPr>
              <w:spacing w:after="0"/>
              <w:rPr>
                <w:sz w:val="20"/>
                <w:szCs w:val="20"/>
                <w:color w:val="auto"/>
              </w:rPr>
            </w:pPr>
            <w:r>
              <w:rPr>
                <w:rFonts w:ascii="Arial" w:cs="Arial" w:eastAsia="Arial" w:hAnsi="Arial"/>
                <w:sz w:val="18"/>
                <w:szCs w:val="18"/>
                <w:color w:val="auto"/>
              </w:rPr>
              <w:t>Economic Activity</w:t>
            </w:r>
          </w:p>
        </w:tc>
        <w:tc>
          <w:tcPr>
            <w:tcW w:w="1440" w:type="dxa"/>
            <w:vAlign w:val="bottom"/>
            <w:gridSpan w:val="3"/>
          </w:tcPr>
          <w:p>
            <w:pPr>
              <w:jc w:val="right"/>
              <w:ind w:right="360"/>
              <w:spacing w:after="0"/>
              <w:rPr>
                <w:sz w:val="20"/>
                <w:szCs w:val="20"/>
                <w:color w:val="auto"/>
              </w:rPr>
            </w:pPr>
            <w:r>
              <w:rPr>
                <w:rFonts w:ascii="Arial" w:cs="Arial" w:eastAsia="Arial" w:hAnsi="Arial"/>
                <w:sz w:val="18"/>
                <w:szCs w:val="18"/>
                <w:color w:val="auto"/>
              </w:rPr>
              <w:t>Amount</w:t>
            </w:r>
          </w:p>
        </w:tc>
        <w:tc>
          <w:tcPr>
            <w:tcW w:w="840" w:type="dxa"/>
            <w:vAlign w:val="bottom"/>
            <w:gridSpan w:val="2"/>
          </w:tcPr>
          <w:p>
            <w:pPr>
              <w:ind w:left="240"/>
              <w:spacing w:after="0"/>
              <w:rPr>
                <w:sz w:val="20"/>
                <w:szCs w:val="20"/>
                <w:color w:val="auto"/>
              </w:rPr>
            </w:pPr>
            <w:r>
              <w:rPr>
                <w:rFonts w:ascii="Arial" w:cs="Arial" w:eastAsia="Arial" w:hAnsi="Arial"/>
                <w:sz w:val="18"/>
                <w:szCs w:val="18"/>
                <w:color w:val="auto"/>
                <w:w w:val="94"/>
              </w:rPr>
              <w:t>% Total</w:t>
            </w:r>
          </w:p>
        </w:tc>
        <w:tc>
          <w:tcPr>
            <w:tcW w:w="1440" w:type="dxa"/>
            <w:vAlign w:val="bottom"/>
            <w:gridSpan w:val="3"/>
          </w:tcPr>
          <w:p>
            <w:pPr>
              <w:jc w:val="right"/>
              <w:ind w:right="360"/>
              <w:spacing w:after="0"/>
              <w:rPr>
                <w:sz w:val="20"/>
                <w:szCs w:val="20"/>
                <w:color w:val="auto"/>
              </w:rPr>
            </w:pPr>
            <w:r>
              <w:rPr>
                <w:rFonts w:ascii="Arial" w:cs="Arial" w:eastAsia="Arial" w:hAnsi="Arial"/>
                <w:sz w:val="18"/>
                <w:szCs w:val="18"/>
                <w:color w:val="auto"/>
              </w:rPr>
              <w:t>Amount</w:t>
            </w:r>
          </w:p>
        </w:tc>
        <w:tc>
          <w:tcPr>
            <w:tcW w:w="840" w:type="dxa"/>
            <w:vAlign w:val="bottom"/>
            <w:gridSpan w:val="2"/>
          </w:tcPr>
          <w:p>
            <w:pPr>
              <w:ind w:left="240"/>
              <w:spacing w:after="0"/>
              <w:rPr>
                <w:sz w:val="20"/>
                <w:szCs w:val="20"/>
                <w:color w:val="auto"/>
              </w:rPr>
            </w:pPr>
            <w:r>
              <w:rPr>
                <w:rFonts w:ascii="Arial" w:cs="Arial" w:eastAsia="Arial" w:hAnsi="Arial"/>
                <w:sz w:val="18"/>
                <w:szCs w:val="18"/>
                <w:color w:val="auto"/>
                <w:w w:val="94"/>
              </w:rPr>
              <w:t>% Total</w:t>
            </w:r>
          </w:p>
        </w:tc>
        <w:tc>
          <w:tcPr>
            <w:tcW w:w="1440" w:type="dxa"/>
            <w:vAlign w:val="bottom"/>
            <w:gridSpan w:val="3"/>
          </w:tcPr>
          <w:p>
            <w:pPr>
              <w:jc w:val="right"/>
              <w:ind w:right="360"/>
              <w:spacing w:after="0"/>
              <w:rPr>
                <w:sz w:val="20"/>
                <w:szCs w:val="20"/>
                <w:color w:val="auto"/>
              </w:rPr>
            </w:pPr>
            <w:r>
              <w:rPr>
                <w:rFonts w:ascii="Arial" w:cs="Arial" w:eastAsia="Arial" w:hAnsi="Arial"/>
                <w:sz w:val="18"/>
                <w:szCs w:val="18"/>
                <w:color w:val="auto"/>
              </w:rPr>
              <w:t>Amount</w:t>
            </w:r>
          </w:p>
        </w:tc>
        <w:tc>
          <w:tcPr>
            <w:tcW w:w="780" w:type="dxa"/>
            <w:vAlign w:val="bottom"/>
          </w:tcPr>
          <w:p>
            <w:pPr>
              <w:jc w:val="right"/>
              <w:spacing w:after="0"/>
              <w:rPr>
                <w:sz w:val="20"/>
                <w:szCs w:val="20"/>
                <w:color w:val="auto"/>
              </w:rPr>
            </w:pPr>
            <w:r>
              <w:rPr>
                <w:rFonts w:ascii="Arial" w:cs="Arial" w:eastAsia="Arial" w:hAnsi="Arial"/>
                <w:sz w:val="18"/>
                <w:szCs w:val="18"/>
                <w:color w:val="auto"/>
              </w:rPr>
              <w:t>% Total</w:t>
            </w:r>
          </w:p>
        </w:tc>
      </w:tr>
      <w:tr>
        <w:trPr>
          <w:trHeight w:val="164"/>
        </w:trPr>
        <w:tc>
          <w:tcPr>
            <w:tcW w:w="452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r>
      <w:tr>
        <w:trPr>
          <w:trHeight w:val="370"/>
        </w:trPr>
        <w:tc>
          <w:tcPr>
            <w:tcW w:w="4580" w:type="dxa"/>
            <w:vAlign w:val="bottom"/>
            <w:gridSpan w:val="2"/>
          </w:tcPr>
          <w:p>
            <w:pPr>
              <w:spacing w:after="0"/>
              <w:rPr>
                <w:sz w:val="20"/>
                <w:szCs w:val="20"/>
                <w:color w:val="auto"/>
              </w:rPr>
            </w:pPr>
            <w:r>
              <w:rPr>
                <w:rFonts w:ascii="Arial" w:cs="Arial" w:eastAsia="Arial" w:hAnsi="Arial"/>
                <w:sz w:val="18"/>
                <w:szCs w:val="18"/>
                <w:color w:val="auto"/>
              </w:rPr>
              <w:t>Manufacturing</w:t>
            </w:r>
          </w:p>
        </w:tc>
        <w:tc>
          <w:tcPr>
            <w:tcW w:w="1440" w:type="dxa"/>
            <w:vAlign w:val="bottom"/>
            <w:gridSpan w:val="3"/>
          </w:tcPr>
          <w:p>
            <w:pPr>
              <w:jc w:val="right"/>
              <w:ind w:right="360"/>
              <w:spacing w:after="0"/>
              <w:rPr>
                <w:sz w:val="20"/>
                <w:szCs w:val="20"/>
                <w:color w:val="auto"/>
              </w:rPr>
            </w:pPr>
            <w:r>
              <w:rPr>
                <w:rFonts w:ascii="Arial" w:cs="Arial" w:eastAsia="Arial" w:hAnsi="Arial"/>
                <w:sz w:val="18"/>
                <w:szCs w:val="18"/>
                <w:color w:val="auto"/>
                <w:w w:val="92"/>
              </w:rPr>
              <w:t>US$1,490,067</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31.45%</w:t>
            </w:r>
          </w:p>
        </w:tc>
        <w:tc>
          <w:tcPr>
            <w:tcW w:w="1440" w:type="dxa"/>
            <w:vAlign w:val="bottom"/>
            <w:gridSpan w:val="3"/>
          </w:tcPr>
          <w:p>
            <w:pPr>
              <w:jc w:val="right"/>
              <w:ind w:right="360"/>
              <w:spacing w:after="0"/>
              <w:rPr>
                <w:sz w:val="20"/>
                <w:szCs w:val="20"/>
                <w:color w:val="auto"/>
              </w:rPr>
            </w:pPr>
            <w:r>
              <w:rPr>
                <w:rFonts w:ascii="Arial" w:cs="Arial" w:eastAsia="Arial" w:hAnsi="Arial"/>
                <w:sz w:val="18"/>
                <w:szCs w:val="18"/>
                <w:color w:val="auto"/>
                <w:w w:val="92"/>
              </w:rPr>
              <w:t>US$1,330,529</w:t>
            </w:r>
          </w:p>
        </w:tc>
        <w:tc>
          <w:tcPr>
            <w:tcW w:w="780" w:type="dxa"/>
            <w:vAlign w:val="bottom"/>
          </w:tcPr>
          <w:p>
            <w:pPr>
              <w:jc w:val="right"/>
              <w:spacing w:after="0"/>
              <w:rPr>
                <w:sz w:val="20"/>
                <w:szCs w:val="20"/>
                <w:color w:val="auto"/>
              </w:rPr>
            </w:pPr>
            <w:r>
              <w:rPr>
                <w:rFonts w:ascii="Arial" w:cs="Arial" w:eastAsia="Arial" w:hAnsi="Arial"/>
                <w:sz w:val="18"/>
                <w:szCs w:val="18"/>
                <w:color w:val="auto"/>
              </w:rPr>
              <w:t>29.87%</w:t>
            </w:r>
          </w:p>
        </w:tc>
        <w:tc>
          <w:tcPr>
            <w:tcW w:w="60" w:type="dxa"/>
            <w:vAlign w:val="bottom"/>
          </w:tcPr>
          <w:p>
            <w:pPr>
              <w:spacing w:after="0"/>
              <w:rPr>
                <w:sz w:val="24"/>
                <w:szCs w:val="24"/>
                <w:color w:val="auto"/>
              </w:rPr>
            </w:pPr>
          </w:p>
        </w:tc>
        <w:tc>
          <w:tcPr>
            <w:tcW w:w="1440" w:type="dxa"/>
            <w:vAlign w:val="bottom"/>
            <w:gridSpan w:val="3"/>
          </w:tcPr>
          <w:p>
            <w:pPr>
              <w:jc w:val="right"/>
              <w:ind w:right="360"/>
              <w:spacing w:after="0"/>
              <w:rPr>
                <w:sz w:val="20"/>
                <w:szCs w:val="20"/>
                <w:color w:val="auto"/>
              </w:rPr>
            </w:pPr>
            <w:r>
              <w:rPr>
                <w:rFonts w:ascii="Arial" w:cs="Arial" w:eastAsia="Arial" w:hAnsi="Arial"/>
                <w:sz w:val="18"/>
                <w:szCs w:val="18"/>
                <w:color w:val="auto"/>
                <w:w w:val="92"/>
              </w:rPr>
              <w:t>US$1,230,417</w:t>
            </w:r>
          </w:p>
        </w:tc>
        <w:tc>
          <w:tcPr>
            <w:tcW w:w="780" w:type="dxa"/>
            <w:vAlign w:val="bottom"/>
          </w:tcPr>
          <w:p>
            <w:pPr>
              <w:jc w:val="right"/>
              <w:spacing w:after="0"/>
              <w:rPr>
                <w:sz w:val="20"/>
                <w:szCs w:val="20"/>
                <w:color w:val="auto"/>
              </w:rPr>
            </w:pPr>
            <w:r>
              <w:rPr>
                <w:rFonts w:ascii="Arial" w:cs="Arial" w:eastAsia="Arial" w:hAnsi="Arial"/>
                <w:sz w:val="18"/>
                <w:szCs w:val="18"/>
                <w:color w:val="auto"/>
              </w:rPr>
              <w:t>30.27%</w:t>
            </w:r>
          </w:p>
        </w:tc>
      </w:tr>
      <w:tr>
        <w:trPr>
          <w:trHeight w:val="270"/>
        </w:trPr>
        <w:tc>
          <w:tcPr>
            <w:tcW w:w="4580" w:type="dxa"/>
            <w:vAlign w:val="bottom"/>
            <w:gridSpan w:val="2"/>
          </w:tcPr>
          <w:p>
            <w:pPr>
              <w:spacing w:after="0"/>
              <w:rPr>
                <w:sz w:val="20"/>
                <w:szCs w:val="20"/>
                <w:color w:val="auto"/>
              </w:rPr>
            </w:pPr>
            <w:r>
              <w:rPr>
                <w:rFonts w:ascii="Arial" w:cs="Arial" w:eastAsia="Arial" w:hAnsi="Arial"/>
                <w:sz w:val="18"/>
                <w:szCs w:val="18"/>
                <w:color w:val="auto"/>
              </w:rPr>
              <w:t>Commerce</w:t>
            </w:r>
          </w:p>
        </w:tc>
        <w:tc>
          <w:tcPr>
            <w:tcW w:w="1080" w:type="dxa"/>
            <w:vAlign w:val="bottom"/>
          </w:tcPr>
          <w:p>
            <w:pPr>
              <w:jc w:val="right"/>
              <w:spacing w:after="0"/>
              <w:rPr>
                <w:sz w:val="20"/>
                <w:szCs w:val="20"/>
                <w:color w:val="auto"/>
              </w:rPr>
            </w:pPr>
            <w:r>
              <w:rPr>
                <w:rFonts w:ascii="Arial" w:cs="Arial" w:eastAsia="Arial" w:hAnsi="Arial"/>
                <w:sz w:val="18"/>
                <w:szCs w:val="18"/>
                <w:color w:val="auto"/>
              </w:rPr>
              <w:t>711,054</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15.01</w:t>
            </w:r>
          </w:p>
        </w:tc>
        <w:tc>
          <w:tcPr>
            <w:tcW w:w="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663,863</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14.90</w:t>
            </w:r>
          </w:p>
        </w:tc>
        <w:tc>
          <w:tcPr>
            <w:tcW w:w="6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572,825</w:t>
            </w:r>
          </w:p>
        </w:tc>
        <w:tc>
          <w:tcPr>
            <w:tcW w:w="300" w:type="dxa"/>
            <w:vAlign w:val="bottom"/>
          </w:tcPr>
          <w:p>
            <w:pPr>
              <w:spacing w:after="0"/>
              <w:rPr>
                <w:sz w:val="23"/>
                <w:szCs w:val="23"/>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14.09</w:t>
            </w:r>
          </w:p>
        </w:tc>
      </w:tr>
      <w:tr>
        <w:trPr>
          <w:trHeight w:val="270"/>
        </w:trPr>
        <w:tc>
          <w:tcPr>
            <w:tcW w:w="4580" w:type="dxa"/>
            <w:vAlign w:val="bottom"/>
            <w:gridSpan w:val="2"/>
          </w:tcPr>
          <w:p>
            <w:pPr>
              <w:spacing w:after="0"/>
              <w:rPr>
                <w:sz w:val="20"/>
                <w:szCs w:val="20"/>
                <w:color w:val="auto"/>
              </w:rPr>
            </w:pPr>
            <w:r>
              <w:rPr>
                <w:rFonts w:ascii="Arial" w:cs="Arial" w:eastAsia="Arial" w:hAnsi="Arial"/>
                <w:sz w:val="18"/>
                <w:szCs w:val="18"/>
                <w:color w:val="auto"/>
              </w:rPr>
              <w:t>Agriculture</w:t>
            </w:r>
          </w:p>
        </w:tc>
        <w:tc>
          <w:tcPr>
            <w:tcW w:w="1080" w:type="dxa"/>
            <w:vAlign w:val="bottom"/>
          </w:tcPr>
          <w:p>
            <w:pPr>
              <w:jc w:val="right"/>
              <w:spacing w:after="0"/>
              <w:rPr>
                <w:sz w:val="20"/>
                <w:szCs w:val="20"/>
                <w:color w:val="auto"/>
              </w:rPr>
            </w:pPr>
            <w:r>
              <w:rPr>
                <w:rFonts w:ascii="Arial" w:cs="Arial" w:eastAsia="Arial" w:hAnsi="Arial"/>
                <w:sz w:val="18"/>
                <w:szCs w:val="18"/>
                <w:color w:val="auto"/>
              </w:rPr>
              <w:t>195,270</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4.12</w:t>
            </w:r>
          </w:p>
        </w:tc>
        <w:tc>
          <w:tcPr>
            <w:tcW w:w="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192,410</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4.30</w:t>
            </w:r>
          </w:p>
        </w:tc>
        <w:tc>
          <w:tcPr>
            <w:tcW w:w="6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159,420</w:t>
            </w:r>
          </w:p>
        </w:tc>
        <w:tc>
          <w:tcPr>
            <w:tcW w:w="300" w:type="dxa"/>
            <w:vAlign w:val="bottom"/>
          </w:tcPr>
          <w:p>
            <w:pPr>
              <w:spacing w:after="0"/>
              <w:rPr>
                <w:sz w:val="23"/>
                <w:szCs w:val="23"/>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3.92</w:t>
            </w:r>
          </w:p>
        </w:tc>
      </w:tr>
      <w:tr>
        <w:trPr>
          <w:trHeight w:val="270"/>
        </w:trPr>
        <w:tc>
          <w:tcPr>
            <w:tcW w:w="4580" w:type="dxa"/>
            <w:vAlign w:val="bottom"/>
            <w:gridSpan w:val="2"/>
          </w:tcPr>
          <w:p>
            <w:pPr>
              <w:spacing w:after="0"/>
              <w:rPr>
                <w:sz w:val="20"/>
                <w:szCs w:val="20"/>
                <w:color w:val="auto"/>
              </w:rPr>
            </w:pPr>
            <w:r>
              <w:rPr>
                <w:rFonts w:ascii="Arial" w:cs="Arial" w:eastAsia="Arial" w:hAnsi="Arial"/>
                <w:sz w:val="18"/>
                <w:szCs w:val="18"/>
                <w:color w:val="auto"/>
              </w:rPr>
              <w:t>Fishing</w:t>
            </w:r>
          </w:p>
        </w:tc>
        <w:tc>
          <w:tcPr>
            <w:tcW w:w="1080" w:type="dxa"/>
            <w:vAlign w:val="bottom"/>
          </w:tcPr>
          <w:p>
            <w:pPr>
              <w:jc w:val="right"/>
              <w:spacing w:after="0"/>
              <w:rPr>
                <w:sz w:val="20"/>
                <w:szCs w:val="20"/>
                <w:color w:val="auto"/>
              </w:rPr>
            </w:pPr>
            <w:r>
              <w:rPr>
                <w:rFonts w:ascii="Arial" w:cs="Arial" w:eastAsia="Arial" w:hAnsi="Arial"/>
                <w:sz w:val="18"/>
                <w:szCs w:val="18"/>
                <w:color w:val="auto"/>
              </w:rPr>
              <w:t>86,143</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1.82</w:t>
            </w:r>
          </w:p>
        </w:tc>
        <w:tc>
          <w:tcPr>
            <w:tcW w:w="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88,072</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1.98</w:t>
            </w:r>
          </w:p>
        </w:tc>
        <w:tc>
          <w:tcPr>
            <w:tcW w:w="6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76,864</w:t>
            </w:r>
          </w:p>
        </w:tc>
        <w:tc>
          <w:tcPr>
            <w:tcW w:w="300" w:type="dxa"/>
            <w:vAlign w:val="bottom"/>
          </w:tcPr>
          <w:p>
            <w:pPr>
              <w:spacing w:after="0"/>
              <w:rPr>
                <w:sz w:val="23"/>
                <w:szCs w:val="23"/>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1.90</w:t>
            </w:r>
          </w:p>
        </w:tc>
      </w:tr>
      <w:tr>
        <w:trPr>
          <w:trHeight w:val="270"/>
        </w:trPr>
        <w:tc>
          <w:tcPr>
            <w:tcW w:w="4580" w:type="dxa"/>
            <w:vAlign w:val="bottom"/>
            <w:gridSpan w:val="2"/>
          </w:tcPr>
          <w:p>
            <w:pPr>
              <w:spacing w:after="0"/>
              <w:rPr>
                <w:sz w:val="20"/>
                <w:szCs w:val="20"/>
                <w:color w:val="auto"/>
              </w:rPr>
            </w:pPr>
            <w:r>
              <w:rPr>
                <w:rFonts w:ascii="Arial" w:cs="Arial" w:eastAsia="Arial" w:hAnsi="Arial"/>
                <w:sz w:val="18"/>
                <w:szCs w:val="18"/>
                <w:color w:val="auto"/>
              </w:rPr>
              <w:t>Mining</w:t>
            </w:r>
          </w:p>
        </w:tc>
        <w:tc>
          <w:tcPr>
            <w:tcW w:w="1080" w:type="dxa"/>
            <w:vAlign w:val="bottom"/>
          </w:tcPr>
          <w:p>
            <w:pPr>
              <w:jc w:val="right"/>
              <w:spacing w:after="0"/>
              <w:rPr>
                <w:sz w:val="20"/>
                <w:szCs w:val="20"/>
                <w:color w:val="auto"/>
              </w:rPr>
            </w:pPr>
            <w:r>
              <w:rPr>
                <w:rFonts w:ascii="Arial" w:cs="Arial" w:eastAsia="Arial" w:hAnsi="Arial"/>
                <w:sz w:val="18"/>
                <w:szCs w:val="18"/>
                <w:color w:val="auto"/>
              </w:rPr>
              <w:t>332,034</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7.01</w:t>
            </w:r>
          </w:p>
        </w:tc>
        <w:tc>
          <w:tcPr>
            <w:tcW w:w="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339,374</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7.62</w:t>
            </w:r>
          </w:p>
        </w:tc>
        <w:tc>
          <w:tcPr>
            <w:tcW w:w="6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321,409</w:t>
            </w:r>
          </w:p>
        </w:tc>
        <w:tc>
          <w:tcPr>
            <w:tcW w:w="300" w:type="dxa"/>
            <w:vAlign w:val="bottom"/>
          </w:tcPr>
          <w:p>
            <w:pPr>
              <w:spacing w:after="0"/>
              <w:rPr>
                <w:sz w:val="23"/>
                <w:szCs w:val="23"/>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7.91</w:t>
            </w:r>
          </w:p>
        </w:tc>
      </w:tr>
      <w:tr>
        <w:trPr>
          <w:trHeight w:val="270"/>
        </w:trPr>
        <w:tc>
          <w:tcPr>
            <w:tcW w:w="458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1080" w:type="dxa"/>
            <w:vAlign w:val="bottom"/>
          </w:tcPr>
          <w:p>
            <w:pPr>
              <w:jc w:val="right"/>
              <w:spacing w:after="0"/>
              <w:rPr>
                <w:sz w:val="20"/>
                <w:szCs w:val="20"/>
                <w:color w:val="auto"/>
              </w:rPr>
            </w:pPr>
            <w:r>
              <w:rPr>
                <w:rFonts w:ascii="Arial" w:cs="Arial" w:eastAsia="Arial" w:hAnsi="Arial"/>
                <w:sz w:val="18"/>
                <w:szCs w:val="18"/>
                <w:color w:val="auto"/>
              </w:rPr>
              <w:t>123,306</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2.60</w:t>
            </w:r>
          </w:p>
        </w:tc>
        <w:tc>
          <w:tcPr>
            <w:tcW w:w="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121,564</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2.73</w:t>
            </w:r>
          </w:p>
        </w:tc>
        <w:tc>
          <w:tcPr>
            <w:tcW w:w="6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124,056</w:t>
            </w:r>
          </w:p>
        </w:tc>
        <w:tc>
          <w:tcPr>
            <w:tcW w:w="300" w:type="dxa"/>
            <w:vAlign w:val="bottom"/>
          </w:tcPr>
          <w:p>
            <w:pPr>
              <w:spacing w:after="0"/>
              <w:rPr>
                <w:sz w:val="23"/>
                <w:szCs w:val="23"/>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3.05</w:t>
            </w:r>
          </w:p>
        </w:tc>
      </w:tr>
      <w:tr>
        <w:trPr>
          <w:trHeight w:val="270"/>
        </w:trPr>
        <w:tc>
          <w:tcPr>
            <w:tcW w:w="458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1080" w:type="dxa"/>
            <w:vAlign w:val="bottom"/>
          </w:tcPr>
          <w:p>
            <w:pPr>
              <w:jc w:val="right"/>
              <w:spacing w:after="0"/>
              <w:rPr>
                <w:sz w:val="20"/>
                <w:szCs w:val="20"/>
                <w:color w:val="auto"/>
              </w:rPr>
            </w:pPr>
            <w:r>
              <w:rPr>
                <w:rFonts w:ascii="Arial" w:cs="Arial" w:eastAsia="Arial" w:hAnsi="Arial"/>
                <w:sz w:val="18"/>
                <w:szCs w:val="18"/>
                <w:color w:val="auto"/>
              </w:rPr>
              <w:t>151,953</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3.21</w:t>
            </w:r>
          </w:p>
        </w:tc>
        <w:tc>
          <w:tcPr>
            <w:tcW w:w="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112,228</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2.52</w:t>
            </w:r>
          </w:p>
        </w:tc>
        <w:tc>
          <w:tcPr>
            <w:tcW w:w="6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81,746</w:t>
            </w:r>
          </w:p>
        </w:tc>
        <w:tc>
          <w:tcPr>
            <w:tcW w:w="300" w:type="dxa"/>
            <w:vAlign w:val="bottom"/>
          </w:tcPr>
          <w:p>
            <w:pPr>
              <w:spacing w:after="0"/>
              <w:rPr>
                <w:sz w:val="23"/>
                <w:szCs w:val="23"/>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2.01</w:t>
            </w:r>
          </w:p>
        </w:tc>
      </w:tr>
      <w:tr>
        <w:trPr>
          <w:trHeight w:val="270"/>
        </w:trPr>
        <w:tc>
          <w:tcPr>
            <w:tcW w:w="4580" w:type="dxa"/>
            <w:vAlign w:val="bottom"/>
            <w:gridSpan w:val="2"/>
          </w:tcPr>
          <w:p>
            <w:pPr>
              <w:spacing w:after="0"/>
              <w:rPr>
                <w:sz w:val="20"/>
                <w:szCs w:val="20"/>
                <w:color w:val="auto"/>
              </w:rPr>
            </w:pPr>
            <w:r>
              <w:rPr>
                <w:rFonts w:ascii="Arial" w:cs="Arial" w:eastAsia="Arial" w:hAnsi="Arial"/>
                <w:sz w:val="18"/>
                <w:szCs w:val="18"/>
                <w:color w:val="auto"/>
              </w:rPr>
              <w:t>Communication, Storage and Transportation</w:t>
            </w:r>
          </w:p>
        </w:tc>
        <w:tc>
          <w:tcPr>
            <w:tcW w:w="1080" w:type="dxa"/>
            <w:vAlign w:val="bottom"/>
          </w:tcPr>
          <w:p>
            <w:pPr>
              <w:jc w:val="right"/>
              <w:spacing w:after="0"/>
              <w:rPr>
                <w:sz w:val="20"/>
                <w:szCs w:val="20"/>
                <w:color w:val="auto"/>
              </w:rPr>
            </w:pPr>
            <w:r>
              <w:rPr>
                <w:rFonts w:ascii="Arial" w:cs="Arial" w:eastAsia="Arial" w:hAnsi="Arial"/>
                <w:sz w:val="18"/>
                <w:szCs w:val="18"/>
                <w:color w:val="auto"/>
              </w:rPr>
              <w:t>279,523</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5.90</w:t>
            </w:r>
          </w:p>
        </w:tc>
        <w:tc>
          <w:tcPr>
            <w:tcW w:w="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221,277</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4.97</w:t>
            </w:r>
          </w:p>
        </w:tc>
        <w:tc>
          <w:tcPr>
            <w:tcW w:w="6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194,613</w:t>
            </w:r>
          </w:p>
        </w:tc>
        <w:tc>
          <w:tcPr>
            <w:tcW w:w="300" w:type="dxa"/>
            <w:vAlign w:val="bottom"/>
          </w:tcPr>
          <w:p>
            <w:pPr>
              <w:spacing w:after="0"/>
              <w:rPr>
                <w:sz w:val="23"/>
                <w:szCs w:val="23"/>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4.79</w:t>
            </w:r>
          </w:p>
        </w:tc>
      </w:tr>
      <w:tr>
        <w:trPr>
          <w:trHeight w:val="270"/>
        </w:trPr>
        <w:tc>
          <w:tcPr>
            <w:tcW w:w="4580" w:type="dxa"/>
            <w:vAlign w:val="bottom"/>
            <w:gridSpan w:val="2"/>
          </w:tcPr>
          <w:p>
            <w:pPr>
              <w:spacing w:after="0"/>
              <w:rPr>
                <w:sz w:val="20"/>
                <w:szCs w:val="20"/>
                <w:color w:val="auto"/>
              </w:rPr>
            </w:pPr>
            <w:r>
              <w:rPr>
                <w:rFonts w:ascii="Arial" w:cs="Arial" w:eastAsia="Arial" w:hAnsi="Arial"/>
                <w:sz w:val="18"/>
                <w:szCs w:val="18"/>
                <w:color w:val="auto"/>
              </w:rPr>
              <w:t>Realty Businesses and Leasing Services</w:t>
            </w:r>
          </w:p>
        </w:tc>
        <w:tc>
          <w:tcPr>
            <w:tcW w:w="1080" w:type="dxa"/>
            <w:vAlign w:val="bottom"/>
          </w:tcPr>
          <w:p>
            <w:pPr>
              <w:jc w:val="right"/>
              <w:spacing w:after="0"/>
              <w:rPr>
                <w:sz w:val="20"/>
                <w:szCs w:val="20"/>
                <w:color w:val="auto"/>
              </w:rPr>
            </w:pPr>
            <w:r>
              <w:rPr>
                <w:rFonts w:ascii="Arial" w:cs="Arial" w:eastAsia="Arial" w:hAnsi="Arial"/>
                <w:sz w:val="18"/>
                <w:szCs w:val="18"/>
                <w:color w:val="auto"/>
              </w:rPr>
              <w:t>221,251</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4.67</w:t>
            </w:r>
          </w:p>
        </w:tc>
        <w:tc>
          <w:tcPr>
            <w:tcW w:w="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206,272</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4.63</w:t>
            </w:r>
          </w:p>
        </w:tc>
        <w:tc>
          <w:tcPr>
            <w:tcW w:w="6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211,286</w:t>
            </w:r>
          </w:p>
        </w:tc>
        <w:tc>
          <w:tcPr>
            <w:tcW w:w="300" w:type="dxa"/>
            <w:vAlign w:val="bottom"/>
          </w:tcPr>
          <w:p>
            <w:pPr>
              <w:spacing w:after="0"/>
              <w:rPr>
                <w:sz w:val="23"/>
                <w:szCs w:val="23"/>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5.20</w:t>
            </w:r>
          </w:p>
        </w:tc>
      </w:tr>
      <w:tr>
        <w:trPr>
          <w:trHeight w:val="270"/>
        </w:trPr>
        <w:tc>
          <w:tcPr>
            <w:tcW w:w="4580" w:type="dxa"/>
            <w:vAlign w:val="bottom"/>
            <w:gridSpan w:val="2"/>
          </w:tcPr>
          <w:p>
            <w:pPr>
              <w:spacing w:after="0"/>
              <w:rPr>
                <w:sz w:val="20"/>
                <w:szCs w:val="20"/>
                <w:color w:val="auto"/>
              </w:rPr>
            </w:pPr>
            <w:r>
              <w:rPr>
                <w:rFonts w:ascii="Arial" w:cs="Arial" w:eastAsia="Arial" w:hAnsi="Arial"/>
                <w:sz w:val="18"/>
                <w:szCs w:val="18"/>
                <w:color w:val="auto"/>
              </w:rPr>
              <w:t>Electricity, Gas and Water</w:t>
            </w:r>
          </w:p>
        </w:tc>
        <w:tc>
          <w:tcPr>
            <w:tcW w:w="1080" w:type="dxa"/>
            <w:vAlign w:val="bottom"/>
          </w:tcPr>
          <w:p>
            <w:pPr>
              <w:jc w:val="right"/>
              <w:spacing w:after="0"/>
              <w:rPr>
                <w:sz w:val="20"/>
                <w:szCs w:val="20"/>
                <w:color w:val="auto"/>
              </w:rPr>
            </w:pPr>
            <w:r>
              <w:rPr>
                <w:rFonts w:ascii="Arial" w:cs="Arial" w:eastAsia="Arial" w:hAnsi="Arial"/>
                <w:sz w:val="18"/>
                <w:szCs w:val="18"/>
                <w:color w:val="auto"/>
              </w:rPr>
              <w:t>127,053</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2.68</w:t>
            </w:r>
          </w:p>
        </w:tc>
        <w:tc>
          <w:tcPr>
            <w:tcW w:w="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191,831</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4.31</w:t>
            </w:r>
          </w:p>
        </w:tc>
        <w:tc>
          <w:tcPr>
            <w:tcW w:w="6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159,389</w:t>
            </w:r>
          </w:p>
        </w:tc>
        <w:tc>
          <w:tcPr>
            <w:tcW w:w="300" w:type="dxa"/>
            <w:vAlign w:val="bottom"/>
          </w:tcPr>
          <w:p>
            <w:pPr>
              <w:spacing w:after="0"/>
              <w:rPr>
                <w:sz w:val="23"/>
                <w:szCs w:val="23"/>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3.92</w:t>
            </w:r>
          </w:p>
        </w:tc>
      </w:tr>
      <w:tr>
        <w:trPr>
          <w:trHeight w:val="270"/>
        </w:trPr>
        <w:tc>
          <w:tcPr>
            <w:tcW w:w="4580" w:type="dxa"/>
            <w:vAlign w:val="bottom"/>
            <w:gridSpan w:val="2"/>
          </w:tcPr>
          <w:p>
            <w:pPr>
              <w:spacing w:after="0"/>
              <w:rPr>
                <w:sz w:val="20"/>
                <w:szCs w:val="20"/>
                <w:color w:val="auto"/>
              </w:rPr>
            </w:pPr>
            <w:r>
              <w:rPr>
                <w:rFonts w:ascii="Arial" w:cs="Arial" w:eastAsia="Arial" w:hAnsi="Arial"/>
                <w:sz w:val="18"/>
                <w:szCs w:val="18"/>
                <w:color w:val="auto"/>
              </w:rPr>
              <w:t>Education, Health and Other Services</w:t>
            </w:r>
          </w:p>
        </w:tc>
        <w:tc>
          <w:tcPr>
            <w:tcW w:w="1080" w:type="dxa"/>
            <w:vAlign w:val="bottom"/>
          </w:tcPr>
          <w:p>
            <w:pPr>
              <w:jc w:val="right"/>
              <w:spacing w:after="0"/>
              <w:rPr>
                <w:sz w:val="20"/>
                <w:szCs w:val="20"/>
                <w:color w:val="auto"/>
              </w:rPr>
            </w:pPr>
            <w:r>
              <w:rPr>
                <w:rFonts w:ascii="Arial" w:cs="Arial" w:eastAsia="Arial" w:hAnsi="Arial"/>
                <w:sz w:val="18"/>
                <w:szCs w:val="18"/>
                <w:color w:val="auto"/>
              </w:rPr>
              <w:t>74,845</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1.58</w:t>
            </w:r>
          </w:p>
        </w:tc>
        <w:tc>
          <w:tcPr>
            <w:tcW w:w="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56,295</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1.26</w:t>
            </w:r>
          </w:p>
        </w:tc>
        <w:tc>
          <w:tcPr>
            <w:tcW w:w="6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56,051</w:t>
            </w:r>
          </w:p>
        </w:tc>
        <w:tc>
          <w:tcPr>
            <w:tcW w:w="300" w:type="dxa"/>
            <w:vAlign w:val="bottom"/>
          </w:tcPr>
          <w:p>
            <w:pPr>
              <w:spacing w:after="0"/>
              <w:rPr>
                <w:sz w:val="23"/>
                <w:szCs w:val="23"/>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1.38</w:t>
            </w:r>
          </w:p>
        </w:tc>
      </w:tr>
      <w:tr>
        <w:trPr>
          <w:trHeight w:val="270"/>
        </w:trPr>
        <w:tc>
          <w:tcPr>
            <w:tcW w:w="4580" w:type="dxa"/>
            <w:vAlign w:val="bottom"/>
            <w:gridSpan w:val="2"/>
          </w:tcPr>
          <w:p>
            <w:pPr>
              <w:spacing w:after="0"/>
              <w:rPr>
                <w:sz w:val="20"/>
                <w:szCs w:val="20"/>
                <w:color w:val="auto"/>
              </w:rPr>
            </w:pPr>
            <w:r>
              <w:rPr>
                <w:rFonts w:ascii="Arial" w:cs="Arial" w:eastAsia="Arial" w:hAnsi="Arial"/>
                <w:sz w:val="18"/>
                <w:szCs w:val="18"/>
                <w:color w:val="auto"/>
              </w:rPr>
              <w:t>Consumer Loans (1)</w:t>
            </w:r>
          </w:p>
        </w:tc>
        <w:tc>
          <w:tcPr>
            <w:tcW w:w="1080" w:type="dxa"/>
            <w:vAlign w:val="bottom"/>
          </w:tcPr>
          <w:p>
            <w:pPr>
              <w:jc w:val="right"/>
              <w:spacing w:after="0"/>
              <w:rPr>
                <w:sz w:val="20"/>
                <w:szCs w:val="20"/>
                <w:color w:val="auto"/>
              </w:rPr>
            </w:pPr>
            <w:r>
              <w:rPr>
                <w:rFonts w:ascii="Arial" w:cs="Arial" w:eastAsia="Arial" w:hAnsi="Arial"/>
                <w:sz w:val="18"/>
                <w:szCs w:val="18"/>
                <w:color w:val="auto"/>
              </w:rPr>
              <w:t>485,660</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10.25</w:t>
            </w:r>
          </w:p>
        </w:tc>
        <w:tc>
          <w:tcPr>
            <w:tcW w:w="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284,728</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6.39</w:t>
            </w:r>
          </w:p>
        </w:tc>
        <w:tc>
          <w:tcPr>
            <w:tcW w:w="6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262,240</w:t>
            </w:r>
          </w:p>
        </w:tc>
        <w:tc>
          <w:tcPr>
            <w:tcW w:w="300" w:type="dxa"/>
            <w:vAlign w:val="bottom"/>
          </w:tcPr>
          <w:p>
            <w:pPr>
              <w:spacing w:after="0"/>
              <w:rPr>
                <w:sz w:val="23"/>
                <w:szCs w:val="23"/>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6.45</w:t>
            </w:r>
          </w:p>
        </w:tc>
      </w:tr>
      <w:tr>
        <w:trPr>
          <w:trHeight w:val="270"/>
        </w:trPr>
        <w:tc>
          <w:tcPr>
            <w:tcW w:w="4580" w:type="dxa"/>
            <w:vAlign w:val="bottom"/>
            <w:gridSpan w:val="2"/>
          </w:tcPr>
          <w:p>
            <w:pPr>
              <w:spacing w:after="0"/>
              <w:rPr>
                <w:sz w:val="20"/>
                <w:szCs w:val="20"/>
                <w:color w:val="auto"/>
              </w:rPr>
            </w:pPr>
            <w:r>
              <w:rPr>
                <w:rFonts w:ascii="Arial" w:cs="Arial" w:eastAsia="Arial" w:hAnsi="Arial"/>
                <w:sz w:val="18"/>
                <w:szCs w:val="18"/>
                <w:color w:val="auto"/>
              </w:rPr>
              <w:t>Others</w:t>
            </w:r>
          </w:p>
        </w:tc>
        <w:tc>
          <w:tcPr>
            <w:tcW w:w="1080" w:type="dxa"/>
            <w:vAlign w:val="bottom"/>
          </w:tcPr>
          <w:p>
            <w:pPr>
              <w:jc w:val="right"/>
              <w:spacing w:after="0"/>
              <w:rPr>
                <w:sz w:val="20"/>
                <w:szCs w:val="20"/>
                <w:color w:val="auto"/>
              </w:rPr>
            </w:pPr>
            <w:r>
              <w:rPr>
                <w:rFonts w:ascii="Arial" w:cs="Arial" w:eastAsia="Arial" w:hAnsi="Arial"/>
                <w:sz w:val="18"/>
                <w:szCs w:val="18"/>
                <w:color w:val="auto"/>
              </w:rPr>
              <w:t>459,530</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9.70</w:t>
            </w:r>
          </w:p>
        </w:tc>
        <w:tc>
          <w:tcPr>
            <w:tcW w:w="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645,642</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14.50</w:t>
            </w:r>
          </w:p>
        </w:tc>
        <w:tc>
          <w:tcPr>
            <w:tcW w:w="6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614,163</w:t>
            </w:r>
          </w:p>
        </w:tc>
        <w:tc>
          <w:tcPr>
            <w:tcW w:w="300" w:type="dxa"/>
            <w:vAlign w:val="bottom"/>
          </w:tcPr>
          <w:p>
            <w:pPr>
              <w:spacing w:after="0"/>
              <w:rPr>
                <w:sz w:val="23"/>
                <w:szCs w:val="23"/>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15.11</w:t>
            </w:r>
          </w:p>
        </w:tc>
      </w:tr>
      <w:tr>
        <w:trPr>
          <w:trHeight w:val="164"/>
        </w:trPr>
        <w:tc>
          <w:tcPr>
            <w:tcW w:w="4580" w:type="dxa"/>
            <w:vAlign w:val="bottom"/>
            <w:gridSpan w:val="2"/>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r>
      <w:tr>
        <w:trPr>
          <w:trHeight w:val="383"/>
        </w:trPr>
        <w:tc>
          <w:tcPr>
            <w:tcW w:w="458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1440" w:type="dxa"/>
            <w:vAlign w:val="bottom"/>
            <w:gridSpan w:val="3"/>
          </w:tcPr>
          <w:p>
            <w:pPr>
              <w:jc w:val="right"/>
              <w:ind w:right="360"/>
              <w:spacing w:after="0"/>
              <w:rPr>
                <w:sz w:val="20"/>
                <w:szCs w:val="20"/>
                <w:color w:val="auto"/>
              </w:rPr>
            </w:pPr>
            <w:r>
              <w:rPr>
                <w:rFonts w:ascii="Arial" w:cs="Arial" w:eastAsia="Arial" w:hAnsi="Arial"/>
                <w:sz w:val="18"/>
                <w:szCs w:val="18"/>
                <w:color w:val="auto"/>
                <w:w w:val="92"/>
              </w:rPr>
              <w:t>US$4,737,689</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100.00%</w:t>
            </w:r>
          </w:p>
        </w:tc>
        <w:tc>
          <w:tcPr>
            <w:tcW w:w="1440" w:type="dxa"/>
            <w:vAlign w:val="bottom"/>
            <w:gridSpan w:val="3"/>
          </w:tcPr>
          <w:p>
            <w:pPr>
              <w:jc w:val="right"/>
              <w:ind w:right="360"/>
              <w:spacing w:after="0"/>
              <w:rPr>
                <w:sz w:val="20"/>
                <w:szCs w:val="20"/>
                <w:color w:val="auto"/>
              </w:rPr>
            </w:pPr>
            <w:r>
              <w:rPr>
                <w:rFonts w:ascii="Arial" w:cs="Arial" w:eastAsia="Arial" w:hAnsi="Arial"/>
                <w:sz w:val="18"/>
                <w:szCs w:val="18"/>
                <w:color w:val="auto"/>
                <w:w w:val="92"/>
              </w:rPr>
              <w:t>US$4,454,085</w:t>
            </w:r>
          </w:p>
        </w:tc>
        <w:tc>
          <w:tcPr>
            <w:tcW w:w="780" w:type="dxa"/>
            <w:vAlign w:val="bottom"/>
          </w:tcPr>
          <w:p>
            <w:pPr>
              <w:jc w:val="right"/>
              <w:spacing w:after="0"/>
              <w:rPr>
                <w:sz w:val="20"/>
                <w:szCs w:val="20"/>
                <w:color w:val="auto"/>
              </w:rPr>
            </w:pPr>
            <w:r>
              <w:rPr>
                <w:rFonts w:ascii="Arial" w:cs="Arial" w:eastAsia="Arial" w:hAnsi="Arial"/>
                <w:sz w:val="18"/>
                <w:szCs w:val="18"/>
                <w:color w:val="auto"/>
              </w:rPr>
              <w:t>100.00%</w:t>
            </w:r>
          </w:p>
        </w:tc>
        <w:tc>
          <w:tcPr>
            <w:tcW w:w="60" w:type="dxa"/>
            <w:vAlign w:val="bottom"/>
          </w:tcPr>
          <w:p>
            <w:pPr>
              <w:spacing w:after="0"/>
              <w:rPr>
                <w:sz w:val="24"/>
                <w:szCs w:val="24"/>
                <w:color w:val="auto"/>
              </w:rPr>
            </w:pPr>
          </w:p>
        </w:tc>
        <w:tc>
          <w:tcPr>
            <w:tcW w:w="1440" w:type="dxa"/>
            <w:vAlign w:val="bottom"/>
            <w:gridSpan w:val="3"/>
          </w:tcPr>
          <w:p>
            <w:pPr>
              <w:jc w:val="right"/>
              <w:ind w:right="360"/>
              <w:spacing w:after="0"/>
              <w:rPr>
                <w:sz w:val="20"/>
                <w:szCs w:val="20"/>
                <w:color w:val="auto"/>
              </w:rPr>
            </w:pPr>
            <w:r>
              <w:rPr>
                <w:rFonts w:ascii="Arial" w:cs="Arial" w:eastAsia="Arial" w:hAnsi="Arial"/>
                <w:sz w:val="18"/>
                <w:szCs w:val="18"/>
                <w:color w:val="auto"/>
                <w:w w:val="92"/>
              </w:rPr>
              <w:t>US$4,064,479</w:t>
            </w:r>
          </w:p>
        </w:tc>
        <w:tc>
          <w:tcPr>
            <w:tcW w:w="78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174"/>
        </w:trPr>
        <w:tc>
          <w:tcPr>
            <w:tcW w:w="4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r>
      <w:tr>
        <w:trPr>
          <w:trHeight w:val="562"/>
        </w:trPr>
        <w:tc>
          <w:tcPr>
            <w:tcW w:w="4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gridSpan w:val="3"/>
          </w:tcPr>
          <w:p>
            <w:pPr>
              <w:jc w:val="right"/>
              <w:ind w:right="260"/>
              <w:spacing w:after="0"/>
              <w:rPr>
                <w:sz w:val="20"/>
                <w:szCs w:val="20"/>
                <w:color w:val="auto"/>
              </w:rPr>
            </w:pPr>
            <w:r>
              <w:rPr>
                <w:rFonts w:ascii="Arial" w:cs="Arial" w:eastAsia="Arial" w:hAnsi="Arial"/>
                <w:sz w:val="18"/>
                <w:szCs w:val="18"/>
                <w:color w:val="auto"/>
              </w:rPr>
              <w:t>65</w:t>
            </w: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-4050030</wp:posOffset>
            </wp:positionV>
            <wp:extent cx="34290" cy="342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-3689985</wp:posOffset>
            </wp:positionV>
            <wp:extent cx="34290" cy="342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5772785</wp:posOffset>
            </wp:positionH>
            <wp:positionV relativeFrom="paragraph">
              <wp:posOffset>-3689985</wp:posOffset>
            </wp:positionV>
            <wp:extent cx="34290" cy="342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-3689985</wp:posOffset>
            </wp:positionV>
            <wp:extent cx="34290" cy="342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2874010</wp:posOffset>
            </wp:positionH>
            <wp:positionV relativeFrom="paragraph">
              <wp:posOffset>-3157855</wp:posOffset>
            </wp:positionV>
            <wp:extent cx="34290" cy="342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3602990</wp:posOffset>
            </wp:positionH>
            <wp:positionV relativeFrom="paragraph">
              <wp:posOffset>-3157855</wp:posOffset>
            </wp:positionV>
            <wp:extent cx="34290" cy="342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-3157855</wp:posOffset>
            </wp:positionV>
            <wp:extent cx="34290" cy="342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-3157855</wp:posOffset>
            </wp:positionV>
            <wp:extent cx="34290" cy="342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5772785</wp:posOffset>
            </wp:positionH>
            <wp:positionV relativeFrom="paragraph">
              <wp:posOffset>-3157855</wp:posOffset>
            </wp:positionV>
            <wp:extent cx="34290" cy="342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-3157855</wp:posOffset>
            </wp:positionV>
            <wp:extent cx="34290" cy="342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-3157855</wp:posOffset>
            </wp:positionV>
            <wp:extent cx="34290" cy="342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3602990</wp:posOffset>
            </wp:positionH>
            <wp:positionV relativeFrom="paragraph">
              <wp:posOffset>-748030</wp:posOffset>
            </wp:positionV>
            <wp:extent cx="34290" cy="342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-748030</wp:posOffset>
            </wp:positionV>
            <wp:extent cx="34290" cy="342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-748030</wp:posOffset>
            </wp:positionV>
            <wp:extent cx="34290" cy="342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5772785</wp:posOffset>
            </wp:positionH>
            <wp:positionV relativeFrom="paragraph">
              <wp:posOffset>-748030</wp:posOffset>
            </wp:positionV>
            <wp:extent cx="34290" cy="342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-748030</wp:posOffset>
            </wp:positionV>
            <wp:extent cx="34290" cy="342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-748030</wp:posOffset>
            </wp:positionV>
            <wp:extent cx="34290" cy="342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-370840</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-370840</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-370840</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-370840</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-370840</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-370840</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-370840</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-370840</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-370840</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-370840</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-370840</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-370840</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20" w:type="dxa"/>
            <w:vAlign w:val="bottom"/>
            <w:gridSpan w:val="5"/>
          </w:tcPr>
          <w:p>
            <w:pPr>
              <w:jc w:val="center"/>
              <w:ind w:right="780"/>
              <w:spacing w:after="0"/>
              <w:rPr>
                <w:sz w:val="20"/>
                <w:szCs w:val="20"/>
                <w:color w:val="auto"/>
              </w:rPr>
            </w:pPr>
            <w:r>
              <w:rPr>
                <w:rFonts w:ascii="Arial" w:cs="Arial" w:eastAsia="Arial" w:hAnsi="Arial"/>
                <w:sz w:val="18"/>
                <w:szCs w:val="18"/>
                <w:b w:val="1"/>
                <w:bCs w:val="1"/>
                <w:color w:val="auto"/>
                <w:w w:val="87"/>
              </w:rPr>
              <w:t>At December 31,</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4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70"/>
        </w:trPr>
        <w:tc>
          <w:tcPr>
            <w:tcW w:w="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2002</w:t>
            </w:r>
          </w:p>
        </w:tc>
        <w:tc>
          <w:tcPr>
            <w:tcW w:w="1300" w:type="dxa"/>
            <w:vAlign w:val="bottom"/>
          </w:tcPr>
          <w:p>
            <w:pPr>
              <w:spacing w:after="0"/>
              <w:rPr>
                <w:sz w:val="24"/>
                <w:szCs w:val="24"/>
                <w:color w:val="auto"/>
              </w:rPr>
            </w:pPr>
          </w:p>
        </w:tc>
        <w:tc>
          <w:tcPr>
            <w:tcW w:w="212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2003</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gridSpan w:val="2"/>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83"/>
        </w:trPr>
        <w:tc>
          <w:tcPr>
            <w:tcW w:w="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820" w:type="dxa"/>
            <w:vAlign w:val="bottom"/>
            <w:gridSpan w:val="7"/>
          </w:tcPr>
          <w:p>
            <w:pPr>
              <w:jc w:val="center"/>
              <w:ind w:right="380"/>
              <w:spacing w:after="0"/>
              <w:rPr>
                <w:sz w:val="20"/>
                <w:szCs w:val="20"/>
                <w:color w:val="auto"/>
              </w:rPr>
            </w:pPr>
            <w:r>
              <w:rPr>
                <w:rFonts w:ascii="Arial" w:cs="Arial" w:eastAsia="Arial" w:hAnsi="Arial"/>
                <w:sz w:val="18"/>
                <w:szCs w:val="18"/>
                <w:i w:val="1"/>
                <w:iCs w:val="1"/>
                <w:color w:val="auto"/>
                <w:w w:val="87"/>
              </w:rPr>
              <w:t>(U.S. Dollars in thousands, except percentages)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Economy Activity</w:t>
            </w:r>
          </w:p>
        </w:tc>
        <w:tc>
          <w:tcPr>
            <w:tcW w:w="2060" w:type="dxa"/>
            <w:vAlign w:val="bottom"/>
            <w:gridSpan w:val="3"/>
          </w:tcPr>
          <w:p>
            <w:pPr>
              <w:ind w:left="540"/>
              <w:spacing w:after="0"/>
              <w:rPr>
                <w:sz w:val="20"/>
                <w:szCs w:val="20"/>
                <w:color w:val="auto"/>
              </w:rPr>
            </w:pPr>
            <w:r>
              <w:rPr>
                <w:rFonts w:ascii="Arial" w:cs="Arial" w:eastAsia="Arial" w:hAnsi="Arial"/>
                <w:sz w:val="18"/>
                <w:szCs w:val="18"/>
                <w:color w:val="auto"/>
              </w:rPr>
              <w:t>Amount</w:t>
            </w:r>
          </w:p>
        </w:tc>
        <w:tc>
          <w:tcPr>
            <w:tcW w:w="1300" w:type="dxa"/>
            <w:vAlign w:val="bottom"/>
          </w:tcPr>
          <w:p>
            <w:pPr>
              <w:jc w:val="right"/>
              <w:ind w:right="452"/>
              <w:spacing w:after="0"/>
              <w:rPr>
                <w:sz w:val="20"/>
                <w:szCs w:val="20"/>
                <w:color w:val="auto"/>
              </w:rPr>
            </w:pPr>
            <w:r>
              <w:rPr>
                <w:rFonts w:ascii="Arial" w:cs="Arial" w:eastAsia="Arial" w:hAnsi="Arial"/>
                <w:sz w:val="18"/>
                <w:szCs w:val="18"/>
                <w:color w:val="auto"/>
              </w:rPr>
              <w:t>% Total</w:t>
            </w:r>
          </w:p>
        </w:tc>
        <w:tc>
          <w:tcPr>
            <w:tcW w:w="60" w:type="dxa"/>
            <w:vAlign w:val="bottom"/>
          </w:tcPr>
          <w:p>
            <w:pPr>
              <w:spacing w:after="0"/>
              <w:rPr>
                <w:sz w:val="23"/>
                <w:szCs w:val="23"/>
                <w:color w:val="auto"/>
              </w:rPr>
            </w:pPr>
          </w:p>
        </w:tc>
        <w:tc>
          <w:tcPr>
            <w:tcW w:w="2060" w:type="dxa"/>
            <w:vAlign w:val="bottom"/>
            <w:gridSpan w:val="3"/>
          </w:tcPr>
          <w:p>
            <w:pPr>
              <w:ind w:left="540"/>
              <w:spacing w:after="0"/>
              <w:rPr>
                <w:sz w:val="20"/>
                <w:szCs w:val="20"/>
                <w:color w:val="auto"/>
              </w:rPr>
            </w:pPr>
            <w:r>
              <w:rPr>
                <w:rFonts w:ascii="Arial" w:cs="Arial" w:eastAsia="Arial" w:hAnsi="Arial"/>
                <w:sz w:val="18"/>
                <w:szCs w:val="18"/>
                <w:color w:val="auto"/>
              </w:rPr>
              <w:t>Amount</w:t>
            </w:r>
          </w:p>
        </w:tc>
        <w:tc>
          <w:tcPr>
            <w:tcW w:w="1300" w:type="dxa"/>
            <w:vAlign w:val="bottom"/>
          </w:tcPr>
          <w:p>
            <w:pPr>
              <w:jc w:val="right"/>
              <w:ind w:right="472"/>
              <w:spacing w:after="0"/>
              <w:rPr>
                <w:sz w:val="20"/>
                <w:szCs w:val="20"/>
                <w:color w:val="auto"/>
              </w:rPr>
            </w:pPr>
            <w:r>
              <w:rPr>
                <w:rFonts w:ascii="Arial" w:cs="Arial" w:eastAsia="Arial" w:hAnsi="Arial"/>
                <w:sz w:val="18"/>
                <w:szCs w:val="18"/>
                <w:color w:val="auto"/>
              </w:rPr>
              <w:t>% Total</w:t>
            </w:r>
          </w:p>
        </w:tc>
        <w:tc>
          <w:tcPr>
            <w:tcW w:w="0" w:type="dxa"/>
            <w:vAlign w:val="bottom"/>
          </w:tcPr>
          <w:p>
            <w:pPr>
              <w:spacing w:after="0"/>
              <w:rPr>
                <w:sz w:val="1"/>
                <w:szCs w:val="1"/>
                <w:color w:val="auto"/>
              </w:rPr>
            </w:pPr>
          </w:p>
        </w:tc>
      </w:tr>
      <w:tr>
        <w:trPr>
          <w:trHeight w:val="164"/>
        </w:trPr>
        <w:tc>
          <w:tcPr>
            <w:tcW w:w="40" w:type="dxa"/>
            <w:vAlign w:val="bottom"/>
          </w:tcPr>
          <w:p>
            <w:pPr>
              <w:spacing w:after="0"/>
              <w:rPr>
                <w:sz w:val="14"/>
                <w:szCs w:val="14"/>
                <w:color w:val="auto"/>
              </w:rPr>
            </w:pPr>
          </w:p>
        </w:tc>
        <w:tc>
          <w:tcPr>
            <w:tcW w:w="452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70"/>
        </w:trPr>
        <w:tc>
          <w:tcPr>
            <w:tcW w:w="40" w:type="dxa"/>
            <w:vAlign w:val="bottom"/>
          </w:tcPr>
          <w:p>
            <w:pPr>
              <w:spacing w:after="0"/>
              <w:rPr>
                <w:sz w:val="24"/>
                <w:szCs w:val="24"/>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Manufacturing</w:t>
            </w:r>
          </w:p>
        </w:tc>
        <w:tc>
          <w:tcPr>
            <w:tcW w:w="2060" w:type="dxa"/>
            <w:vAlign w:val="bottom"/>
            <w:gridSpan w:val="3"/>
          </w:tcPr>
          <w:p>
            <w:pPr>
              <w:ind w:left="640"/>
              <w:spacing w:after="0"/>
              <w:rPr>
                <w:sz w:val="20"/>
                <w:szCs w:val="20"/>
                <w:color w:val="auto"/>
              </w:rPr>
            </w:pPr>
            <w:r>
              <w:rPr>
                <w:rFonts w:ascii="Arial" w:cs="Arial" w:eastAsia="Arial" w:hAnsi="Arial"/>
                <w:sz w:val="18"/>
                <w:szCs w:val="18"/>
                <w:color w:val="auto"/>
              </w:rPr>
              <w:t>US$1,592,191</w:t>
            </w:r>
          </w:p>
        </w:tc>
        <w:tc>
          <w:tcPr>
            <w:tcW w:w="1300" w:type="dxa"/>
            <w:vAlign w:val="bottom"/>
          </w:tcPr>
          <w:p>
            <w:pPr>
              <w:jc w:val="right"/>
              <w:spacing w:after="0"/>
              <w:rPr>
                <w:sz w:val="20"/>
                <w:szCs w:val="20"/>
                <w:color w:val="auto"/>
              </w:rPr>
            </w:pPr>
            <w:r>
              <w:rPr>
                <w:rFonts w:ascii="Arial" w:cs="Arial" w:eastAsia="Arial" w:hAnsi="Arial"/>
                <w:sz w:val="18"/>
                <w:szCs w:val="18"/>
                <w:color w:val="auto"/>
              </w:rPr>
              <w:t>33.05%</w:t>
            </w:r>
          </w:p>
        </w:tc>
        <w:tc>
          <w:tcPr>
            <w:tcW w:w="60" w:type="dxa"/>
            <w:vAlign w:val="bottom"/>
          </w:tcPr>
          <w:p>
            <w:pPr>
              <w:spacing w:after="0"/>
              <w:rPr>
                <w:sz w:val="24"/>
                <w:szCs w:val="24"/>
                <w:color w:val="auto"/>
              </w:rPr>
            </w:pPr>
          </w:p>
        </w:tc>
        <w:tc>
          <w:tcPr>
            <w:tcW w:w="2060" w:type="dxa"/>
            <w:vAlign w:val="bottom"/>
            <w:gridSpan w:val="3"/>
          </w:tcPr>
          <w:p>
            <w:pPr>
              <w:ind w:left="640"/>
              <w:spacing w:after="0"/>
              <w:rPr>
                <w:sz w:val="20"/>
                <w:szCs w:val="20"/>
                <w:color w:val="auto"/>
              </w:rPr>
            </w:pPr>
            <w:r>
              <w:rPr>
                <w:rFonts w:ascii="Arial" w:cs="Arial" w:eastAsia="Arial" w:hAnsi="Arial"/>
                <w:sz w:val="18"/>
                <w:szCs w:val="18"/>
                <w:color w:val="auto"/>
              </w:rPr>
              <w:t>US$1,461,350</w:t>
            </w:r>
          </w:p>
        </w:tc>
        <w:tc>
          <w:tcPr>
            <w:tcW w:w="1300" w:type="dxa"/>
            <w:vAlign w:val="bottom"/>
          </w:tcPr>
          <w:p>
            <w:pPr>
              <w:jc w:val="right"/>
              <w:spacing w:after="0"/>
              <w:rPr>
                <w:sz w:val="20"/>
                <w:szCs w:val="20"/>
                <w:color w:val="auto"/>
              </w:rPr>
            </w:pPr>
            <w:r>
              <w:rPr>
                <w:rFonts w:ascii="Arial" w:cs="Arial" w:eastAsia="Arial" w:hAnsi="Arial"/>
                <w:sz w:val="18"/>
                <w:szCs w:val="18"/>
                <w:color w:val="auto"/>
              </w:rPr>
              <w:t>32.61%</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Commerce</w:t>
            </w:r>
          </w:p>
        </w:tc>
        <w:tc>
          <w:tcPr>
            <w:tcW w:w="1660" w:type="dxa"/>
            <w:vAlign w:val="bottom"/>
          </w:tcPr>
          <w:p>
            <w:pPr>
              <w:jc w:val="right"/>
              <w:spacing w:after="0"/>
              <w:rPr>
                <w:sz w:val="20"/>
                <w:szCs w:val="20"/>
                <w:color w:val="auto"/>
              </w:rPr>
            </w:pPr>
            <w:r>
              <w:rPr>
                <w:rFonts w:ascii="Arial" w:cs="Arial" w:eastAsia="Arial" w:hAnsi="Arial"/>
                <w:sz w:val="18"/>
                <w:szCs w:val="18"/>
                <w:color w:val="auto"/>
              </w:rPr>
              <w:t>617,491</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12.82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560,052</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Agriculture</w:t>
            </w:r>
          </w:p>
        </w:tc>
        <w:tc>
          <w:tcPr>
            <w:tcW w:w="1660" w:type="dxa"/>
            <w:vAlign w:val="bottom"/>
          </w:tcPr>
          <w:p>
            <w:pPr>
              <w:jc w:val="right"/>
              <w:spacing w:after="0"/>
              <w:rPr>
                <w:sz w:val="20"/>
                <w:szCs w:val="20"/>
                <w:color w:val="auto"/>
              </w:rPr>
            </w:pPr>
            <w:r>
              <w:rPr>
                <w:rFonts w:ascii="Arial" w:cs="Arial" w:eastAsia="Arial" w:hAnsi="Arial"/>
                <w:sz w:val="18"/>
                <w:szCs w:val="18"/>
                <w:color w:val="auto"/>
              </w:rPr>
              <w:t>158,500</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3.29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142,697</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Fishing</w:t>
            </w:r>
          </w:p>
        </w:tc>
        <w:tc>
          <w:tcPr>
            <w:tcW w:w="1660" w:type="dxa"/>
            <w:vAlign w:val="bottom"/>
          </w:tcPr>
          <w:p>
            <w:pPr>
              <w:jc w:val="right"/>
              <w:spacing w:after="0"/>
              <w:rPr>
                <w:sz w:val="20"/>
                <w:szCs w:val="20"/>
                <w:color w:val="auto"/>
              </w:rPr>
            </w:pPr>
            <w:r>
              <w:rPr>
                <w:rFonts w:ascii="Arial" w:cs="Arial" w:eastAsia="Arial" w:hAnsi="Arial"/>
                <w:sz w:val="18"/>
                <w:szCs w:val="18"/>
                <w:color w:val="auto"/>
              </w:rPr>
              <w:t>104,604</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2.17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90,795</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Mining</w:t>
            </w:r>
          </w:p>
        </w:tc>
        <w:tc>
          <w:tcPr>
            <w:tcW w:w="1660" w:type="dxa"/>
            <w:vAlign w:val="bottom"/>
          </w:tcPr>
          <w:p>
            <w:pPr>
              <w:jc w:val="right"/>
              <w:spacing w:after="0"/>
              <w:rPr>
                <w:sz w:val="20"/>
                <w:szCs w:val="20"/>
                <w:color w:val="auto"/>
              </w:rPr>
            </w:pPr>
            <w:r>
              <w:rPr>
                <w:rFonts w:ascii="Arial" w:cs="Arial" w:eastAsia="Arial" w:hAnsi="Arial"/>
                <w:sz w:val="18"/>
                <w:szCs w:val="18"/>
                <w:color w:val="auto"/>
              </w:rPr>
              <w:t>227,879</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4.73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233,355</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1660" w:type="dxa"/>
            <w:vAlign w:val="bottom"/>
          </w:tcPr>
          <w:p>
            <w:pPr>
              <w:jc w:val="right"/>
              <w:spacing w:after="0"/>
              <w:rPr>
                <w:sz w:val="20"/>
                <w:szCs w:val="20"/>
                <w:color w:val="auto"/>
              </w:rPr>
            </w:pPr>
            <w:r>
              <w:rPr>
                <w:rFonts w:ascii="Arial" w:cs="Arial" w:eastAsia="Arial" w:hAnsi="Arial"/>
                <w:sz w:val="18"/>
                <w:szCs w:val="18"/>
                <w:color w:val="auto"/>
              </w:rPr>
              <w:t>86,632</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1.80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70,676</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1660" w:type="dxa"/>
            <w:vAlign w:val="bottom"/>
          </w:tcPr>
          <w:p>
            <w:pPr>
              <w:jc w:val="right"/>
              <w:spacing w:after="0"/>
              <w:rPr>
                <w:sz w:val="20"/>
                <w:szCs w:val="20"/>
                <w:color w:val="auto"/>
              </w:rPr>
            </w:pPr>
            <w:r>
              <w:rPr>
                <w:rFonts w:ascii="Arial" w:cs="Arial" w:eastAsia="Arial" w:hAnsi="Arial"/>
                <w:sz w:val="18"/>
                <w:szCs w:val="18"/>
                <w:color w:val="auto"/>
              </w:rPr>
              <w:t>210,404</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4.37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96,371</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Communication, Storage And Transportation</w:t>
            </w:r>
          </w:p>
        </w:tc>
        <w:tc>
          <w:tcPr>
            <w:tcW w:w="1660" w:type="dxa"/>
            <w:vAlign w:val="bottom"/>
          </w:tcPr>
          <w:p>
            <w:pPr>
              <w:jc w:val="right"/>
              <w:spacing w:after="0"/>
              <w:rPr>
                <w:sz w:val="20"/>
                <w:szCs w:val="20"/>
                <w:color w:val="auto"/>
              </w:rPr>
            </w:pPr>
            <w:r>
              <w:rPr>
                <w:rFonts w:ascii="Arial" w:cs="Arial" w:eastAsia="Arial" w:hAnsi="Arial"/>
                <w:sz w:val="18"/>
                <w:szCs w:val="18"/>
                <w:color w:val="auto"/>
              </w:rPr>
              <w:t>209,174</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4.34</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189,612</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Realty Businesses and Leasing Services</w:t>
            </w:r>
          </w:p>
        </w:tc>
        <w:tc>
          <w:tcPr>
            <w:tcW w:w="1660" w:type="dxa"/>
            <w:vAlign w:val="bottom"/>
          </w:tcPr>
          <w:p>
            <w:pPr>
              <w:jc w:val="right"/>
              <w:spacing w:after="0"/>
              <w:rPr>
                <w:sz w:val="20"/>
                <w:szCs w:val="20"/>
                <w:color w:val="auto"/>
              </w:rPr>
            </w:pPr>
            <w:r>
              <w:rPr>
                <w:rFonts w:ascii="Arial" w:cs="Arial" w:eastAsia="Arial" w:hAnsi="Arial"/>
                <w:sz w:val="18"/>
                <w:szCs w:val="18"/>
                <w:color w:val="auto"/>
              </w:rPr>
              <w:t>281,753</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5.85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233,506</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Electricity, gas and water</w:t>
            </w:r>
          </w:p>
        </w:tc>
        <w:tc>
          <w:tcPr>
            <w:tcW w:w="1660" w:type="dxa"/>
            <w:vAlign w:val="bottom"/>
          </w:tcPr>
          <w:p>
            <w:pPr>
              <w:jc w:val="right"/>
              <w:spacing w:after="0"/>
              <w:rPr>
                <w:sz w:val="20"/>
                <w:szCs w:val="20"/>
                <w:color w:val="auto"/>
              </w:rPr>
            </w:pPr>
            <w:r>
              <w:rPr>
                <w:rFonts w:ascii="Arial" w:cs="Arial" w:eastAsia="Arial" w:hAnsi="Arial"/>
                <w:sz w:val="18"/>
                <w:szCs w:val="18"/>
                <w:color w:val="auto"/>
              </w:rPr>
              <w:t>302,976</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6.29</w:t>
            </w:r>
          </w:p>
        </w:tc>
        <w:tc>
          <w:tcPr>
            <w:tcW w:w="1760" w:type="dxa"/>
            <w:vAlign w:val="bottom"/>
            <w:gridSpan w:val="3"/>
          </w:tcPr>
          <w:p>
            <w:pPr>
              <w:jc w:val="right"/>
              <w:ind w:right="40"/>
              <w:spacing w:after="0"/>
              <w:rPr>
                <w:sz w:val="20"/>
                <w:szCs w:val="20"/>
                <w:color w:val="auto"/>
              </w:rPr>
            </w:pPr>
            <w:r>
              <w:rPr>
                <w:rFonts w:ascii="Arial" w:cs="Arial" w:eastAsia="Arial" w:hAnsi="Arial"/>
                <w:sz w:val="18"/>
                <w:szCs w:val="18"/>
                <w:color w:val="auto"/>
              </w:rPr>
              <w:t>211,610</w:t>
            </w:r>
          </w:p>
        </w:tc>
        <w:tc>
          <w:tcPr>
            <w:tcW w:w="360" w:type="dxa"/>
            <w:vAlign w:val="bottom"/>
          </w:tcPr>
          <w:p>
            <w:pPr>
              <w:spacing w:after="0"/>
              <w:rPr>
                <w:sz w:val="23"/>
                <w:szCs w:val="23"/>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Education, Health and Other Services</w:t>
            </w:r>
          </w:p>
        </w:tc>
        <w:tc>
          <w:tcPr>
            <w:tcW w:w="1660" w:type="dxa"/>
            <w:vAlign w:val="bottom"/>
          </w:tcPr>
          <w:p>
            <w:pPr>
              <w:jc w:val="right"/>
              <w:spacing w:after="0"/>
              <w:rPr>
                <w:sz w:val="20"/>
                <w:szCs w:val="20"/>
                <w:color w:val="auto"/>
              </w:rPr>
            </w:pPr>
            <w:r>
              <w:rPr>
                <w:rFonts w:ascii="Arial" w:cs="Arial" w:eastAsia="Arial" w:hAnsi="Arial"/>
                <w:sz w:val="18"/>
                <w:szCs w:val="18"/>
                <w:color w:val="auto"/>
              </w:rPr>
              <w:t>93,851</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1.95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106,296</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Consumer Loans (1)</w:t>
            </w:r>
          </w:p>
        </w:tc>
        <w:tc>
          <w:tcPr>
            <w:tcW w:w="1660" w:type="dxa"/>
            <w:vAlign w:val="bottom"/>
          </w:tcPr>
          <w:p>
            <w:pPr>
              <w:jc w:val="right"/>
              <w:spacing w:after="0"/>
              <w:rPr>
                <w:sz w:val="20"/>
                <w:szCs w:val="20"/>
                <w:color w:val="auto"/>
              </w:rPr>
            </w:pPr>
            <w:r>
              <w:rPr>
                <w:rFonts w:ascii="Arial" w:cs="Arial" w:eastAsia="Arial" w:hAnsi="Arial"/>
                <w:sz w:val="18"/>
                <w:szCs w:val="18"/>
                <w:color w:val="auto"/>
              </w:rPr>
              <w:t>522,998</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10.86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920,016</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20.53</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Others</w:t>
            </w:r>
          </w:p>
        </w:tc>
        <w:tc>
          <w:tcPr>
            <w:tcW w:w="1660" w:type="dxa"/>
            <w:vAlign w:val="bottom"/>
          </w:tcPr>
          <w:p>
            <w:pPr>
              <w:jc w:val="right"/>
              <w:spacing w:after="0"/>
              <w:rPr>
                <w:sz w:val="20"/>
                <w:szCs w:val="20"/>
                <w:color w:val="auto"/>
              </w:rPr>
            </w:pPr>
            <w:r>
              <w:rPr>
                <w:rFonts w:ascii="Arial" w:cs="Arial" w:eastAsia="Arial" w:hAnsi="Arial"/>
                <w:sz w:val="18"/>
                <w:szCs w:val="18"/>
                <w:color w:val="auto"/>
              </w:rPr>
              <w:t>409,210</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8.48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165,160</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164"/>
        </w:trPr>
        <w:tc>
          <w:tcPr>
            <w:tcW w:w="40" w:type="dxa"/>
            <w:vAlign w:val="bottom"/>
          </w:tcPr>
          <w:p>
            <w:pPr>
              <w:spacing w:after="0"/>
              <w:rPr>
                <w:sz w:val="14"/>
                <w:szCs w:val="14"/>
                <w:color w:val="auto"/>
              </w:rPr>
            </w:pPr>
          </w:p>
        </w:tc>
        <w:tc>
          <w:tcPr>
            <w:tcW w:w="4580" w:type="dxa"/>
            <w:vAlign w:val="bottom"/>
            <w:gridSpan w:val="2"/>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83"/>
        </w:trPr>
        <w:tc>
          <w:tcPr>
            <w:tcW w:w="40" w:type="dxa"/>
            <w:vAlign w:val="bottom"/>
          </w:tcPr>
          <w:p>
            <w:pPr>
              <w:spacing w:after="0"/>
              <w:rPr>
                <w:sz w:val="24"/>
                <w:szCs w:val="24"/>
                <w:color w:val="auto"/>
              </w:rPr>
            </w:pPr>
          </w:p>
        </w:tc>
        <w:tc>
          <w:tcPr>
            <w:tcW w:w="458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2060" w:type="dxa"/>
            <w:vAlign w:val="bottom"/>
            <w:gridSpan w:val="3"/>
          </w:tcPr>
          <w:p>
            <w:pPr>
              <w:ind w:left="640"/>
              <w:spacing w:after="0"/>
              <w:rPr>
                <w:sz w:val="20"/>
                <w:szCs w:val="20"/>
                <w:color w:val="auto"/>
              </w:rPr>
            </w:pPr>
            <w:r>
              <w:rPr>
                <w:rFonts w:ascii="Arial" w:cs="Arial" w:eastAsia="Arial" w:hAnsi="Arial"/>
                <w:sz w:val="18"/>
                <w:szCs w:val="18"/>
                <w:color w:val="auto"/>
              </w:rPr>
              <w:t>US$4,817,663</w:t>
            </w:r>
          </w:p>
        </w:tc>
        <w:tc>
          <w:tcPr>
            <w:tcW w:w="1300" w:type="dxa"/>
            <w:vAlign w:val="bottom"/>
          </w:tcPr>
          <w:p>
            <w:pPr>
              <w:jc w:val="right"/>
              <w:spacing w:after="0"/>
              <w:rPr>
                <w:sz w:val="20"/>
                <w:szCs w:val="20"/>
                <w:color w:val="auto"/>
              </w:rPr>
            </w:pPr>
            <w:r>
              <w:rPr>
                <w:rFonts w:ascii="Arial" w:cs="Arial" w:eastAsia="Arial" w:hAnsi="Arial"/>
                <w:sz w:val="18"/>
                <w:szCs w:val="18"/>
                <w:color w:val="auto"/>
              </w:rPr>
              <w:t>100.00%</w:t>
            </w:r>
          </w:p>
        </w:tc>
        <w:tc>
          <w:tcPr>
            <w:tcW w:w="60" w:type="dxa"/>
            <w:vAlign w:val="bottom"/>
          </w:tcPr>
          <w:p>
            <w:pPr>
              <w:spacing w:after="0"/>
              <w:rPr>
                <w:sz w:val="24"/>
                <w:szCs w:val="24"/>
                <w:color w:val="auto"/>
              </w:rPr>
            </w:pPr>
          </w:p>
        </w:tc>
        <w:tc>
          <w:tcPr>
            <w:tcW w:w="2060" w:type="dxa"/>
            <w:vAlign w:val="bottom"/>
            <w:gridSpan w:val="3"/>
          </w:tcPr>
          <w:p>
            <w:pPr>
              <w:ind w:left="640"/>
              <w:spacing w:after="0"/>
              <w:rPr>
                <w:sz w:val="20"/>
                <w:szCs w:val="20"/>
                <w:color w:val="auto"/>
              </w:rPr>
            </w:pPr>
            <w:r>
              <w:rPr>
                <w:rFonts w:ascii="Arial" w:cs="Arial" w:eastAsia="Arial" w:hAnsi="Arial"/>
                <w:sz w:val="18"/>
                <w:szCs w:val="18"/>
                <w:color w:val="auto"/>
              </w:rPr>
              <w:t>US$4,481,496</w:t>
            </w:r>
          </w:p>
        </w:tc>
        <w:tc>
          <w:tcPr>
            <w:tcW w:w="1300" w:type="dxa"/>
            <w:vAlign w:val="bottom"/>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174"/>
        </w:trPr>
        <w:tc>
          <w:tcPr>
            <w:tcW w:w="4560" w:type="dxa"/>
            <w:vAlign w:val="bottom"/>
            <w:gridSpan w:val="2"/>
            <w:vMerge w:val="restart"/>
          </w:tcPr>
          <w:p>
            <w:pPr>
              <w:jc w:val="right"/>
              <w:ind w:right="2792"/>
              <w:spacing w:after="0"/>
              <w:rPr>
                <w:sz w:val="20"/>
                <w:szCs w:val="20"/>
                <w:color w:val="auto"/>
              </w:rPr>
            </w:pPr>
            <w:r>
              <w:rPr>
                <w:rFonts w:ascii="Arial" w:cs="Arial" w:eastAsia="Arial" w:hAnsi="Arial"/>
                <w:sz w:val="18"/>
                <w:szCs w:val="18"/>
                <w:color w:val="auto"/>
                <w:w w:val="87"/>
              </w:rPr>
              <w:t>___________________</w:t>
            </w:r>
          </w:p>
        </w:tc>
        <w:tc>
          <w:tcPr>
            <w:tcW w:w="60" w:type="dxa"/>
            <w:vAlign w:val="bottom"/>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62"/>
        </w:trPr>
        <w:tc>
          <w:tcPr>
            <w:tcW w:w="456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-4041140</wp:posOffset>
            </wp:positionV>
            <wp:extent cx="34290" cy="342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-3689985</wp:posOffset>
            </wp:positionV>
            <wp:extent cx="34290" cy="342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-3689985</wp:posOffset>
            </wp:positionV>
            <wp:extent cx="34290" cy="342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2874010</wp:posOffset>
            </wp:positionH>
            <wp:positionV relativeFrom="paragraph">
              <wp:posOffset>-3157855</wp:posOffset>
            </wp:positionV>
            <wp:extent cx="34290" cy="342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3963035</wp:posOffset>
            </wp:positionH>
            <wp:positionV relativeFrom="paragraph">
              <wp:posOffset>-3157855</wp:posOffset>
            </wp:positionV>
            <wp:extent cx="34290" cy="342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-3157855</wp:posOffset>
            </wp:positionV>
            <wp:extent cx="34290" cy="342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-3157855</wp:posOffset>
            </wp:positionV>
            <wp:extent cx="34290" cy="342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-3157855</wp:posOffset>
            </wp:positionV>
            <wp:extent cx="34290" cy="342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3963035</wp:posOffset>
            </wp:positionH>
            <wp:positionV relativeFrom="paragraph">
              <wp:posOffset>-748030</wp:posOffset>
            </wp:positionV>
            <wp:extent cx="34290" cy="342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-748030</wp:posOffset>
            </wp:positionV>
            <wp:extent cx="34290" cy="342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-748030</wp:posOffset>
            </wp:positionV>
            <wp:extent cx="34290" cy="342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-748030</wp:posOffset>
            </wp:positionV>
            <wp:extent cx="34290" cy="342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-370840</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-370840</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-370840</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-370840</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-370840</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-370840</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-370840</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-370840</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80" w:hanging="572"/>
        <w:spacing w:after="0"/>
        <w:tabs>
          <w:tab w:leader="none" w:pos="5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credit card and mortgage loans, and other consumer loans.</w:t>
      </w:r>
    </w:p>
    <w:p>
      <w:pPr>
        <w:spacing w:after="0" w:line="197" w:lineRule="exact"/>
        <w:rPr>
          <w:sz w:val="20"/>
          <w:szCs w:val="20"/>
          <w:color w:val="auto"/>
        </w:rPr>
      </w:pPr>
    </w:p>
    <w:p>
      <w:pPr>
        <w:ind w:right="20" w:firstLine="258"/>
        <w:spacing w:after="0" w:line="268" w:lineRule="auto"/>
        <w:rPr>
          <w:sz w:val="20"/>
          <w:szCs w:val="20"/>
          <w:color w:val="auto"/>
        </w:rPr>
      </w:pPr>
      <w:r>
        <w:rPr>
          <w:rFonts w:ascii="Arial" w:cs="Arial" w:eastAsia="Arial" w:hAnsi="Arial"/>
          <w:sz w:val="18"/>
          <w:szCs w:val="18"/>
          <w:color w:val="auto"/>
        </w:rPr>
        <w:t>As of December 31, 2003, 67.9% of the loan portfolio was concentrated in Lima and 85.6% was concentrated in Perú. An additional 7.3% and 5.3% of the loan portfolio was concentrated in Bolivia and Colombia, respectively.</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Concentrations of Loan Portfolio and Lending Limits</w:t>
      </w:r>
    </w:p>
    <w:p>
      <w:pPr>
        <w:spacing w:after="0" w:line="225" w:lineRule="exact"/>
        <w:rPr>
          <w:sz w:val="20"/>
          <w:szCs w:val="20"/>
          <w:color w:val="auto"/>
        </w:rPr>
      </w:pPr>
    </w:p>
    <w:p>
      <w:pPr>
        <w:ind w:right="20" w:firstLine="260"/>
        <w:spacing w:after="0" w:line="286" w:lineRule="auto"/>
        <w:rPr>
          <w:sz w:val="20"/>
          <w:szCs w:val="20"/>
          <w:color w:val="auto"/>
        </w:rPr>
      </w:pPr>
      <w:r>
        <w:rPr>
          <w:rFonts w:ascii="Arial" w:cs="Arial" w:eastAsia="Arial" w:hAnsi="Arial"/>
          <w:sz w:val="16"/>
          <w:szCs w:val="16"/>
          <w:color w:val="auto"/>
        </w:rPr>
        <w:t>Credicorp’s loans and other contingent credits to the 20 customers (considered as economic groups) to which it had the largest exposure as of December 31, 2003 were US$939.0 million on that date, of which US$806.4 million were outstanding loans representing 18.0% of the total loan portfolio. See “—</w:t>
      </w:r>
    </w:p>
    <w:p>
      <w:pPr>
        <w:jc w:val="both"/>
        <w:ind w:firstLine="8"/>
        <w:spacing w:after="0" w:line="253" w:lineRule="auto"/>
        <w:tabs>
          <w:tab w:leader="none" w:pos="33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Supervision and Regulation—(ii) BCP—Lending Activities” for the definition of economic group in accordance with SBS regulations. Total loans and other contingent credits outstanding and available to these customers ranged from US$86.6 million to US$35.9 million, including four customers with over US$60.0 million. Total loans and other contingent credits outstanding and available to Credicorp’s 20 largest customers were ranked in the following risk categories as of December 31, 2003: Class A (normal)—75.3%; Class B (potential problems)—15.2%; Class C (substandard)—4.2%; Class D (doubtful)—5.2%; and Class E (loss)—0.1%. See “—Classification of the Loan Portfolio.”</w:t>
      </w:r>
    </w:p>
    <w:p>
      <w:pPr>
        <w:spacing w:after="0" w:line="199" w:lineRule="exact"/>
        <w:rPr>
          <w:sz w:val="20"/>
          <w:szCs w:val="20"/>
          <w:color w:val="auto"/>
        </w:rPr>
      </w:pPr>
    </w:p>
    <w:p>
      <w:pPr>
        <w:jc w:val="both"/>
        <w:ind w:firstLine="382"/>
        <w:spacing w:after="0" w:line="289" w:lineRule="auto"/>
        <w:rPr>
          <w:sz w:val="20"/>
          <w:szCs w:val="20"/>
          <w:color w:val="auto"/>
        </w:rPr>
      </w:pPr>
      <w:r>
        <w:rPr>
          <w:rFonts w:ascii="Arial" w:cs="Arial" w:eastAsia="Arial" w:hAnsi="Arial"/>
          <w:sz w:val="16"/>
          <w:szCs w:val="16"/>
          <w:color w:val="auto"/>
        </w:rPr>
        <w:t>BCP’s loans to a single borrower are subject to lending limits imposed by Law 26702. See “—(11) Supervision and Regulation—(ii)BCP—Lending Activities.” The applicable Law 26702 lending limits depend on the nature of the borrower involved and the type of collateral received. The sum of loans to and deposits in either another Peruvian universal bank or Peruvian financial institution, plus any guarantees of third party performance received by BCP from such institution, may not exceed 30% of BCP’s regulatory capital, as defined by the SBS. The sum of loans to and deposits in non-Peruvian financial institutions, plus any guarantees of third party performance received by BCP from such institutions, are limited to either 5%, 10% or 30% of BCP’s regulatory capital, depending upon the governmental supervision to which the institution is subject and upon whether it is recognized by the Central Bank as an international bank of prime credit quality. The limits on lending to non-Peruvian financial institutions increase to 50% of BCP’s regulatory capital if the amount by which such loans exceed the 5%, 10% or 30% limits is backed by certain letters of credit.</w:t>
      </w:r>
    </w:p>
    <w:p>
      <w:pPr>
        <w:spacing w:after="0" w:line="172" w:lineRule="exact"/>
        <w:rPr>
          <w:sz w:val="20"/>
          <w:szCs w:val="20"/>
          <w:color w:val="auto"/>
        </w:rPr>
      </w:pPr>
    </w:p>
    <w:p>
      <w:pPr>
        <w:jc w:val="both"/>
        <w:ind w:right="20" w:firstLine="274"/>
        <w:spacing w:after="0" w:line="332" w:lineRule="auto"/>
        <w:rPr>
          <w:sz w:val="20"/>
          <w:szCs w:val="20"/>
          <w:color w:val="auto"/>
        </w:rPr>
      </w:pPr>
      <w:r>
        <w:rPr>
          <w:rFonts w:ascii="Arial" w:cs="Arial" w:eastAsia="Arial" w:hAnsi="Arial"/>
          <w:sz w:val="16"/>
          <w:szCs w:val="16"/>
          <w:color w:val="auto"/>
        </w:rPr>
        <w:t>Loans to individuals not resident in Perú or companies that are not financial institutions have a limit of 5% of BCP’s regulatory capital; however, this limit increases to 10% if the additional 5% is guaranteed by a mortgage or certain publicly-traded securities. The limit rises to 30% if the additional</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368" w:right="239" w:bottom="1440" w:gutter="0" w:footer="0" w:header="0"/>
        </w:sectPr>
      </w:pPr>
    </w:p>
    <w:bookmarkStart w:id="69" w:name="page70"/>
    <w:bookmarkEnd w:id="69"/>
    <w:p>
      <w:pPr>
        <w:jc w:val="both"/>
        <w:spacing w:after="0" w:line="252" w:lineRule="auto"/>
        <w:rPr>
          <w:sz w:val="20"/>
          <w:szCs w:val="20"/>
          <w:color w:val="auto"/>
        </w:rPr>
      </w:pPr>
      <w:r>
        <w:rPr>
          <w:rFonts w:ascii="Arial" w:cs="Arial" w:eastAsia="Arial" w:hAnsi="Arial"/>
          <w:sz w:val="18"/>
          <w:szCs w:val="18"/>
          <w:color w:val="auto"/>
        </w:rPr>
        <w:t>amount is guaranteed by certain banks or by cash deposits in BCP. Lending on an unsecured basis to individuals or companies resident in Perú that are not financial institutions is limited to 10% of BCP’s regulatory capital. This limit rises to 15% if the additional 5% is guaranteed by a mortgage, certain securities, equipment or other collateral and to 20% if the additional amount is either backed by certain debt instruments guaranteed by other local banks, or a foreign bank determined by the Central Bank of prime credit quality, or by other highly liquid securities at market value. Finally, the single borrower lending limit for loans backed by a cash deposit at BCP or by debt obligations of the Central Bank is 30% of BCP’s regulatory capital. With an unconsolidated regulatory capital of S/.1,632.2 million (US$471.3 million) at December 31, 2003, BCP’s legal lending limits vary from S/.81.6 million (US$23.5 million) to S/.816.1 million (US$235.7 million). Credicorp’s consolidated lending limits, based on its regulatory capital on a consolidated basis of US$852.6 million at December 31, 2003, would range from US$42.6 million to US$426.3 million. Management believes that as of December 31, 2003, BCP was in compliance with all Law 26702 lending limits.</w:t>
      </w:r>
    </w:p>
    <w:p>
      <w:pPr>
        <w:spacing w:after="0" w:line="205" w:lineRule="exact"/>
        <w:rPr>
          <w:sz w:val="20"/>
          <w:szCs w:val="20"/>
          <w:color w:val="auto"/>
        </w:rPr>
      </w:pPr>
    </w:p>
    <w:p>
      <w:pPr>
        <w:jc w:val="both"/>
        <w:ind w:firstLine="298"/>
        <w:spacing w:after="0" w:line="290" w:lineRule="auto"/>
        <w:rPr>
          <w:sz w:val="20"/>
          <w:szCs w:val="20"/>
          <w:color w:val="auto"/>
        </w:rPr>
      </w:pPr>
      <w:r>
        <w:rPr>
          <w:rFonts w:ascii="Arial" w:cs="Arial" w:eastAsia="Arial" w:hAnsi="Arial"/>
          <w:sz w:val="16"/>
          <w:szCs w:val="16"/>
          <w:color w:val="auto"/>
        </w:rPr>
        <w:t>As of December 31, 2003, Credicorp complied with the applicable legal lending limits in each of the jurisdictions where it operates. In addition to these regulatory limits, Credicorp has established an internal limit of 15% of BCP’s consolidated equity plus reserves for not specifically identified impaired loans (or approximately US$75 million at December 31, 2003) as the maximum amount of loans and other contingent credits that Credicorp, on a consolidated basis, may extend to any customer. Such limit is calculated quarterly based on Credicorp’s consolidated equity plus reserves for not specifically identified impaired loans at quarter-end. A limited number of exceptions to Credicorp’s internal limits have been authorized by the Board of Directors from time to time, based on the credit quality of the borrower, the term of the loan and the amount and quality of collateral taken by Credicorp. Credicorp may, in appropriate and limited circumstances, increase or choose to exceed this limit in the future.</w:t>
      </w:r>
    </w:p>
    <w:p>
      <w:pPr>
        <w:spacing w:after="0" w:line="172" w:lineRule="exact"/>
        <w:rPr>
          <w:sz w:val="20"/>
          <w:szCs w:val="20"/>
          <w:color w:val="auto"/>
        </w:rPr>
      </w:pPr>
    </w:p>
    <w:p>
      <w:pPr>
        <w:jc w:val="both"/>
        <w:ind w:firstLine="242"/>
        <w:spacing w:after="0" w:line="259" w:lineRule="auto"/>
        <w:rPr>
          <w:sz w:val="20"/>
          <w:szCs w:val="20"/>
          <w:color w:val="auto"/>
        </w:rPr>
      </w:pPr>
      <w:r>
        <w:rPr>
          <w:rFonts w:ascii="Arial" w:cs="Arial" w:eastAsia="Arial" w:hAnsi="Arial"/>
          <w:sz w:val="18"/>
          <w:szCs w:val="18"/>
          <w:color w:val="auto"/>
        </w:rPr>
        <w:t>In the event that customers to which Credicorp has significant credit exposure are not able to meet their obligations to Credicorp, and any related collateral is not sufficient to cover such obligations, or if a reclassification of one or more of such loans or other contingent credits results in an increase in provisions for loan losses, there may be an adverse impact on the financial condition and results of operations of Credicorp.</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4580" w:type="dxa"/>
            <w:vAlign w:val="bottom"/>
          </w:tcPr>
          <w:p>
            <w:pPr>
              <w:ind w:left="180"/>
              <w:spacing w:after="0"/>
              <w:rPr>
                <w:sz w:val="20"/>
                <w:szCs w:val="20"/>
                <w:color w:val="auto"/>
              </w:rPr>
            </w:pPr>
            <w:r>
              <w:rPr>
                <w:rFonts w:ascii="Arial" w:cs="Arial" w:eastAsia="Arial" w:hAnsi="Arial"/>
                <w:sz w:val="18"/>
                <w:szCs w:val="18"/>
                <w:i w:val="1"/>
                <w:iCs w:val="1"/>
                <w:color w:val="auto"/>
              </w:rPr>
              <w:t>Loan Portfolio Denomination</w:t>
            </w: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432"/>
        </w:trPr>
        <w:tc>
          <w:tcPr>
            <w:tcW w:w="9080" w:type="dxa"/>
            <w:vAlign w:val="bottom"/>
            <w:gridSpan w:val="10"/>
          </w:tcPr>
          <w:p>
            <w:pPr>
              <w:ind w:left="180"/>
              <w:spacing w:after="0"/>
              <w:rPr>
                <w:sz w:val="20"/>
                <w:szCs w:val="20"/>
                <w:color w:val="auto"/>
              </w:rPr>
            </w:pPr>
            <w:r>
              <w:rPr>
                <w:rFonts w:ascii="Arial" w:cs="Arial" w:eastAsia="Arial" w:hAnsi="Arial"/>
                <w:sz w:val="18"/>
                <w:szCs w:val="18"/>
                <w:color w:val="auto"/>
                <w:w w:val="90"/>
              </w:rPr>
              <w:t>The following table presents Credicorp’s Nuevo Sol and foreign currency-denominated loan portfolio at the dates indicated.</w:t>
            </w: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59"/>
        </w:trPr>
        <w:tc>
          <w:tcPr>
            <w:tcW w:w="4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7"/>
              </w:rPr>
              <w:t>At December 31,</w:t>
            </w: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4"/>
        </w:trPr>
        <w:tc>
          <w:tcPr>
            <w:tcW w:w="458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r>
      <w:tr>
        <w:trPr>
          <w:trHeight w:val="383"/>
        </w:trPr>
        <w:tc>
          <w:tcPr>
            <w:tcW w:w="4580" w:type="dxa"/>
            <w:vAlign w:val="bottom"/>
          </w:tcPr>
          <w:p>
            <w:pPr>
              <w:spacing w:after="0"/>
              <w:rPr>
                <w:sz w:val="24"/>
                <w:szCs w:val="24"/>
                <w:color w:val="auto"/>
              </w:rPr>
            </w:pPr>
          </w:p>
        </w:tc>
        <w:tc>
          <w:tcPr>
            <w:tcW w:w="14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1999</w:t>
            </w: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gridSpan w:val="3"/>
          </w:tcPr>
          <w:p>
            <w:pPr>
              <w:jc w:val="center"/>
              <w:ind w:left="712"/>
              <w:spacing w:after="0"/>
              <w:rPr>
                <w:sz w:val="20"/>
                <w:szCs w:val="20"/>
                <w:color w:val="auto"/>
              </w:rPr>
            </w:pPr>
            <w:r>
              <w:rPr>
                <w:rFonts w:ascii="Arial" w:cs="Arial" w:eastAsia="Arial" w:hAnsi="Arial"/>
                <w:sz w:val="18"/>
                <w:szCs w:val="18"/>
                <w:b w:val="1"/>
                <w:bCs w:val="1"/>
                <w:color w:val="auto"/>
                <w:w w:val="89"/>
              </w:rPr>
              <w:t>2000</w:t>
            </w:r>
          </w:p>
        </w:tc>
        <w:tc>
          <w:tcPr>
            <w:tcW w:w="780" w:type="dxa"/>
            <w:vAlign w:val="bottom"/>
          </w:tcPr>
          <w:p>
            <w:pPr>
              <w:spacing w:after="0"/>
              <w:rPr>
                <w:sz w:val="24"/>
                <w:szCs w:val="24"/>
                <w:color w:val="auto"/>
              </w:rPr>
            </w:pPr>
          </w:p>
        </w:tc>
        <w:tc>
          <w:tcPr>
            <w:tcW w:w="150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2001</w:t>
            </w:r>
          </w:p>
        </w:tc>
        <w:tc>
          <w:tcPr>
            <w:tcW w:w="780" w:type="dxa"/>
            <w:vAlign w:val="bottom"/>
          </w:tcPr>
          <w:p>
            <w:pPr>
              <w:spacing w:after="0"/>
              <w:rPr>
                <w:sz w:val="24"/>
                <w:szCs w:val="24"/>
                <w:color w:val="auto"/>
              </w:rPr>
            </w:pPr>
          </w:p>
        </w:tc>
      </w:tr>
      <w:tr>
        <w:trPr>
          <w:trHeight w:val="164"/>
        </w:trPr>
        <w:tc>
          <w:tcPr>
            <w:tcW w:w="458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gridSpan w:val="2"/>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r>
      <w:tr>
        <w:trPr>
          <w:trHeight w:val="383"/>
        </w:trPr>
        <w:tc>
          <w:tcPr>
            <w:tcW w:w="4580" w:type="dxa"/>
            <w:vAlign w:val="bottom"/>
          </w:tcPr>
          <w:p>
            <w:pPr>
              <w:spacing w:after="0"/>
              <w:rPr>
                <w:sz w:val="20"/>
                <w:szCs w:val="20"/>
                <w:color w:val="auto"/>
              </w:rPr>
            </w:pPr>
            <w:r>
              <w:rPr>
                <w:rFonts w:ascii="Arial" w:cs="Arial" w:eastAsia="Arial" w:hAnsi="Arial"/>
                <w:sz w:val="18"/>
                <w:szCs w:val="18"/>
                <w:color w:val="auto"/>
              </w:rPr>
              <w:t>Total loan portfolio:</w:t>
            </w: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560" w:type="dxa"/>
            <w:vAlign w:val="bottom"/>
            <w:gridSpan w:val="10"/>
          </w:tcPr>
          <w:p>
            <w:pPr>
              <w:jc w:val="center"/>
              <w:ind w:right="680"/>
              <w:spacing w:after="0"/>
              <w:rPr>
                <w:sz w:val="20"/>
                <w:szCs w:val="20"/>
                <w:color w:val="auto"/>
              </w:rPr>
            </w:pPr>
            <w:r>
              <w:rPr>
                <w:rFonts w:ascii="Arial" w:cs="Arial" w:eastAsia="Arial" w:hAnsi="Arial"/>
                <w:sz w:val="18"/>
                <w:szCs w:val="18"/>
                <w:i w:val="1"/>
                <w:iCs w:val="1"/>
                <w:color w:val="auto"/>
                <w:w w:val="87"/>
              </w:rPr>
              <w:t>(U.S. Dollars in thousands, except percentages)</w:t>
            </w:r>
          </w:p>
        </w:tc>
        <w:tc>
          <w:tcPr>
            <w:tcW w:w="780" w:type="dxa"/>
            <w:vAlign w:val="bottom"/>
          </w:tcPr>
          <w:p>
            <w:pPr>
              <w:spacing w:after="0"/>
              <w:rPr>
                <w:sz w:val="24"/>
                <w:szCs w:val="24"/>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18"/>
                <w:szCs w:val="18"/>
                <w:color w:val="auto"/>
              </w:rPr>
              <w:t>Nuevo Sol-denominated</w:t>
            </w:r>
          </w:p>
        </w:tc>
        <w:tc>
          <w:tcPr>
            <w:tcW w:w="1440" w:type="dxa"/>
            <w:vAlign w:val="bottom"/>
            <w:gridSpan w:val="3"/>
          </w:tcPr>
          <w:p>
            <w:pPr>
              <w:jc w:val="right"/>
              <w:ind w:right="360"/>
              <w:spacing w:after="0"/>
              <w:rPr>
                <w:sz w:val="20"/>
                <w:szCs w:val="20"/>
                <w:color w:val="auto"/>
              </w:rPr>
            </w:pPr>
            <w:r>
              <w:rPr>
                <w:rFonts w:ascii="Arial" w:cs="Arial" w:eastAsia="Arial" w:hAnsi="Arial"/>
                <w:sz w:val="18"/>
                <w:szCs w:val="18"/>
                <w:color w:val="auto"/>
              </w:rPr>
              <w:t>US$ 529,089</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11.17%</w:t>
            </w:r>
          </w:p>
        </w:tc>
        <w:tc>
          <w:tcPr>
            <w:tcW w:w="1440" w:type="dxa"/>
            <w:vAlign w:val="bottom"/>
            <w:gridSpan w:val="3"/>
          </w:tcPr>
          <w:p>
            <w:pPr>
              <w:jc w:val="right"/>
              <w:ind w:right="360"/>
              <w:spacing w:after="0"/>
              <w:rPr>
                <w:sz w:val="20"/>
                <w:szCs w:val="20"/>
                <w:color w:val="auto"/>
              </w:rPr>
            </w:pPr>
            <w:r>
              <w:rPr>
                <w:rFonts w:ascii="Arial" w:cs="Arial" w:eastAsia="Arial" w:hAnsi="Arial"/>
                <w:sz w:val="18"/>
                <w:szCs w:val="18"/>
                <w:color w:val="auto"/>
              </w:rPr>
              <w:t>US$ 563,124</w:t>
            </w:r>
          </w:p>
        </w:tc>
        <w:tc>
          <w:tcPr>
            <w:tcW w:w="780" w:type="dxa"/>
            <w:vAlign w:val="bottom"/>
          </w:tcPr>
          <w:p>
            <w:pPr>
              <w:jc w:val="right"/>
              <w:spacing w:after="0"/>
              <w:rPr>
                <w:sz w:val="20"/>
                <w:szCs w:val="20"/>
                <w:color w:val="auto"/>
              </w:rPr>
            </w:pPr>
            <w:r>
              <w:rPr>
                <w:rFonts w:ascii="Arial" w:cs="Arial" w:eastAsia="Arial" w:hAnsi="Arial"/>
                <w:sz w:val="18"/>
                <w:szCs w:val="18"/>
                <w:color w:val="auto"/>
              </w:rPr>
              <w:t>12.64%</w:t>
            </w:r>
          </w:p>
        </w:tc>
        <w:tc>
          <w:tcPr>
            <w:tcW w:w="60" w:type="dxa"/>
            <w:vAlign w:val="bottom"/>
          </w:tcPr>
          <w:p>
            <w:pPr>
              <w:spacing w:after="0"/>
              <w:rPr>
                <w:sz w:val="23"/>
                <w:szCs w:val="23"/>
                <w:color w:val="auto"/>
              </w:rPr>
            </w:pPr>
          </w:p>
        </w:tc>
        <w:tc>
          <w:tcPr>
            <w:tcW w:w="1440" w:type="dxa"/>
            <w:vAlign w:val="bottom"/>
            <w:gridSpan w:val="3"/>
          </w:tcPr>
          <w:p>
            <w:pPr>
              <w:jc w:val="right"/>
              <w:ind w:right="360"/>
              <w:spacing w:after="0"/>
              <w:rPr>
                <w:sz w:val="20"/>
                <w:szCs w:val="20"/>
                <w:color w:val="auto"/>
              </w:rPr>
            </w:pPr>
            <w:r>
              <w:rPr>
                <w:rFonts w:ascii="Arial" w:cs="Arial" w:eastAsia="Arial" w:hAnsi="Arial"/>
                <w:sz w:val="18"/>
                <w:szCs w:val="18"/>
                <w:color w:val="auto"/>
              </w:rPr>
              <w:t>US$ 579,229</w:t>
            </w:r>
          </w:p>
        </w:tc>
        <w:tc>
          <w:tcPr>
            <w:tcW w:w="780" w:type="dxa"/>
            <w:vAlign w:val="bottom"/>
          </w:tcPr>
          <w:p>
            <w:pPr>
              <w:jc w:val="right"/>
              <w:spacing w:after="0"/>
              <w:rPr>
                <w:sz w:val="20"/>
                <w:szCs w:val="20"/>
                <w:color w:val="auto"/>
              </w:rPr>
            </w:pPr>
            <w:r>
              <w:rPr>
                <w:rFonts w:ascii="Arial" w:cs="Arial" w:eastAsia="Arial" w:hAnsi="Arial"/>
                <w:sz w:val="18"/>
                <w:szCs w:val="18"/>
                <w:color w:val="auto"/>
              </w:rPr>
              <w:t>14.25%</w:t>
            </w:r>
          </w:p>
        </w:tc>
      </w:tr>
      <w:tr>
        <w:trPr>
          <w:trHeight w:val="270"/>
        </w:trPr>
        <w:tc>
          <w:tcPr>
            <w:tcW w:w="4580" w:type="dxa"/>
            <w:vAlign w:val="bottom"/>
          </w:tcPr>
          <w:p>
            <w:pPr>
              <w:spacing w:after="0"/>
              <w:rPr>
                <w:sz w:val="20"/>
                <w:szCs w:val="20"/>
                <w:color w:val="auto"/>
              </w:rPr>
            </w:pPr>
            <w:r>
              <w:rPr>
                <w:rFonts w:ascii="Arial" w:cs="Arial" w:eastAsia="Arial" w:hAnsi="Arial"/>
                <w:sz w:val="18"/>
                <w:szCs w:val="18"/>
                <w:color w:val="auto"/>
              </w:rPr>
              <w:t>Foreign Currency-denominated</w:t>
            </w:r>
          </w:p>
        </w:tc>
        <w:tc>
          <w:tcPr>
            <w:tcW w:w="1080" w:type="dxa"/>
            <w:vAlign w:val="bottom"/>
          </w:tcPr>
          <w:p>
            <w:pPr>
              <w:jc w:val="right"/>
              <w:spacing w:after="0"/>
              <w:rPr>
                <w:sz w:val="20"/>
                <w:szCs w:val="20"/>
                <w:color w:val="auto"/>
              </w:rPr>
            </w:pPr>
            <w:r>
              <w:rPr>
                <w:rFonts w:ascii="Arial" w:cs="Arial" w:eastAsia="Arial" w:hAnsi="Arial"/>
                <w:sz w:val="18"/>
                <w:szCs w:val="18"/>
                <w:color w:val="auto"/>
              </w:rPr>
              <w:t>4,208,600</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88.83%</w:t>
            </w:r>
          </w:p>
        </w:tc>
        <w:tc>
          <w:tcPr>
            <w:tcW w:w="1080" w:type="dxa"/>
            <w:vAlign w:val="bottom"/>
          </w:tcPr>
          <w:p>
            <w:pPr>
              <w:jc w:val="right"/>
              <w:spacing w:after="0"/>
              <w:rPr>
                <w:sz w:val="20"/>
                <w:szCs w:val="20"/>
                <w:color w:val="auto"/>
              </w:rPr>
            </w:pPr>
            <w:r>
              <w:rPr>
                <w:rFonts w:ascii="Arial" w:cs="Arial" w:eastAsia="Arial" w:hAnsi="Arial"/>
                <w:sz w:val="18"/>
                <w:szCs w:val="18"/>
                <w:color w:val="auto"/>
              </w:rPr>
              <w:t>3,890,961</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87.36%</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3,485,250</w:t>
            </w:r>
          </w:p>
        </w:tc>
        <w:tc>
          <w:tcPr>
            <w:tcW w:w="3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85.75%</w:t>
            </w:r>
          </w:p>
        </w:tc>
      </w:tr>
      <w:tr>
        <w:trPr>
          <w:trHeight w:val="164"/>
        </w:trPr>
        <w:tc>
          <w:tcPr>
            <w:tcW w:w="458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r>
      <w:tr>
        <w:trPr>
          <w:trHeight w:val="383"/>
        </w:trPr>
        <w:tc>
          <w:tcPr>
            <w:tcW w:w="4580" w:type="dxa"/>
            <w:vAlign w:val="bottom"/>
          </w:tcPr>
          <w:p>
            <w:pPr>
              <w:ind w:left="160"/>
              <w:spacing w:after="0"/>
              <w:rPr>
                <w:sz w:val="20"/>
                <w:szCs w:val="20"/>
                <w:color w:val="auto"/>
              </w:rPr>
            </w:pPr>
            <w:r>
              <w:rPr>
                <w:rFonts w:ascii="Arial" w:cs="Arial" w:eastAsia="Arial" w:hAnsi="Arial"/>
                <w:sz w:val="18"/>
                <w:szCs w:val="18"/>
                <w:color w:val="auto"/>
              </w:rPr>
              <w:t>Total loans</w:t>
            </w:r>
          </w:p>
        </w:tc>
        <w:tc>
          <w:tcPr>
            <w:tcW w:w="1440" w:type="dxa"/>
            <w:vAlign w:val="bottom"/>
            <w:gridSpan w:val="3"/>
          </w:tcPr>
          <w:p>
            <w:pPr>
              <w:jc w:val="right"/>
              <w:ind w:right="360"/>
              <w:spacing w:after="0"/>
              <w:rPr>
                <w:sz w:val="20"/>
                <w:szCs w:val="20"/>
                <w:color w:val="auto"/>
              </w:rPr>
            </w:pPr>
            <w:r>
              <w:rPr>
                <w:rFonts w:ascii="Arial" w:cs="Arial" w:eastAsia="Arial" w:hAnsi="Arial"/>
                <w:sz w:val="18"/>
                <w:szCs w:val="18"/>
                <w:color w:val="auto"/>
                <w:w w:val="92"/>
              </w:rPr>
              <w:t>US$4,737,689</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100.00%</w:t>
            </w:r>
          </w:p>
        </w:tc>
        <w:tc>
          <w:tcPr>
            <w:tcW w:w="1440" w:type="dxa"/>
            <w:vAlign w:val="bottom"/>
            <w:gridSpan w:val="3"/>
          </w:tcPr>
          <w:p>
            <w:pPr>
              <w:jc w:val="right"/>
              <w:ind w:right="360"/>
              <w:spacing w:after="0"/>
              <w:rPr>
                <w:sz w:val="20"/>
                <w:szCs w:val="20"/>
                <w:color w:val="auto"/>
              </w:rPr>
            </w:pPr>
            <w:r>
              <w:rPr>
                <w:rFonts w:ascii="Arial" w:cs="Arial" w:eastAsia="Arial" w:hAnsi="Arial"/>
                <w:sz w:val="18"/>
                <w:szCs w:val="18"/>
                <w:color w:val="auto"/>
                <w:w w:val="92"/>
              </w:rPr>
              <w:t>US$4,454,085</w:t>
            </w:r>
          </w:p>
        </w:tc>
        <w:tc>
          <w:tcPr>
            <w:tcW w:w="780" w:type="dxa"/>
            <w:vAlign w:val="bottom"/>
          </w:tcPr>
          <w:p>
            <w:pPr>
              <w:jc w:val="right"/>
              <w:spacing w:after="0"/>
              <w:rPr>
                <w:sz w:val="20"/>
                <w:szCs w:val="20"/>
                <w:color w:val="auto"/>
              </w:rPr>
            </w:pPr>
            <w:r>
              <w:rPr>
                <w:rFonts w:ascii="Arial" w:cs="Arial" w:eastAsia="Arial" w:hAnsi="Arial"/>
                <w:sz w:val="18"/>
                <w:szCs w:val="18"/>
                <w:color w:val="auto"/>
              </w:rPr>
              <w:t>100.00%</w:t>
            </w:r>
          </w:p>
        </w:tc>
        <w:tc>
          <w:tcPr>
            <w:tcW w:w="60" w:type="dxa"/>
            <w:vAlign w:val="bottom"/>
          </w:tcPr>
          <w:p>
            <w:pPr>
              <w:spacing w:after="0"/>
              <w:rPr>
                <w:sz w:val="24"/>
                <w:szCs w:val="24"/>
                <w:color w:val="auto"/>
              </w:rPr>
            </w:pPr>
          </w:p>
        </w:tc>
        <w:tc>
          <w:tcPr>
            <w:tcW w:w="1440" w:type="dxa"/>
            <w:vAlign w:val="bottom"/>
            <w:gridSpan w:val="3"/>
          </w:tcPr>
          <w:p>
            <w:pPr>
              <w:jc w:val="right"/>
              <w:ind w:right="360"/>
              <w:spacing w:after="0"/>
              <w:rPr>
                <w:sz w:val="20"/>
                <w:szCs w:val="20"/>
                <w:color w:val="auto"/>
              </w:rPr>
            </w:pPr>
            <w:r>
              <w:rPr>
                <w:rFonts w:ascii="Arial" w:cs="Arial" w:eastAsia="Arial" w:hAnsi="Arial"/>
                <w:sz w:val="18"/>
                <w:szCs w:val="18"/>
                <w:color w:val="auto"/>
                <w:w w:val="92"/>
              </w:rPr>
              <w:t>US$4,064,479</w:t>
            </w:r>
          </w:p>
        </w:tc>
        <w:tc>
          <w:tcPr>
            <w:tcW w:w="78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174"/>
        </w:trPr>
        <w:tc>
          <w:tcPr>
            <w:tcW w:w="458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-1454785</wp:posOffset>
            </wp:positionV>
            <wp:extent cx="34290" cy="342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-1094740</wp:posOffset>
            </wp:positionV>
            <wp:extent cx="34290" cy="342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5772785</wp:posOffset>
            </wp:positionH>
            <wp:positionV relativeFrom="paragraph">
              <wp:posOffset>-1094740</wp:posOffset>
            </wp:positionV>
            <wp:extent cx="34290" cy="342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-1094740</wp:posOffset>
            </wp:positionV>
            <wp:extent cx="34290" cy="342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3602990</wp:posOffset>
            </wp:positionH>
            <wp:positionV relativeFrom="paragraph">
              <wp:posOffset>-391160</wp:posOffset>
            </wp:positionV>
            <wp:extent cx="34290" cy="342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-391160</wp:posOffset>
            </wp:positionV>
            <wp:extent cx="34290" cy="342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-391160</wp:posOffset>
            </wp:positionV>
            <wp:extent cx="34290" cy="342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5772785</wp:posOffset>
            </wp:positionH>
            <wp:positionV relativeFrom="paragraph">
              <wp:posOffset>-391160</wp:posOffset>
            </wp:positionV>
            <wp:extent cx="34290" cy="342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-391160</wp:posOffset>
            </wp:positionV>
            <wp:extent cx="34290" cy="342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-391160</wp:posOffset>
            </wp:positionV>
            <wp:extent cx="34290" cy="342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-14605</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-14605</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-14605</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-14605</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-14605</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-14605</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-14605</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-14605</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-14605</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-14605</wp:posOffset>
            </wp:positionV>
            <wp:extent cx="12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-14605</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-14605</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39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900" w:type="dxa"/>
            <w:vAlign w:val="bottom"/>
            <w:gridSpan w:val="5"/>
          </w:tcPr>
          <w:p>
            <w:pPr>
              <w:jc w:val="center"/>
              <w:ind w:right="960"/>
              <w:spacing w:after="0"/>
              <w:rPr>
                <w:sz w:val="20"/>
                <w:szCs w:val="20"/>
                <w:color w:val="auto"/>
              </w:rPr>
            </w:pPr>
            <w:r>
              <w:rPr>
                <w:rFonts w:ascii="Arial" w:cs="Arial" w:eastAsia="Arial" w:hAnsi="Arial"/>
                <w:sz w:val="18"/>
                <w:szCs w:val="18"/>
                <w:b w:val="1"/>
                <w:bCs w:val="1"/>
                <w:color w:val="auto"/>
                <w:w w:val="89"/>
              </w:rPr>
              <w:t>At December 31,</w:t>
            </w:r>
          </w:p>
        </w:tc>
        <w:tc>
          <w:tcPr>
            <w:tcW w:w="900" w:type="dxa"/>
            <w:vAlign w:val="bottom"/>
          </w:tcPr>
          <w:p>
            <w:pPr>
              <w:spacing w:after="0"/>
              <w:rPr>
                <w:sz w:val="19"/>
                <w:szCs w:val="19"/>
                <w:color w:val="auto"/>
              </w:rPr>
            </w:pPr>
          </w:p>
        </w:tc>
      </w:tr>
      <w:tr>
        <w:trPr>
          <w:trHeight w:val="164"/>
        </w:trPr>
        <w:tc>
          <w:tcPr>
            <w:tcW w:w="39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44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3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r>
      <w:tr>
        <w:trPr>
          <w:trHeight w:val="383"/>
        </w:trPr>
        <w:tc>
          <w:tcPr>
            <w:tcW w:w="3900" w:type="dxa"/>
            <w:vAlign w:val="bottom"/>
          </w:tcPr>
          <w:p>
            <w:pPr>
              <w:spacing w:after="0"/>
              <w:rPr>
                <w:sz w:val="24"/>
                <w:szCs w:val="24"/>
                <w:color w:val="auto"/>
              </w:rPr>
            </w:pPr>
          </w:p>
        </w:tc>
        <w:tc>
          <w:tcPr>
            <w:tcW w:w="366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rPr>
              <w:t>2002</w:t>
            </w:r>
          </w:p>
        </w:tc>
        <w:tc>
          <w:tcPr>
            <w:tcW w:w="920" w:type="dxa"/>
            <w:vAlign w:val="bottom"/>
          </w:tcPr>
          <w:p>
            <w:pPr>
              <w:spacing w:after="0"/>
              <w:rPr>
                <w:sz w:val="24"/>
                <w:szCs w:val="24"/>
                <w:color w:val="auto"/>
              </w:rPr>
            </w:pPr>
          </w:p>
        </w:tc>
        <w:tc>
          <w:tcPr>
            <w:tcW w:w="198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rPr>
              <w:t>2003</w:t>
            </w:r>
          </w:p>
        </w:tc>
        <w:tc>
          <w:tcPr>
            <w:tcW w:w="900" w:type="dxa"/>
            <w:vAlign w:val="bottom"/>
          </w:tcPr>
          <w:p>
            <w:pPr>
              <w:spacing w:after="0"/>
              <w:rPr>
                <w:sz w:val="24"/>
                <w:szCs w:val="24"/>
                <w:color w:val="auto"/>
              </w:rPr>
            </w:pPr>
          </w:p>
        </w:tc>
      </w:tr>
      <w:tr>
        <w:trPr>
          <w:trHeight w:val="164"/>
        </w:trPr>
        <w:tc>
          <w:tcPr>
            <w:tcW w:w="39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gridSpan w:val="2"/>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r>
      <w:tr>
        <w:trPr>
          <w:trHeight w:val="383"/>
        </w:trPr>
        <w:tc>
          <w:tcPr>
            <w:tcW w:w="3900" w:type="dxa"/>
            <w:vAlign w:val="bottom"/>
          </w:tcPr>
          <w:p>
            <w:pPr>
              <w:spacing w:after="0"/>
              <w:rPr>
                <w:sz w:val="20"/>
                <w:szCs w:val="20"/>
                <w:color w:val="auto"/>
              </w:rPr>
            </w:pPr>
            <w:r>
              <w:rPr>
                <w:rFonts w:ascii="Arial" w:cs="Arial" w:eastAsia="Arial" w:hAnsi="Arial"/>
                <w:sz w:val="18"/>
                <w:szCs w:val="18"/>
                <w:color w:val="auto"/>
              </w:rPr>
              <w:t>Total loan portfolio:</w:t>
            </w:r>
          </w:p>
        </w:tc>
        <w:tc>
          <w:tcPr>
            <w:tcW w:w="1800" w:type="dxa"/>
            <w:vAlign w:val="bottom"/>
          </w:tcPr>
          <w:p>
            <w:pPr>
              <w:spacing w:after="0"/>
              <w:rPr>
                <w:sz w:val="24"/>
                <w:szCs w:val="24"/>
                <w:color w:val="auto"/>
              </w:rPr>
            </w:pPr>
          </w:p>
        </w:tc>
        <w:tc>
          <w:tcPr>
            <w:tcW w:w="4760" w:type="dxa"/>
            <w:vAlign w:val="bottom"/>
            <w:gridSpan w:val="8"/>
          </w:tcPr>
          <w:p>
            <w:pPr>
              <w:jc w:val="center"/>
              <w:ind w:left="812"/>
              <w:spacing w:after="0"/>
              <w:rPr>
                <w:sz w:val="20"/>
                <w:szCs w:val="20"/>
                <w:color w:val="auto"/>
              </w:rPr>
            </w:pPr>
            <w:r>
              <w:rPr>
                <w:rFonts w:ascii="Arial" w:cs="Arial" w:eastAsia="Arial" w:hAnsi="Arial"/>
                <w:sz w:val="18"/>
                <w:szCs w:val="18"/>
                <w:i w:val="1"/>
                <w:iCs w:val="1"/>
                <w:color w:val="auto"/>
                <w:w w:val="87"/>
              </w:rPr>
              <w:t>(U.S. Dollars in thousands, except percentages)</w:t>
            </w:r>
          </w:p>
        </w:tc>
        <w:tc>
          <w:tcPr>
            <w:tcW w:w="900" w:type="dxa"/>
            <w:vAlign w:val="bottom"/>
          </w:tcPr>
          <w:p>
            <w:pPr>
              <w:spacing w:after="0"/>
              <w:rPr>
                <w:sz w:val="24"/>
                <w:szCs w:val="24"/>
                <w:color w:val="auto"/>
              </w:rPr>
            </w:pPr>
          </w:p>
        </w:tc>
      </w:tr>
      <w:tr>
        <w:trPr>
          <w:trHeight w:val="270"/>
        </w:trPr>
        <w:tc>
          <w:tcPr>
            <w:tcW w:w="3900" w:type="dxa"/>
            <w:vAlign w:val="bottom"/>
          </w:tcPr>
          <w:p>
            <w:pPr>
              <w:spacing w:after="0"/>
              <w:rPr>
                <w:sz w:val="20"/>
                <w:szCs w:val="20"/>
                <w:color w:val="auto"/>
              </w:rPr>
            </w:pPr>
            <w:r>
              <w:rPr>
                <w:rFonts w:ascii="Arial" w:cs="Arial" w:eastAsia="Arial" w:hAnsi="Arial"/>
                <w:sz w:val="18"/>
                <w:szCs w:val="18"/>
                <w:color w:val="auto"/>
              </w:rPr>
              <w:t>Nuevo Sol-denominated</w:t>
            </w:r>
          </w:p>
        </w:tc>
        <w:tc>
          <w:tcPr>
            <w:tcW w:w="1800" w:type="dxa"/>
            <w:vAlign w:val="bottom"/>
          </w:tcPr>
          <w:p>
            <w:pPr>
              <w:spacing w:after="0"/>
              <w:rPr>
                <w:sz w:val="23"/>
                <w:szCs w:val="23"/>
                <w:color w:val="auto"/>
              </w:rPr>
            </w:pPr>
          </w:p>
        </w:tc>
        <w:tc>
          <w:tcPr>
            <w:tcW w:w="1860" w:type="dxa"/>
            <w:vAlign w:val="bottom"/>
            <w:gridSpan w:val="3"/>
          </w:tcPr>
          <w:p>
            <w:pPr>
              <w:jc w:val="right"/>
              <w:ind w:right="480"/>
              <w:spacing w:after="0"/>
              <w:rPr>
                <w:sz w:val="20"/>
                <w:szCs w:val="20"/>
                <w:color w:val="auto"/>
              </w:rPr>
            </w:pPr>
            <w:r>
              <w:rPr>
                <w:rFonts w:ascii="Arial" w:cs="Arial" w:eastAsia="Arial" w:hAnsi="Arial"/>
                <w:sz w:val="18"/>
                <w:szCs w:val="18"/>
                <w:color w:val="auto"/>
              </w:rPr>
              <w:t>US$ 677,506</w:t>
            </w:r>
          </w:p>
        </w:tc>
        <w:tc>
          <w:tcPr>
            <w:tcW w:w="920" w:type="dxa"/>
            <w:vAlign w:val="bottom"/>
          </w:tcPr>
          <w:p>
            <w:pPr>
              <w:jc w:val="right"/>
              <w:spacing w:after="0"/>
              <w:rPr>
                <w:sz w:val="20"/>
                <w:szCs w:val="20"/>
                <w:color w:val="auto"/>
              </w:rPr>
            </w:pPr>
            <w:r>
              <w:rPr>
                <w:rFonts w:ascii="Arial" w:cs="Arial" w:eastAsia="Arial" w:hAnsi="Arial"/>
                <w:sz w:val="18"/>
                <w:szCs w:val="18"/>
                <w:color w:val="auto"/>
              </w:rPr>
              <w:t>14.06%</w:t>
            </w:r>
          </w:p>
        </w:tc>
        <w:tc>
          <w:tcPr>
            <w:tcW w:w="60" w:type="dxa"/>
            <w:vAlign w:val="bottom"/>
          </w:tcPr>
          <w:p>
            <w:pPr>
              <w:spacing w:after="0"/>
              <w:rPr>
                <w:sz w:val="23"/>
                <w:szCs w:val="23"/>
                <w:color w:val="auto"/>
              </w:rPr>
            </w:pPr>
          </w:p>
        </w:tc>
        <w:tc>
          <w:tcPr>
            <w:tcW w:w="1920" w:type="dxa"/>
            <w:vAlign w:val="bottom"/>
            <w:gridSpan w:val="3"/>
          </w:tcPr>
          <w:p>
            <w:pPr>
              <w:jc w:val="right"/>
              <w:ind w:right="540"/>
              <w:spacing w:after="0"/>
              <w:rPr>
                <w:sz w:val="20"/>
                <w:szCs w:val="20"/>
                <w:color w:val="auto"/>
              </w:rPr>
            </w:pPr>
            <w:r>
              <w:rPr>
                <w:rFonts w:ascii="Arial" w:cs="Arial" w:eastAsia="Arial" w:hAnsi="Arial"/>
                <w:sz w:val="18"/>
                <w:szCs w:val="18"/>
                <w:color w:val="auto"/>
              </w:rPr>
              <w:t>US$723,955</w:t>
            </w:r>
          </w:p>
        </w:tc>
        <w:tc>
          <w:tcPr>
            <w:tcW w:w="900" w:type="dxa"/>
            <w:vAlign w:val="bottom"/>
          </w:tcPr>
          <w:p>
            <w:pPr>
              <w:jc w:val="right"/>
              <w:spacing w:after="0"/>
              <w:rPr>
                <w:sz w:val="20"/>
                <w:szCs w:val="20"/>
                <w:color w:val="auto"/>
              </w:rPr>
            </w:pPr>
            <w:r>
              <w:rPr>
                <w:rFonts w:ascii="Arial" w:cs="Arial" w:eastAsia="Arial" w:hAnsi="Arial"/>
                <w:sz w:val="18"/>
                <w:szCs w:val="18"/>
                <w:color w:val="auto"/>
              </w:rPr>
              <w:t>16.15%</w:t>
            </w:r>
          </w:p>
        </w:tc>
      </w:tr>
      <w:tr>
        <w:trPr>
          <w:trHeight w:val="270"/>
        </w:trPr>
        <w:tc>
          <w:tcPr>
            <w:tcW w:w="3900" w:type="dxa"/>
            <w:vAlign w:val="bottom"/>
          </w:tcPr>
          <w:p>
            <w:pPr>
              <w:spacing w:after="0"/>
              <w:rPr>
                <w:sz w:val="20"/>
                <w:szCs w:val="20"/>
                <w:color w:val="auto"/>
              </w:rPr>
            </w:pPr>
            <w:r>
              <w:rPr>
                <w:rFonts w:ascii="Arial" w:cs="Arial" w:eastAsia="Arial" w:hAnsi="Arial"/>
                <w:sz w:val="18"/>
                <w:szCs w:val="18"/>
                <w:color w:val="auto"/>
              </w:rPr>
              <w:t>Foreign Currency-denominated</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4,140,157</w:t>
            </w: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85.94%</w:t>
            </w: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3,757,541</w:t>
            </w:r>
          </w:p>
        </w:tc>
        <w:tc>
          <w:tcPr>
            <w:tcW w:w="4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83.85%</w:t>
            </w:r>
          </w:p>
        </w:tc>
      </w:tr>
      <w:tr>
        <w:trPr>
          <w:trHeight w:val="164"/>
        </w:trPr>
        <w:tc>
          <w:tcPr>
            <w:tcW w:w="39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8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r>
      <w:tr>
        <w:trPr>
          <w:trHeight w:val="383"/>
        </w:trPr>
        <w:tc>
          <w:tcPr>
            <w:tcW w:w="3900" w:type="dxa"/>
            <w:vAlign w:val="bottom"/>
          </w:tcPr>
          <w:p>
            <w:pPr>
              <w:ind w:left="160"/>
              <w:spacing w:after="0"/>
              <w:rPr>
                <w:sz w:val="20"/>
                <w:szCs w:val="20"/>
                <w:color w:val="auto"/>
              </w:rPr>
            </w:pPr>
            <w:r>
              <w:rPr>
                <w:rFonts w:ascii="Arial" w:cs="Arial" w:eastAsia="Arial" w:hAnsi="Arial"/>
                <w:sz w:val="18"/>
                <w:szCs w:val="18"/>
                <w:color w:val="auto"/>
              </w:rPr>
              <w:t>Total loans</w:t>
            </w:r>
          </w:p>
        </w:tc>
        <w:tc>
          <w:tcPr>
            <w:tcW w:w="1800" w:type="dxa"/>
            <w:vAlign w:val="bottom"/>
          </w:tcPr>
          <w:p>
            <w:pPr>
              <w:spacing w:after="0"/>
              <w:rPr>
                <w:sz w:val="24"/>
                <w:szCs w:val="24"/>
                <w:color w:val="auto"/>
              </w:rPr>
            </w:pPr>
          </w:p>
        </w:tc>
        <w:tc>
          <w:tcPr>
            <w:tcW w:w="1860" w:type="dxa"/>
            <w:vAlign w:val="bottom"/>
            <w:gridSpan w:val="3"/>
          </w:tcPr>
          <w:p>
            <w:pPr>
              <w:jc w:val="right"/>
              <w:ind w:right="480"/>
              <w:spacing w:after="0"/>
              <w:rPr>
                <w:sz w:val="20"/>
                <w:szCs w:val="20"/>
                <w:color w:val="auto"/>
              </w:rPr>
            </w:pPr>
            <w:r>
              <w:rPr>
                <w:rFonts w:ascii="Arial" w:cs="Arial" w:eastAsia="Arial" w:hAnsi="Arial"/>
                <w:sz w:val="18"/>
                <w:szCs w:val="18"/>
                <w:color w:val="auto"/>
              </w:rPr>
              <w:t>US$4,817,663</w:t>
            </w:r>
          </w:p>
        </w:tc>
        <w:tc>
          <w:tcPr>
            <w:tcW w:w="920" w:type="dxa"/>
            <w:vAlign w:val="bottom"/>
          </w:tcPr>
          <w:p>
            <w:pPr>
              <w:jc w:val="right"/>
              <w:spacing w:after="0"/>
              <w:rPr>
                <w:sz w:val="20"/>
                <w:szCs w:val="20"/>
                <w:color w:val="auto"/>
              </w:rPr>
            </w:pPr>
            <w:r>
              <w:rPr>
                <w:rFonts w:ascii="Arial" w:cs="Arial" w:eastAsia="Arial" w:hAnsi="Arial"/>
                <w:sz w:val="18"/>
                <w:szCs w:val="18"/>
                <w:color w:val="auto"/>
              </w:rPr>
              <w:t>100.00%</w:t>
            </w:r>
          </w:p>
        </w:tc>
        <w:tc>
          <w:tcPr>
            <w:tcW w:w="60" w:type="dxa"/>
            <w:vAlign w:val="bottom"/>
          </w:tcPr>
          <w:p>
            <w:pPr>
              <w:spacing w:after="0"/>
              <w:rPr>
                <w:sz w:val="24"/>
                <w:szCs w:val="24"/>
                <w:color w:val="auto"/>
              </w:rPr>
            </w:pPr>
          </w:p>
        </w:tc>
        <w:tc>
          <w:tcPr>
            <w:tcW w:w="1920" w:type="dxa"/>
            <w:vAlign w:val="bottom"/>
            <w:gridSpan w:val="3"/>
          </w:tcPr>
          <w:p>
            <w:pPr>
              <w:jc w:val="right"/>
              <w:ind w:right="540"/>
              <w:spacing w:after="0"/>
              <w:rPr>
                <w:sz w:val="20"/>
                <w:szCs w:val="20"/>
                <w:color w:val="auto"/>
              </w:rPr>
            </w:pPr>
            <w:r>
              <w:rPr>
                <w:rFonts w:ascii="Arial" w:cs="Arial" w:eastAsia="Arial" w:hAnsi="Arial"/>
                <w:sz w:val="18"/>
                <w:szCs w:val="18"/>
                <w:color w:val="auto"/>
              </w:rPr>
              <w:t>US$4,481,496</w:t>
            </w:r>
          </w:p>
        </w:tc>
        <w:tc>
          <w:tcPr>
            <w:tcW w:w="90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174"/>
        </w:trPr>
        <w:tc>
          <w:tcPr>
            <w:tcW w:w="39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r>
      <w:tr>
        <w:trPr>
          <w:trHeight w:val="562"/>
        </w:trPr>
        <w:tc>
          <w:tcPr>
            <w:tcW w:w="3900" w:type="dxa"/>
            <w:vAlign w:val="bottom"/>
          </w:tcPr>
          <w:p>
            <w:pPr>
              <w:spacing w:after="0"/>
              <w:rPr>
                <w:sz w:val="24"/>
                <w:szCs w:val="24"/>
                <w:color w:val="auto"/>
              </w:rPr>
            </w:pPr>
          </w:p>
        </w:tc>
        <w:tc>
          <w:tcPr>
            <w:tcW w:w="3180" w:type="dxa"/>
            <w:vAlign w:val="bottom"/>
            <w:gridSpan w:val="2"/>
          </w:tcPr>
          <w:p>
            <w:pPr>
              <w:jc w:val="right"/>
              <w:ind w:right="1232"/>
              <w:spacing w:after="0"/>
              <w:rPr>
                <w:sz w:val="20"/>
                <w:szCs w:val="20"/>
                <w:color w:val="auto"/>
              </w:rPr>
            </w:pPr>
            <w:r>
              <w:rPr>
                <w:rFonts w:ascii="Arial" w:cs="Arial" w:eastAsia="Arial" w:hAnsi="Arial"/>
                <w:sz w:val="18"/>
                <w:szCs w:val="18"/>
                <w:color w:val="auto"/>
              </w:rPr>
              <w:t>67</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-1811655</wp:posOffset>
            </wp:positionV>
            <wp:extent cx="34290" cy="342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5394960</wp:posOffset>
            </wp:positionH>
            <wp:positionV relativeFrom="paragraph">
              <wp:posOffset>-1451610</wp:posOffset>
            </wp:positionV>
            <wp:extent cx="34290" cy="342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-1451610</wp:posOffset>
            </wp:positionV>
            <wp:extent cx="34290" cy="342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4494530</wp:posOffset>
            </wp:positionH>
            <wp:positionV relativeFrom="paragraph">
              <wp:posOffset>-748030</wp:posOffset>
            </wp:positionV>
            <wp:extent cx="34290" cy="342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5394960</wp:posOffset>
            </wp:positionH>
            <wp:positionV relativeFrom="paragraph">
              <wp:posOffset>-748030</wp:posOffset>
            </wp:positionV>
            <wp:extent cx="34290" cy="342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6304280</wp:posOffset>
            </wp:positionH>
            <wp:positionV relativeFrom="paragraph">
              <wp:posOffset>-748030</wp:posOffset>
            </wp:positionV>
            <wp:extent cx="34290" cy="342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-748030</wp:posOffset>
            </wp:positionV>
            <wp:extent cx="34290" cy="342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-370840</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-370840</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-370840</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-370840</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-370840</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-370840</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-370840</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-370840</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ind w:left="220"/>
        <w:spacing w:after="0"/>
        <w:rPr>
          <w:sz w:val="20"/>
          <w:szCs w:val="20"/>
          <w:color w:val="auto"/>
        </w:rPr>
      </w:pPr>
      <w:r>
        <w:rPr>
          <w:rFonts w:ascii="Arial" w:cs="Arial" w:eastAsia="Arial" w:hAnsi="Arial"/>
          <w:sz w:val="18"/>
          <w:szCs w:val="18"/>
          <w:i w:val="1"/>
          <w:iCs w:val="1"/>
          <w:color w:val="auto"/>
        </w:rPr>
        <w:t>Maturity Composition of the Performing Loan Portfolio</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following table sets forth an analysis of Credicorp’s performing loan portfolio at December 31, 2003, by type and by the time remaining to maturity.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Loans are stated before deduction of the reserves for loan losses.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Maturing</w:t>
            </w: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164"/>
        </w:trPr>
        <w:tc>
          <w:tcPr>
            <w:tcW w:w="4620" w:type="dxa"/>
            <w:vAlign w:val="bottom"/>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r>
      <w:tr>
        <w:trPr>
          <w:trHeight w:val="371"/>
        </w:trPr>
        <w:tc>
          <w:tcPr>
            <w:tcW w:w="46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9"/>
              </w:rPr>
              <w:t>Amount at</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After 3 months</w:t>
            </w: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16"/>
        </w:trPr>
        <w:tc>
          <w:tcPr>
            <w:tcW w:w="46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7"/>
              </w:rPr>
              <w:t>December 31,</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but within 12</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3"/>
              </w:rPr>
              <w:t>After 1 year but</w:t>
            </w:r>
          </w:p>
        </w:tc>
        <w:tc>
          <w:tcPr>
            <w:tcW w:w="1320" w:type="dxa"/>
            <w:vAlign w:val="bottom"/>
          </w:tcPr>
          <w:p>
            <w:pPr>
              <w:ind w:left="440"/>
              <w:spacing w:after="0"/>
              <w:rPr>
                <w:sz w:val="20"/>
                <w:szCs w:val="20"/>
                <w:color w:val="auto"/>
              </w:rPr>
            </w:pPr>
            <w:r>
              <w:rPr>
                <w:rFonts w:ascii="Arial" w:cs="Arial" w:eastAsia="Arial" w:hAnsi="Arial"/>
                <w:sz w:val="18"/>
                <w:szCs w:val="18"/>
                <w:b w:val="1"/>
                <w:bCs w:val="1"/>
                <w:color w:val="auto"/>
              </w:rPr>
              <w:t>After</w:t>
            </w:r>
          </w:p>
        </w:tc>
      </w:tr>
      <w:tr>
        <w:trPr>
          <w:trHeight w:val="228"/>
        </w:trPr>
        <w:tc>
          <w:tcPr>
            <w:tcW w:w="46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9"/>
              </w:rPr>
              <w:t>2003</w:t>
            </w:r>
          </w:p>
        </w:tc>
        <w:tc>
          <w:tcPr>
            <w:tcW w:w="6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b w:val="1"/>
                <w:bCs w:val="1"/>
                <w:color w:val="auto"/>
                <w:w w:val="94"/>
              </w:rPr>
              <w:t>Within 3 months</w:t>
            </w:r>
          </w:p>
        </w:tc>
        <w:tc>
          <w:tcPr>
            <w:tcW w:w="13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3"/>
              </w:rPr>
              <w:t>months</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7"/>
              </w:rPr>
              <w:t>within 5 years</w:t>
            </w:r>
          </w:p>
        </w:tc>
        <w:tc>
          <w:tcPr>
            <w:tcW w:w="1320" w:type="dxa"/>
            <w:vAlign w:val="bottom"/>
          </w:tcPr>
          <w:p>
            <w:pPr>
              <w:jc w:val="right"/>
              <w:ind w:right="352"/>
              <w:spacing w:after="0"/>
              <w:rPr>
                <w:sz w:val="20"/>
                <w:szCs w:val="20"/>
                <w:color w:val="auto"/>
              </w:rPr>
            </w:pPr>
            <w:r>
              <w:rPr>
                <w:rFonts w:ascii="Arial" w:cs="Arial" w:eastAsia="Arial" w:hAnsi="Arial"/>
                <w:sz w:val="18"/>
                <w:szCs w:val="18"/>
                <w:b w:val="1"/>
                <w:bCs w:val="1"/>
                <w:color w:val="auto"/>
              </w:rPr>
              <w:t>5 years</w:t>
            </w:r>
          </w:p>
        </w:tc>
      </w:tr>
      <w:tr>
        <w:trPr>
          <w:trHeight w:val="164"/>
        </w:trPr>
        <w:tc>
          <w:tcPr>
            <w:tcW w:w="4620" w:type="dxa"/>
            <w:vAlign w:val="bottom"/>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r>
      <w:tr>
        <w:trPr>
          <w:trHeight w:val="383"/>
        </w:trPr>
        <w:tc>
          <w:tcPr>
            <w:tcW w:w="4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80" w:type="dxa"/>
            <w:vAlign w:val="bottom"/>
            <w:gridSpan w:val="6"/>
          </w:tcPr>
          <w:p>
            <w:pPr>
              <w:jc w:val="center"/>
              <w:ind w:right="80"/>
              <w:spacing w:after="0"/>
              <w:rPr>
                <w:sz w:val="20"/>
                <w:szCs w:val="20"/>
                <w:color w:val="auto"/>
              </w:rPr>
            </w:pPr>
            <w:r>
              <w:rPr>
                <w:rFonts w:ascii="Arial" w:cs="Arial" w:eastAsia="Arial" w:hAnsi="Arial"/>
                <w:sz w:val="18"/>
                <w:szCs w:val="18"/>
                <w:i w:val="1"/>
                <w:iCs w:val="1"/>
                <w:color w:val="auto"/>
                <w:w w:val="87"/>
              </w:rPr>
              <w:t>(U.S. Dollars in thousands, except percentages)</w:t>
            </w:r>
          </w:p>
        </w:tc>
        <w:tc>
          <w:tcPr>
            <w:tcW w:w="1320" w:type="dxa"/>
            <w:vAlign w:val="bottom"/>
          </w:tcPr>
          <w:p>
            <w:pPr>
              <w:spacing w:after="0"/>
              <w:rPr>
                <w:sz w:val="24"/>
                <w:szCs w:val="24"/>
                <w:color w:val="auto"/>
              </w:rPr>
            </w:pPr>
          </w:p>
        </w:tc>
      </w:tr>
      <w:tr>
        <w:trPr>
          <w:trHeight w:val="270"/>
        </w:trPr>
        <w:tc>
          <w:tcPr>
            <w:tcW w:w="4620" w:type="dxa"/>
            <w:vAlign w:val="bottom"/>
          </w:tcPr>
          <w:p>
            <w:pPr>
              <w:ind w:left="40"/>
              <w:spacing w:after="0"/>
              <w:rPr>
                <w:sz w:val="20"/>
                <w:szCs w:val="20"/>
                <w:color w:val="auto"/>
              </w:rPr>
            </w:pPr>
            <w:r>
              <w:rPr>
                <w:rFonts w:ascii="Arial" w:cs="Arial" w:eastAsia="Arial" w:hAnsi="Arial"/>
                <w:sz w:val="18"/>
                <w:szCs w:val="18"/>
                <w:color w:val="auto"/>
              </w:rPr>
              <w:t>Loans</w:t>
            </w:r>
          </w:p>
        </w:tc>
        <w:tc>
          <w:tcPr>
            <w:tcW w:w="1320" w:type="dxa"/>
            <w:vAlign w:val="bottom"/>
          </w:tcPr>
          <w:p>
            <w:pPr>
              <w:jc w:val="right"/>
              <w:spacing w:after="0"/>
              <w:rPr>
                <w:sz w:val="20"/>
                <w:szCs w:val="20"/>
                <w:color w:val="auto"/>
              </w:rPr>
            </w:pPr>
            <w:r>
              <w:rPr>
                <w:rFonts w:ascii="Arial" w:cs="Arial" w:eastAsia="Arial" w:hAnsi="Arial"/>
                <w:sz w:val="18"/>
                <w:szCs w:val="18"/>
                <w:color w:val="auto"/>
              </w:rPr>
              <w:t>US$3,147,982</w:t>
            </w:r>
          </w:p>
        </w:tc>
        <w:tc>
          <w:tcPr>
            <w:tcW w:w="60" w:type="dxa"/>
            <w:vAlign w:val="bottom"/>
          </w:tcPr>
          <w:p>
            <w:pPr>
              <w:spacing w:after="0"/>
              <w:rPr>
                <w:sz w:val="23"/>
                <w:szCs w:val="23"/>
                <w:color w:val="auto"/>
              </w:rPr>
            </w:pPr>
          </w:p>
        </w:tc>
        <w:tc>
          <w:tcPr>
            <w:tcW w:w="1360" w:type="dxa"/>
            <w:vAlign w:val="bottom"/>
            <w:gridSpan w:val="2"/>
          </w:tcPr>
          <w:p>
            <w:pPr>
              <w:ind w:left="280"/>
              <w:spacing w:after="0"/>
              <w:rPr>
                <w:sz w:val="20"/>
                <w:szCs w:val="20"/>
                <w:color w:val="auto"/>
              </w:rPr>
            </w:pPr>
            <w:r>
              <w:rPr>
                <w:rFonts w:ascii="Arial" w:cs="Arial" w:eastAsia="Arial" w:hAnsi="Arial"/>
                <w:sz w:val="18"/>
                <w:szCs w:val="18"/>
                <w:color w:val="auto"/>
                <w:w w:val="92"/>
              </w:rPr>
              <w:t>US$1,079,260</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US$888,969</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US$720,813</w:t>
            </w:r>
          </w:p>
        </w:tc>
        <w:tc>
          <w:tcPr>
            <w:tcW w:w="1320" w:type="dxa"/>
            <w:vAlign w:val="bottom"/>
          </w:tcPr>
          <w:p>
            <w:pPr>
              <w:ind w:left="440"/>
              <w:spacing w:after="0"/>
              <w:rPr>
                <w:sz w:val="20"/>
                <w:szCs w:val="20"/>
                <w:color w:val="auto"/>
              </w:rPr>
            </w:pPr>
            <w:r>
              <w:rPr>
                <w:rFonts w:ascii="Arial" w:cs="Arial" w:eastAsia="Arial" w:hAnsi="Arial"/>
                <w:sz w:val="18"/>
                <w:szCs w:val="18"/>
                <w:color w:val="auto"/>
                <w:w w:val="85"/>
              </w:rPr>
              <w:t>US$458,940</w:t>
            </w:r>
          </w:p>
        </w:tc>
      </w:tr>
      <w:tr>
        <w:trPr>
          <w:trHeight w:val="270"/>
        </w:trPr>
        <w:tc>
          <w:tcPr>
            <w:tcW w:w="4620" w:type="dxa"/>
            <w:vAlign w:val="bottom"/>
          </w:tcPr>
          <w:p>
            <w:pPr>
              <w:ind w:left="40"/>
              <w:spacing w:after="0"/>
              <w:rPr>
                <w:sz w:val="20"/>
                <w:szCs w:val="20"/>
                <w:color w:val="auto"/>
              </w:rPr>
            </w:pPr>
            <w:r>
              <w:rPr>
                <w:rFonts w:ascii="Arial" w:cs="Arial" w:eastAsia="Arial" w:hAnsi="Arial"/>
                <w:sz w:val="18"/>
                <w:szCs w:val="18"/>
                <w:color w:val="auto"/>
              </w:rPr>
              <w:t>Discounted notes (1)</w:t>
            </w:r>
          </w:p>
        </w:tc>
        <w:tc>
          <w:tcPr>
            <w:tcW w:w="1320" w:type="dxa"/>
            <w:vAlign w:val="bottom"/>
          </w:tcPr>
          <w:p>
            <w:pPr>
              <w:jc w:val="right"/>
              <w:spacing w:after="0"/>
              <w:rPr>
                <w:sz w:val="20"/>
                <w:szCs w:val="20"/>
                <w:color w:val="auto"/>
              </w:rPr>
            </w:pPr>
            <w:r>
              <w:rPr>
                <w:rFonts w:ascii="Arial" w:cs="Arial" w:eastAsia="Arial" w:hAnsi="Arial"/>
                <w:sz w:val="18"/>
                <w:szCs w:val="18"/>
                <w:color w:val="auto"/>
              </w:rPr>
              <w:t>170,378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153,903</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14,959</w:t>
            </w:r>
          </w:p>
        </w:tc>
        <w:tc>
          <w:tcPr>
            <w:tcW w:w="60" w:type="dxa"/>
            <w:vAlign w:val="bottom"/>
          </w:tcPr>
          <w:p>
            <w:pPr>
              <w:spacing w:after="0"/>
              <w:rPr>
                <w:sz w:val="23"/>
                <w:szCs w:val="23"/>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1,516</w:t>
            </w:r>
          </w:p>
        </w:tc>
        <w:tc>
          <w:tcPr>
            <w:tcW w:w="13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70"/>
        </w:trPr>
        <w:tc>
          <w:tcPr>
            <w:tcW w:w="4620" w:type="dxa"/>
            <w:vAlign w:val="bottom"/>
          </w:tcPr>
          <w:p>
            <w:pPr>
              <w:ind w:left="40"/>
              <w:spacing w:after="0"/>
              <w:rPr>
                <w:sz w:val="20"/>
                <w:szCs w:val="20"/>
                <w:color w:val="auto"/>
              </w:rPr>
            </w:pPr>
            <w:r>
              <w:rPr>
                <w:rFonts w:ascii="Arial" w:cs="Arial" w:eastAsia="Arial" w:hAnsi="Arial"/>
                <w:sz w:val="18"/>
                <w:szCs w:val="18"/>
                <w:color w:val="auto"/>
              </w:rPr>
              <w:t>Advances and overdrafts</w:t>
            </w:r>
          </w:p>
        </w:tc>
        <w:tc>
          <w:tcPr>
            <w:tcW w:w="1320" w:type="dxa"/>
            <w:vAlign w:val="bottom"/>
          </w:tcPr>
          <w:p>
            <w:pPr>
              <w:jc w:val="right"/>
              <w:spacing w:after="0"/>
              <w:rPr>
                <w:sz w:val="20"/>
                <w:szCs w:val="20"/>
                <w:color w:val="auto"/>
              </w:rPr>
            </w:pPr>
            <w:r>
              <w:rPr>
                <w:rFonts w:ascii="Arial" w:cs="Arial" w:eastAsia="Arial" w:hAnsi="Arial"/>
                <w:sz w:val="18"/>
                <w:szCs w:val="18"/>
                <w:color w:val="auto"/>
              </w:rPr>
              <w:t>181,986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181,986</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3"/>
                <w:szCs w:val="23"/>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13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70"/>
        </w:trPr>
        <w:tc>
          <w:tcPr>
            <w:tcW w:w="4620" w:type="dxa"/>
            <w:vAlign w:val="bottom"/>
          </w:tcPr>
          <w:p>
            <w:pPr>
              <w:ind w:left="40"/>
              <w:spacing w:after="0"/>
              <w:rPr>
                <w:sz w:val="20"/>
                <w:szCs w:val="20"/>
                <w:color w:val="auto"/>
              </w:rPr>
            </w:pPr>
            <w:r>
              <w:rPr>
                <w:rFonts w:ascii="Arial" w:cs="Arial" w:eastAsia="Arial" w:hAnsi="Arial"/>
                <w:sz w:val="18"/>
                <w:szCs w:val="18"/>
                <w:color w:val="auto"/>
              </w:rPr>
              <w:t>Leasing transactions (1)</w:t>
            </w:r>
          </w:p>
        </w:tc>
        <w:tc>
          <w:tcPr>
            <w:tcW w:w="1320" w:type="dxa"/>
            <w:vAlign w:val="bottom"/>
          </w:tcPr>
          <w:p>
            <w:pPr>
              <w:jc w:val="right"/>
              <w:spacing w:after="0"/>
              <w:rPr>
                <w:sz w:val="20"/>
                <w:szCs w:val="20"/>
                <w:color w:val="auto"/>
              </w:rPr>
            </w:pPr>
            <w:r>
              <w:rPr>
                <w:rFonts w:ascii="Arial" w:cs="Arial" w:eastAsia="Arial" w:hAnsi="Arial"/>
                <w:sz w:val="18"/>
                <w:szCs w:val="18"/>
                <w:color w:val="auto"/>
              </w:rPr>
              <w:t>372,380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36,494</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87,044</w:t>
            </w:r>
          </w:p>
        </w:tc>
        <w:tc>
          <w:tcPr>
            <w:tcW w:w="60" w:type="dxa"/>
            <w:vAlign w:val="bottom"/>
          </w:tcPr>
          <w:p>
            <w:pPr>
              <w:spacing w:after="0"/>
              <w:rPr>
                <w:sz w:val="23"/>
                <w:szCs w:val="23"/>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224,577</w:t>
            </w:r>
          </w:p>
        </w:tc>
        <w:tc>
          <w:tcPr>
            <w:tcW w:w="1320" w:type="dxa"/>
            <w:vAlign w:val="bottom"/>
          </w:tcPr>
          <w:p>
            <w:pPr>
              <w:jc w:val="right"/>
              <w:spacing w:after="0"/>
              <w:rPr>
                <w:sz w:val="20"/>
                <w:szCs w:val="20"/>
                <w:color w:val="auto"/>
              </w:rPr>
            </w:pPr>
            <w:r>
              <w:rPr>
                <w:rFonts w:ascii="Arial" w:cs="Arial" w:eastAsia="Arial" w:hAnsi="Arial"/>
                <w:sz w:val="18"/>
                <w:szCs w:val="18"/>
                <w:color w:val="auto"/>
              </w:rPr>
              <w:t>24,265</w:t>
            </w:r>
          </w:p>
        </w:tc>
      </w:tr>
      <w:tr>
        <w:trPr>
          <w:trHeight w:val="270"/>
        </w:trPr>
        <w:tc>
          <w:tcPr>
            <w:tcW w:w="4620" w:type="dxa"/>
            <w:vAlign w:val="bottom"/>
          </w:tcPr>
          <w:p>
            <w:pPr>
              <w:ind w:left="40"/>
              <w:spacing w:after="0"/>
              <w:rPr>
                <w:sz w:val="20"/>
                <w:szCs w:val="20"/>
                <w:color w:val="auto"/>
              </w:rPr>
            </w:pPr>
            <w:r>
              <w:rPr>
                <w:rFonts w:ascii="Arial" w:cs="Arial" w:eastAsia="Arial" w:hAnsi="Arial"/>
                <w:sz w:val="18"/>
                <w:szCs w:val="18"/>
                <w:color w:val="auto"/>
              </w:rPr>
              <w:t>Factoring</w:t>
            </w:r>
          </w:p>
        </w:tc>
        <w:tc>
          <w:tcPr>
            <w:tcW w:w="1320" w:type="dxa"/>
            <w:vAlign w:val="bottom"/>
          </w:tcPr>
          <w:p>
            <w:pPr>
              <w:jc w:val="right"/>
              <w:spacing w:after="0"/>
              <w:rPr>
                <w:sz w:val="20"/>
                <w:szCs w:val="20"/>
                <w:color w:val="auto"/>
              </w:rPr>
            </w:pPr>
            <w:r>
              <w:rPr>
                <w:rFonts w:ascii="Arial" w:cs="Arial" w:eastAsia="Arial" w:hAnsi="Arial"/>
                <w:sz w:val="18"/>
                <w:szCs w:val="18"/>
                <w:color w:val="auto"/>
              </w:rPr>
              <w:t>56,446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26,378</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29,661</w:t>
            </w:r>
          </w:p>
        </w:tc>
        <w:tc>
          <w:tcPr>
            <w:tcW w:w="60" w:type="dxa"/>
            <w:vAlign w:val="bottom"/>
          </w:tcPr>
          <w:p>
            <w:pPr>
              <w:spacing w:after="0"/>
              <w:rPr>
                <w:sz w:val="23"/>
                <w:szCs w:val="23"/>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407</w:t>
            </w:r>
          </w:p>
        </w:tc>
        <w:tc>
          <w:tcPr>
            <w:tcW w:w="13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70"/>
        </w:trPr>
        <w:tc>
          <w:tcPr>
            <w:tcW w:w="4620" w:type="dxa"/>
            <w:vAlign w:val="bottom"/>
          </w:tcPr>
          <w:p>
            <w:pPr>
              <w:ind w:left="40"/>
              <w:spacing w:after="0"/>
              <w:rPr>
                <w:sz w:val="20"/>
                <w:szCs w:val="20"/>
                <w:color w:val="auto"/>
              </w:rPr>
            </w:pPr>
            <w:r>
              <w:rPr>
                <w:rFonts w:ascii="Arial" w:cs="Arial" w:eastAsia="Arial" w:hAnsi="Arial"/>
                <w:sz w:val="18"/>
                <w:szCs w:val="18"/>
                <w:color w:val="auto"/>
              </w:rPr>
              <w:t>Refinanced loans</w:t>
            </w:r>
          </w:p>
        </w:tc>
        <w:tc>
          <w:tcPr>
            <w:tcW w:w="1320" w:type="dxa"/>
            <w:vAlign w:val="bottom"/>
          </w:tcPr>
          <w:p>
            <w:pPr>
              <w:jc w:val="right"/>
              <w:spacing w:after="0"/>
              <w:rPr>
                <w:sz w:val="20"/>
                <w:szCs w:val="20"/>
                <w:color w:val="auto"/>
              </w:rPr>
            </w:pPr>
            <w:r>
              <w:rPr>
                <w:rFonts w:ascii="Arial" w:cs="Arial" w:eastAsia="Arial" w:hAnsi="Arial"/>
                <w:sz w:val="18"/>
                <w:szCs w:val="18"/>
                <w:color w:val="auto"/>
              </w:rPr>
              <w:t>296,116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114,153</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53,153</w:t>
            </w:r>
          </w:p>
        </w:tc>
        <w:tc>
          <w:tcPr>
            <w:tcW w:w="60" w:type="dxa"/>
            <w:vAlign w:val="bottom"/>
          </w:tcPr>
          <w:p>
            <w:pPr>
              <w:spacing w:after="0"/>
              <w:rPr>
                <w:sz w:val="23"/>
                <w:szCs w:val="23"/>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77,641</w:t>
            </w:r>
          </w:p>
        </w:tc>
        <w:tc>
          <w:tcPr>
            <w:tcW w:w="1320" w:type="dxa"/>
            <w:vAlign w:val="bottom"/>
          </w:tcPr>
          <w:p>
            <w:pPr>
              <w:jc w:val="right"/>
              <w:spacing w:after="0"/>
              <w:rPr>
                <w:sz w:val="20"/>
                <w:szCs w:val="20"/>
                <w:color w:val="auto"/>
              </w:rPr>
            </w:pPr>
            <w:r>
              <w:rPr>
                <w:rFonts w:ascii="Arial" w:cs="Arial" w:eastAsia="Arial" w:hAnsi="Arial"/>
                <w:sz w:val="18"/>
                <w:szCs w:val="18"/>
                <w:color w:val="auto"/>
              </w:rPr>
              <w:t>51,169</w:t>
            </w:r>
          </w:p>
        </w:tc>
      </w:tr>
      <w:tr>
        <w:trPr>
          <w:trHeight w:val="164"/>
        </w:trPr>
        <w:tc>
          <w:tcPr>
            <w:tcW w:w="4620" w:type="dxa"/>
            <w:vAlign w:val="bottom"/>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r>
      <w:tr>
        <w:trPr>
          <w:trHeight w:val="383"/>
        </w:trPr>
        <w:tc>
          <w:tcPr>
            <w:tcW w:w="4620" w:type="dxa"/>
            <w:vAlign w:val="bottom"/>
          </w:tcPr>
          <w:p>
            <w:pPr>
              <w:ind w:left="200"/>
              <w:spacing w:after="0"/>
              <w:rPr>
                <w:sz w:val="20"/>
                <w:szCs w:val="20"/>
                <w:color w:val="auto"/>
              </w:rPr>
            </w:pPr>
            <w:r>
              <w:rPr>
                <w:rFonts w:ascii="Arial" w:cs="Arial" w:eastAsia="Arial" w:hAnsi="Arial"/>
                <w:sz w:val="18"/>
                <w:szCs w:val="18"/>
                <w:color w:val="auto"/>
              </w:rPr>
              <w:t>Total</w:t>
            </w:r>
          </w:p>
        </w:tc>
        <w:tc>
          <w:tcPr>
            <w:tcW w:w="1320" w:type="dxa"/>
            <w:vAlign w:val="bottom"/>
          </w:tcPr>
          <w:p>
            <w:pPr>
              <w:jc w:val="right"/>
              <w:spacing w:after="0"/>
              <w:rPr>
                <w:sz w:val="20"/>
                <w:szCs w:val="20"/>
                <w:color w:val="auto"/>
              </w:rPr>
            </w:pPr>
            <w:r>
              <w:rPr>
                <w:rFonts w:ascii="Arial" w:cs="Arial" w:eastAsia="Arial" w:hAnsi="Arial"/>
                <w:sz w:val="18"/>
                <w:szCs w:val="18"/>
                <w:color w:val="auto"/>
              </w:rPr>
              <w:t>US$4,225,288</w:t>
            </w:r>
          </w:p>
        </w:tc>
        <w:tc>
          <w:tcPr>
            <w:tcW w:w="60" w:type="dxa"/>
            <w:vAlign w:val="bottom"/>
          </w:tcPr>
          <w:p>
            <w:pPr>
              <w:spacing w:after="0"/>
              <w:rPr>
                <w:sz w:val="24"/>
                <w:szCs w:val="24"/>
                <w:color w:val="auto"/>
              </w:rPr>
            </w:pPr>
          </w:p>
        </w:tc>
        <w:tc>
          <w:tcPr>
            <w:tcW w:w="1360" w:type="dxa"/>
            <w:vAlign w:val="bottom"/>
            <w:gridSpan w:val="2"/>
          </w:tcPr>
          <w:p>
            <w:pPr>
              <w:ind w:left="280"/>
              <w:spacing w:after="0"/>
              <w:rPr>
                <w:sz w:val="20"/>
                <w:szCs w:val="20"/>
                <w:color w:val="auto"/>
              </w:rPr>
            </w:pPr>
            <w:r>
              <w:rPr>
                <w:rFonts w:ascii="Arial" w:cs="Arial" w:eastAsia="Arial" w:hAnsi="Arial"/>
                <w:sz w:val="18"/>
                <w:szCs w:val="18"/>
                <w:color w:val="auto"/>
                <w:w w:val="92"/>
              </w:rPr>
              <w:t>US$1,592,174</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US$1,073,786</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US$1,024,954</w:t>
            </w:r>
          </w:p>
        </w:tc>
        <w:tc>
          <w:tcPr>
            <w:tcW w:w="1320" w:type="dxa"/>
            <w:vAlign w:val="bottom"/>
          </w:tcPr>
          <w:p>
            <w:pPr>
              <w:ind w:left="440"/>
              <w:spacing w:after="0"/>
              <w:rPr>
                <w:sz w:val="20"/>
                <w:szCs w:val="20"/>
                <w:color w:val="auto"/>
              </w:rPr>
            </w:pPr>
            <w:r>
              <w:rPr>
                <w:rFonts w:ascii="Arial" w:cs="Arial" w:eastAsia="Arial" w:hAnsi="Arial"/>
                <w:sz w:val="18"/>
                <w:szCs w:val="18"/>
                <w:color w:val="auto"/>
                <w:w w:val="85"/>
              </w:rPr>
              <w:t>US$534,374</w:t>
            </w:r>
          </w:p>
        </w:tc>
      </w:tr>
      <w:tr>
        <w:trPr>
          <w:trHeight w:val="174"/>
        </w:trPr>
        <w:tc>
          <w:tcPr>
            <w:tcW w:w="462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r>
      <w:tr>
        <w:trPr>
          <w:trHeight w:val="589"/>
        </w:trPr>
        <w:tc>
          <w:tcPr>
            <w:tcW w:w="4620" w:type="dxa"/>
            <w:vAlign w:val="bottom"/>
          </w:tcPr>
          <w:p>
            <w:pPr>
              <w:ind w:left="40"/>
              <w:spacing w:after="0"/>
              <w:rPr>
                <w:sz w:val="20"/>
                <w:szCs w:val="20"/>
                <w:color w:val="auto"/>
              </w:rPr>
            </w:pPr>
            <w:r>
              <w:rPr>
                <w:rFonts w:ascii="Arial" w:cs="Arial" w:eastAsia="Arial" w:hAnsi="Arial"/>
                <w:sz w:val="18"/>
                <w:szCs w:val="18"/>
                <w:color w:val="auto"/>
              </w:rPr>
              <w:t>Percentage of total performing loan portfolio</w:t>
            </w:r>
          </w:p>
        </w:tc>
        <w:tc>
          <w:tcPr>
            <w:tcW w:w="1320" w:type="dxa"/>
            <w:vAlign w:val="bottom"/>
          </w:tcPr>
          <w:p>
            <w:pPr>
              <w:jc w:val="right"/>
              <w:spacing w:after="0"/>
              <w:rPr>
                <w:sz w:val="20"/>
                <w:szCs w:val="20"/>
                <w:color w:val="auto"/>
              </w:rPr>
            </w:pPr>
            <w:r>
              <w:rPr>
                <w:rFonts w:ascii="Arial" w:cs="Arial" w:eastAsia="Arial" w:hAnsi="Arial"/>
                <w:sz w:val="18"/>
                <w:szCs w:val="18"/>
                <w:color w:val="auto"/>
              </w:rPr>
              <w:t>100.00%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37.68%</w:t>
            </w:r>
          </w:p>
        </w:tc>
        <w:tc>
          <w:tcPr>
            <w:tcW w:w="60" w:type="dxa"/>
            <w:vAlign w:val="bottom"/>
          </w:tcPr>
          <w:p>
            <w:pPr>
              <w:spacing w:after="0"/>
              <w:rPr>
                <w:sz w:val="24"/>
                <w:szCs w:val="24"/>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25.41%</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24.26%</w:t>
            </w:r>
          </w:p>
        </w:tc>
        <w:tc>
          <w:tcPr>
            <w:tcW w:w="1320" w:type="dxa"/>
            <w:vAlign w:val="bottom"/>
          </w:tcPr>
          <w:p>
            <w:pPr>
              <w:jc w:val="right"/>
              <w:spacing w:after="0"/>
              <w:rPr>
                <w:sz w:val="20"/>
                <w:szCs w:val="20"/>
                <w:color w:val="auto"/>
              </w:rPr>
            </w:pPr>
            <w:r>
              <w:rPr>
                <w:rFonts w:ascii="Arial" w:cs="Arial" w:eastAsia="Arial" w:hAnsi="Arial"/>
                <w:sz w:val="18"/>
                <w:szCs w:val="18"/>
                <w:color w:val="auto"/>
              </w:rPr>
              <w:t>12.65%</w:t>
            </w:r>
          </w:p>
        </w:tc>
      </w:tr>
      <w:tr>
        <w:trPr>
          <w:trHeight w:val="243"/>
        </w:trPr>
        <w:tc>
          <w:tcPr>
            <w:tcW w:w="4620" w:type="dxa"/>
            <w:vAlign w:val="bottom"/>
          </w:tcPr>
          <w:p>
            <w:pPr>
              <w:spacing w:after="0"/>
              <w:rPr>
                <w:sz w:val="20"/>
                <w:szCs w:val="20"/>
                <w:color w:val="auto"/>
              </w:rPr>
            </w:pPr>
            <w:r>
              <w:rPr>
                <w:rFonts w:ascii="Arial" w:cs="Arial" w:eastAsia="Arial" w:hAnsi="Arial"/>
                <w:sz w:val="18"/>
                <w:szCs w:val="18"/>
                <w:color w:val="auto"/>
              </w:rPr>
              <w:t>___________________</w:t>
            </w:r>
          </w:p>
        </w:tc>
        <w:tc>
          <w:tcPr>
            <w:tcW w:w="1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-2943860</wp:posOffset>
            </wp:positionV>
            <wp:extent cx="34290" cy="342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3748405</wp:posOffset>
            </wp:positionH>
            <wp:positionV relativeFrom="paragraph">
              <wp:posOffset>-2308860</wp:posOffset>
            </wp:positionV>
            <wp:extent cx="34290" cy="342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4614545</wp:posOffset>
            </wp:positionH>
            <wp:positionV relativeFrom="paragraph">
              <wp:posOffset>-2308860</wp:posOffset>
            </wp:positionV>
            <wp:extent cx="34290" cy="342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-2308860</wp:posOffset>
            </wp:positionV>
            <wp:extent cx="34290" cy="342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-2308860</wp:posOffset>
            </wp:positionV>
            <wp:extent cx="34290" cy="342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-2308860</wp:posOffset>
            </wp:positionV>
            <wp:extent cx="34290" cy="342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3748405</wp:posOffset>
            </wp:positionH>
            <wp:positionV relativeFrom="paragraph">
              <wp:posOffset>-920115</wp:posOffset>
            </wp:positionV>
            <wp:extent cx="34290" cy="342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4614545</wp:posOffset>
            </wp:positionH>
            <wp:positionV relativeFrom="paragraph">
              <wp:posOffset>-920115</wp:posOffset>
            </wp:positionV>
            <wp:extent cx="34290" cy="342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-920115</wp:posOffset>
            </wp:positionV>
            <wp:extent cx="34290" cy="342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-920115</wp:posOffset>
            </wp:positionV>
            <wp:extent cx="34290" cy="342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-920115</wp:posOffset>
            </wp:positionV>
            <wp:extent cx="34290" cy="342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-542925</wp:posOffset>
            </wp:positionV>
            <wp:extent cx="127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-542925</wp:posOffset>
            </wp:positionV>
            <wp:extent cx="127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-542925</wp:posOffset>
            </wp:positionV>
            <wp:extent cx="12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-542925</wp:posOffset>
            </wp:positionV>
            <wp:extent cx="12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-542925</wp:posOffset>
            </wp:positionV>
            <wp:extent cx="12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-542925</wp:posOffset>
            </wp:positionV>
            <wp:extent cx="12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-542925</wp:posOffset>
            </wp:positionV>
            <wp:extent cx="12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-542925</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-542925</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-542925</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80" w:hanging="572"/>
        <w:spacing w:after="0"/>
        <w:tabs>
          <w:tab w:leader="none" w:pos="5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Figures are net of unearned interest.</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Sensitivity of the Loan Portfolio</w:t>
      </w:r>
    </w:p>
    <w:p>
      <w:pPr>
        <w:spacing w:after="0" w:line="225" w:lineRule="exact"/>
        <w:rPr>
          <w:sz w:val="20"/>
          <w:szCs w:val="20"/>
          <w:color w:val="auto"/>
        </w:rPr>
      </w:pPr>
    </w:p>
    <w:p>
      <w:pPr>
        <w:jc w:val="both"/>
        <w:ind w:firstLine="247"/>
        <w:spacing w:after="0" w:line="268" w:lineRule="auto"/>
        <w:rPr>
          <w:sz w:val="20"/>
          <w:szCs w:val="20"/>
          <w:color w:val="auto"/>
        </w:rPr>
      </w:pPr>
      <w:r>
        <w:rPr>
          <w:rFonts w:ascii="Arial" w:cs="Arial" w:eastAsia="Arial" w:hAnsi="Arial"/>
          <w:sz w:val="18"/>
          <w:szCs w:val="18"/>
          <w:color w:val="auto"/>
        </w:rPr>
        <w:t>The following table sets forth the interest rate sensitivity of the loan portfolio at December 31, 2003, by currency and by the time remaining to maturity over one year.</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70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Amount at December</w:t>
            </w:r>
          </w:p>
        </w:tc>
        <w:tc>
          <w:tcPr>
            <w:tcW w:w="1660" w:type="dxa"/>
            <w:vAlign w:val="bottom"/>
          </w:tcPr>
          <w:p>
            <w:pPr>
              <w:jc w:val="right"/>
              <w:ind w:right="92"/>
              <w:spacing w:after="0"/>
              <w:rPr>
                <w:sz w:val="20"/>
                <w:szCs w:val="20"/>
                <w:color w:val="auto"/>
              </w:rPr>
            </w:pPr>
            <w:r>
              <w:rPr>
                <w:rFonts w:ascii="Arial" w:cs="Arial" w:eastAsia="Arial" w:hAnsi="Arial"/>
                <w:sz w:val="18"/>
                <w:szCs w:val="18"/>
                <w:b w:val="1"/>
                <w:bCs w:val="1"/>
                <w:color w:val="auto"/>
              </w:rPr>
              <w:t>Maturing After 1</w:t>
            </w:r>
          </w:p>
        </w:tc>
      </w:tr>
      <w:tr>
        <w:trPr>
          <w:trHeight w:val="228"/>
        </w:trPr>
        <w:tc>
          <w:tcPr>
            <w:tcW w:w="8000" w:type="dxa"/>
            <w:vAlign w:val="bottom"/>
          </w:tcPr>
          <w:p>
            <w:pPr>
              <w:spacing w:after="0"/>
              <w:rPr>
                <w:sz w:val="19"/>
                <w:szCs w:val="19"/>
                <w:color w:val="auto"/>
              </w:rPr>
            </w:pPr>
          </w:p>
        </w:tc>
        <w:tc>
          <w:tcPr>
            <w:tcW w:w="1660" w:type="dxa"/>
            <w:vAlign w:val="bottom"/>
          </w:tcPr>
          <w:p>
            <w:pPr>
              <w:jc w:val="right"/>
              <w:ind w:right="452"/>
              <w:spacing w:after="0"/>
              <w:rPr>
                <w:sz w:val="20"/>
                <w:szCs w:val="20"/>
                <w:color w:val="auto"/>
              </w:rPr>
            </w:pPr>
            <w:r>
              <w:rPr>
                <w:rFonts w:ascii="Arial" w:cs="Arial" w:eastAsia="Arial" w:hAnsi="Arial"/>
                <w:sz w:val="18"/>
                <w:szCs w:val="18"/>
                <w:b w:val="1"/>
                <w:bCs w:val="1"/>
                <w:color w:val="auto"/>
              </w:rPr>
              <w:t>31, 2003</w:t>
            </w:r>
          </w:p>
        </w:tc>
        <w:tc>
          <w:tcPr>
            <w:tcW w:w="40" w:type="dxa"/>
            <w:vAlign w:val="bottom"/>
          </w:tcPr>
          <w:p>
            <w:pPr>
              <w:spacing w:after="0"/>
              <w:rPr>
                <w:sz w:val="19"/>
                <w:szCs w:val="19"/>
                <w:color w:val="auto"/>
              </w:rPr>
            </w:pPr>
          </w:p>
        </w:tc>
        <w:tc>
          <w:tcPr>
            <w:tcW w:w="1660" w:type="dxa"/>
            <w:vAlign w:val="bottom"/>
          </w:tcPr>
          <w:p>
            <w:pPr>
              <w:jc w:val="right"/>
              <w:ind w:right="612"/>
              <w:spacing w:after="0"/>
              <w:rPr>
                <w:sz w:val="20"/>
                <w:szCs w:val="20"/>
                <w:color w:val="auto"/>
              </w:rPr>
            </w:pPr>
            <w:r>
              <w:rPr>
                <w:rFonts w:ascii="Arial" w:cs="Arial" w:eastAsia="Arial" w:hAnsi="Arial"/>
                <w:sz w:val="18"/>
                <w:szCs w:val="18"/>
                <w:b w:val="1"/>
                <w:bCs w:val="1"/>
                <w:color w:val="auto"/>
              </w:rPr>
              <w:t>year</w:t>
            </w:r>
          </w:p>
        </w:tc>
      </w:tr>
      <w:tr>
        <w:trPr>
          <w:trHeight w:val="164"/>
        </w:trPr>
        <w:tc>
          <w:tcPr>
            <w:tcW w:w="800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r>
      <w:tr>
        <w:trPr>
          <w:trHeight w:val="383"/>
        </w:trPr>
        <w:tc>
          <w:tcPr>
            <w:tcW w:w="8000" w:type="dxa"/>
            <w:vAlign w:val="bottom"/>
          </w:tcPr>
          <w:p>
            <w:pPr>
              <w:spacing w:after="0"/>
              <w:rPr>
                <w:sz w:val="24"/>
                <w:szCs w:val="24"/>
                <w:color w:val="auto"/>
              </w:rPr>
            </w:pPr>
          </w:p>
        </w:tc>
        <w:tc>
          <w:tcPr>
            <w:tcW w:w="3360" w:type="dxa"/>
            <w:vAlign w:val="bottom"/>
            <w:gridSpan w:val="3"/>
          </w:tcPr>
          <w:p>
            <w:pPr>
              <w:jc w:val="right"/>
              <w:ind w:right="632"/>
              <w:spacing w:after="0"/>
              <w:rPr>
                <w:sz w:val="20"/>
                <w:szCs w:val="20"/>
                <w:color w:val="auto"/>
              </w:rPr>
            </w:pPr>
            <w:r>
              <w:rPr>
                <w:rFonts w:ascii="Arial" w:cs="Arial" w:eastAsia="Arial" w:hAnsi="Arial"/>
                <w:sz w:val="18"/>
                <w:szCs w:val="18"/>
                <w:i w:val="1"/>
                <w:iCs w:val="1"/>
                <w:color w:val="auto"/>
              </w:rPr>
              <w:t>(U.S. Dollars in thousands)</w:t>
            </w:r>
          </w:p>
        </w:tc>
      </w:tr>
      <w:tr>
        <w:trPr>
          <w:trHeight w:val="270"/>
        </w:trPr>
        <w:tc>
          <w:tcPr>
            <w:tcW w:w="8000" w:type="dxa"/>
            <w:vAlign w:val="bottom"/>
          </w:tcPr>
          <w:p>
            <w:pPr>
              <w:spacing w:after="0"/>
              <w:rPr>
                <w:sz w:val="20"/>
                <w:szCs w:val="20"/>
                <w:color w:val="auto"/>
              </w:rPr>
            </w:pPr>
            <w:r>
              <w:rPr>
                <w:rFonts w:ascii="Arial" w:cs="Arial" w:eastAsia="Arial" w:hAnsi="Arial"/>
                <w:sz w:val="18"/>
                <w:szCs w:val="18"/>
                <w:b w:val="1"/>
                <w:bCs w:val="1"/>
                <w:color w:val="auto"/>
              </w:rPr>
              <w:t>Variable Rate</w:t>
            </w:r>
          </w:p>
        </w:tc>
        <w:tc>
          <w:tcPr>
            <w:tcW w:w="1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Nuevo Sol-denominated</w:t>
            </w: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US$ 116,750</w:t>
            </w:r>
          </w:p>
        </w:tc>
        <w:tc>
          <w:tcPr>
            <w:tcW w:w="1660" w:type="dxa"/>
            <w:vAlign w:val="bottom"/>
          </w:tcPr>
          <w:p>
            <w:pPr>
              <w:jc w:val="right"/>
              <w:spacing w:after="0"/>
              <w:rPr>
                <w:sz w:val="20"/>
                <w:szCs w:val="20"/>
                <w:color w:val="auto"/>
              </w:rPr>
            </w:pPr>
            <w:r>
              <w:rPr>
                <w:rFonts w:ascii="Arial" w:cs="Arial" w:eastAsia="Arial" w:hAnsi="Arial"/>
                <w:sz w:val="18"/>
                <w:szCs w:val="18"/>
                <w:color w:val="auto"/>
              </w:rPr>
              <w:t>US$ 1,735</w:t>
            </w: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Foreign Currency-denominated</w:t>
            </w:r>
          </w:p>
        </w:tc>
        <w:tc>
          <w:tcPr>
            <w:tcW w:w="1660" w:type="dxa"/>
            <w:vAlign w:val="bottom"/>
          </w:tcPr>
          <w:p>
            <w:pPr>
              <w:jc w:val="right"/>
              <w:spacing w:after="0"/>
              <w:rPr>
                <w:sz w:val="20"/>
                <w:szCs w:val="20"/>
                <w:color w:val="auto"/>
              </w:rPr>
            </w:pPr>
            <w:r>
              <w:rPr>
                <w:rFonts w:ascii="Arial" w:cs="Arial" w:eastAsia="Arial" w:hAnsi="Arial"/>
                <w:sz w:val="18"/>
                <w:szCs w:val="18"/>
                <w:color w:val="auto"/>
              </w:rPr>
              <w:t>196,312</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523,262</w:t>
            </w:r>
          </w:p>
        </w:tc>
      </w:tr>
      <w:tr>
        <w:trPr>
          <w:trHeight w:val="164"/>
        </w:trPr>
        <w:tc>
          <w:tcPr>
            <w:tcW w:w="800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r>
      <w:tr>
        <w:trPr>
          <w:trHeight w:val="383"/>
        </w:trPr>
        <w:tc>
          <w:tcPr>
            <w:tcW w:w="8000" w:type="dxa"/>
            <w:vAlign w:val="bottom"/>
          </w:tcPr>
          <w:p>
            <w:pPr>
              <w:ind w:left="160"/>
              <w:spacing w:after="0"/>
              <w:rPr>
                <w:sz w:val="20"/>
                <w:szCs w:val="20"/>
                <w:color w:val="auto"/>
              </w:rPr>
            </w:pPr>
            <w:r>
              <w:rPr>
                <w:rFonts w:ascii="Arial" w:cs="Arial" w:eastAsia="Arial" w:hAnsi="Arial"/>
                <w:sz w:val="18"/>
                <w:szCs w:val="18"/>
                <w:color w:val="auto"/>
              </w:rPr>
              <w:t>Total</w:t>
            </w: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US$ 313,062</w:t>
            </w:r>
          </w:p>
        </w:tc>
        <w:tc>
          <w:tcPr>
            <w:tcW w:w="1660" w:type="dxa"/>
            <w:vAlign w:val="bottom"/>
          </w:tcPr>
          <w:p>
            <w:pPr>
              <w:jc w:val="right"/>
              <w:spacing w:after="0"/>
              <w:rPr>
                <w:sz w:val="20"/>
                <w:szCs w:val="20"/>
                <w:color w:val="auto"/>
              </w:rPr>
            </w:pPr>
            <w:r>
              <w:rPr>
                <w:rFonts w:ascii="Arial" w:cs="Arial" w:eastAsia="Arial" w:hAnsi="Arial"/>
                <w:sz w:val="18"/>
                <w:szCs w:val="18"/>
                <w:color w:val="auto"/>
              </w:rPr>
              <w:t>US$ 524,997</w:t>
            </w:r>
          </w:p>
        </w:tc>
      </w:tr>
      <w:tr>
        <w:trPr>
          <w:trHeight w:val="540"/>
        </w:trPr>
        <w:tc>
          <w:tcPr>
            <w:tcW w:w="8000" w:type="dxa"/>
            <w:vAlign w:val="bottom"/>
          </w:tcPr>
          <w:p>
            <w:pPr>
              <w:spacing w:after="0"/>
              <w:rPr>
                <w:sz w:val="20"/>
                <w:szCs w:val="20"/>
                <w:color w:val="auto"/>
              </w:rPr>
            </w:pPr>
            <w:r>
              <w:rPr>
                <w:rFonts w:ascii="Arial" w:cs="Arial" w:eastAsia="Arial" w:hAnsi="Arial"/>
                <w:sz w:val="18"/>
                <w:szCs w:val="18"/>
                <w:b w:val="1"/>
                <w:bCs w:val="1"/>
                <w:color w:val="auto"/>
              </w:rPr>
              <w:t>Fixed Rate</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Nuevo Sol-denominated</w:t>
            </w:r>
          </w:p>
        </w:tc>
        <w:tc>
          <w:tcPr>
            <w:tcW w:w="1660" w:type="dxa"/>
            <w:vAlign w:val="bottom"/>
          </w:tcPr>
          <w:p>
            <w:pPr>
              <w:jc w:val="right"/>
              <w:spacing w:after="0"/>
              <w:rPr>
                <w:sz w:val="20"/>
                <w:szCs w:val="20"/>
                <w:color w:val="auto"/>
              </w:rPr>
            </w:pPr>
            <w:r>
              <w:rPr>
                <w:rFonts w:ascii="Arial" w:cs="Arial" w:eastAsia="Arial" w:hAnsi="Arial"/>
                <w:sz w:val="18"/>
                <w:szCs w:val="18"/>
                <w:color w:val="auto"/>
              </w:rPr>
              <w:t>607,204</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81,696</w:t>
            </w: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Foreign Currency-denominated</w:t>
            </w:r>
          </w:p>
        </w:tc>
        <w:tc>
          <w:tcPr>
            <w:tcW w:w="1660" w:type="dxa"/>
            <w:vAlign w:val="bottom"/>
          </w:tcPr>
          <w:p>
            <w:pPr>
              <w:jc w:val="right"/>
              <w:spacing w:after="0"/>
              <w:rPr>
                <w:sz w:val="20"/>
                <w:szCs w:val="20"/>
                <w:color w:val="auto"/>
              </w:rPr>
            </w:pPr>
            <w:r>
              <w:rPr>
                <w:rFonts w:ascii="Arial" w:cs="Arial" w:eastAsia="Arial" w:hAnsi="Arial"/>
                <w:sz w:val="18"/>
                <w:szCs w:val="18"/>
                <w:color w:val="auto"/>
              </w:rPr>
              <w:t>3,561,230</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952,635</w:t>
            </w:r>
          </w:p>
        </w:tc>
      </w:tr>
      <w:tr>
        <w:trPr>
          <w:trHeight w:val="164"/>
        </w:trPr>
        <w:tc>
          <w:tcPr>
            <w:tcW w:w="800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r>
      <w:tr>
        <w:trPr>
          <w:trHeight w:val="383"/>
        </w:trPr>
        <w:tc>
          <w:tcPr>
            <w:tcW w:w="8000" w:type="dxa"/>
            <w:vAlign w:val="bottom"/>
          </w:tcPr>
          <w:p>
            <w:pPr>
              <w:ind w:left="160"/>
              <w:spacing w:after="0"/>
              <w:rPr>
                <w:sz w:val="20"/>
                <w:szCs w:val="20"/>
                <w:color w:val="auto"/>
              </w:rPr>
            </w:pPr>
            <w:r>
              <w:rPr>
                <w:rFonts w:ascii="Arial" w:cs="Arial" w:eastAsia="Arial" w:hAnsi="Arial"/>
                <w:sz w:val="18"/>
                <w:szCs w:val="18"/>
                <w:color w:val="auto"/>
              </w:rPr>
              <w:t>Total</w:t>
            </w: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US$4,168,434</w:t>
            </w:r>
          </w:p>
        </w:tc>
        <w:tc>
          <w:tcPr>
            <w:tcW w:w="1660" w:type="dxa"/>
            <w:vAlign w:val="bottom"/>
          </w:tcPr>
          <w:p>
            <w:pPr>
              <w:jc w:val="right"/>
              <w:spacing w:after="0"/>
              <w:rPr>
                <w:sz w:val="20"/>
                <w:szCs w:val="20"/>
                <w:color w:val="auto"/>
              </w:rPr>
            </w:pPr>
            <w:r>
              <w:rPr>
                <w:rFonts w:ascii="Arial" w:cs="Arial" w:eastAsia="Arial" w:hAnsi="Arial"/>
                <w:sz w:val="18"/>
                <w:szCs w:val="18"/>
                <w:color w:val="auto"/>
              </w:rPr>
              <w:t>US$ 1,034,331</w:t>
            </w:r>
          </w:p>
        </w:tc>
      </w:tr>
      <w:tr>
        <w:trPr>
          <w:trHeight w:val="540"/>
        </w:trPr>
        <w:tc>
          <w:tcPr>
            <w:tcW w:w="8000" w:type="dxa"/>
            <w:vAlign w:val="bottom"/>
          </w:tcPr>
          <w:p>
            <w:pPr>
              <w:spacing w:after="0"/>
              <w:rPr>
                <w:sz w:val="20"/>
                <w:szCs w:val="20"/>
                <w:color w:val="auto"/>
              </w:rPr>
            </w:pPr>
            <w:r>
              <w:rPr>
                <w:rFonts w:ascii="Arial" w:cs="Arial" w:eastAsia="Arial" w:hAnsi="Arial"/>
                <w:sz w:val="18"/>
                <w:szCs w:val="18"/>
                <w:color w:val="auto"/>
              </w:rPr>
              <w:t>Total</w:t>
            </w: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US$4,481,496</w:t>
            </w:r>
          </w:p>
        </w:tc>
        <w:tc>
          <w:tcPr>
            <w:tcW w:w="1660" w:type="dxa"/>
            <w:vAlign w:val="bottom"/>
          </w:tcPr>
          <w:p>
            <w:pPr>
              <w:jc w:val="right"/>
              <w:spacing w:after="0"/>
              <w:rPr>
                <w:sz w:val="20"/>
                <w:szCs w:val="20"/>
                <w:color w:val="auto"/>
              </w:rPr>
            </w:pPr>
            <w:r>
              <w:rPr>
                <w:rFonts w:ascii="Arial" w:cs="Arial" w:eastAsia="Arial" w:hAnsi="Arial"/>
                <w:sz w:val="18"/>
                <w:szCs w:val="18"/>
                <w:color w:val="auto"/>
              </w:rPr>
              <w:t>US$1,559,328</w:t>
            </w:r>
          </w:p>
        </w:tc>
      </w:tr>
      <w:tr>
        <w:trPr>
          <w:trHeight w:val="459"/>
        </w:trPr>
        <w:tc>
          <w:tcPr>
            <w:tcW w:w="8000" w:type="dxa"/>
            <w:vAlign w:val="bottom"/>
          </w:tcPr>
          <w:p>
            <w:pPr>
              <w:ind w:left="180"/>
              <w:spacing w:after="0"/>
              <w:rPr>
                <w:sz w:val="20"/>
                <w:szCs w:val="20"/>
                <w:color w:val="auto"/>
              </w:rPr>
            </w:pPr>
            <w:r>
              <w:rPr>
                <w:rFonts w:ascii="Arial" w:cs="Arial" w:eastAsia="Arial" w:hAnsi="Arial"/>
                <w:sz w:val="18"/>
                <w:szCs w:val="18"/>
                <w:i w:val="1"/>
                <w:iCs w:val="1"/>
                <w:color w:val="auto"/>
              </w:rPr>
              <w:t>Classification of the Loan Portfolio</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6132830</wp:posOffset>
            </wp:positionH>
            <wp:positionV relativeFrom="paragraph">
              <wp:posOffset>-2823845</wp:posOffset>
            </wp:positionV>
            <wp:extent cx="34290" cy="342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-2823845</wp:posOffset>
            </wp:positionV>
            <wp:extent cx="34290" cy="342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-1948815</wp:posOffset>
            </wp:positionV>
            <wp:extent cx="34290" cy="342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-1948815</wp:posOffset>
            </wp:positionV>
            <wp:extent cx="34290" cy="342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-902970</wp:posOffset>
            </wp:positionV>
            <wp:extent cx="34290" cy="342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-902970</wp:posOffset>
            </wp:positionV>
            <wp:extent cx="34290" cy="342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90" w:lineRule="exact"/>
        <w:rPr>
          <w:sz w:val="20"/>
          <w:szCs w:val="20"/>
          <w:color w:val="auto"/>
        </w:rPr>
      </w:pPr>
    </w:p>
    <w:p>
      <w:pPr>
        <w:jc w:val="both"/>
        <w:ind w:firstLine="287"/>
        <w:spacing w:after="0" w:line="289" w:lineRule="auto"/>
        <w:rPr>
          <w:sz w:val="20"/>
          <w:szCs w:val="20"/>
          <w:color w:val="auto"/>
        </w:rPr>
      </w:pPr>
      <w:r>
        <w:rPr>
          <w:rFonts w:ascii="Arial" w:cs="Arial" w:eastAsia="Arial" w:hAnsi="Arial"/>
          <w:sz w:val="16"/>
          <w:szCs w:val="16"/>
          <w:color w:val="auto"/>
        </w:rPr>
        <w:t>Credicorp classifies BCP’s loan portfolio (which includes the loan portfolio of BCB) and ASHC’s loan portfolio in accordance with SBS regulations. The regulations applicable to Banco Tequendama are substantially the same as SBS regulations. According to SBS Resolution No. 808-2003, banks must classify all loans and other credits into one of four categories based upon the purpose of the loan; these categories are commercial, micro-business, consumer and residential mortgage. Commercial loans are generally those that finance the production and sale of goods and services, including commercial leases, as well as credit card debt on cards held by business entities. Micro-business loans, exclusively targeted for the production and sale of goods and services, are made to individuals or companies with no more than US$30,000 in total loans received from the financial system. Consumer loans are generally loans granted to individuals, including credit card transactions, overdrafts on personal demand deposit accounts, leases, and financing goods or services not related to a business activity. Residential mortgage</w:t>
      </w:r>
    </w:p>
    <w:p>
      <w:pPr>
        <w:sectPr>
          <w:pgSz w:w="11900" w:h="16838" w:orient="portrait"/>
          <w:cols w:equalWidth="0" w:num="1">
            <w:col w:w="11420"/>
          </w:cols>
          <w:pgMar w:left="240" w:top="131" w:right="239" w:bottom="1440" w:gutter="0" w:footer="0" w:header="0"/>
        </w:sectPr>
      </w:pP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131" w:right="239" w:bottom="1440" w:gutter="0" w:footer="0" w:header="0"/>
          <w:type w:val="continuous"/>
        </w:sectPr>
      </w:pPr>
    </w:p>
    <w:bookmarkStart w:id="71" w:name="page72"/>
    <w:bookmarkEnd w:id="71"/>
    <w:p>
      <w:pPr>
        <w:jc w:val="both"/>
        <w:spacing w:after="0" w:line="256" w:lineRule="auto"/>
        <w:rPr>
          <w:sz w:val="20"/>
          <w:szCs w:val="20"/>
          <w:color w:val="auto"/>
        </w:rPr>
      </w:pPr>
      <w:r>
        <w:rPr>
          <w:rFonts w:ascii="Arial" w:cs="Arial" w:eastAsia="Arial" w:hAnsi="Arial"/>
          <w:sz w:val="18"/>
          <w:szCs w:val="18"/>
          <w:color w:val="auto"/>
        </w:rPr>
        <w:t>loans are all loans to individuals for the purchase, construction, remodeling, subdivision or improvement of the individual’s own home, in each case backed by a mortgage. Mortgage loans made to directors and employees of a company are also considered residential mortgage loans. Mortgage-backed loans are considered commercial loans. The classification of the loan determines the amount the bank is required to reserve should the borrower fail to make payments as they become due.</w:t>
      </w:r>
    </w:p>
    <w:p>
      <w:pPr>
        <w:spacing w:after="0" w:line="197" w:lineRule="exact"/>
        <w:rPr>
          <w:sz w:val="20"/>
          <w:szCs w:val="20"/>
          <w:color w:val="auto"/>
        </w:rPr>
      </w:pPr>
    </w:p>
    <w:p>
      <w:pPr>
        <w:jc w:val="both"/>
        <w:ind w:firstLine="265"/>
        <w:spacing w:after="0" w:line="290" w:lineRule="auto"/>
        <w:rPr>
          <w:sz w:val="20"/>
          <w:szCs w:val="20"/>
          <w:color w:val="auto"/>
        </w:rPr>
      </w:pPr>
      <w:r>
        <w:rPr>
          <w:rFonts w:ascii="Arial" w:cs="Arial" w:eastAsia="Arial" w:hAnsi="Arial"/>
          <w:sz w:val="16"/>
          <w:szCs w:val="16"/>
          <w:color w:val="auto"/>
        </w:rPr>
        <w:t>Regulations promulgated by the SBS also require Peruvian banks to classify all loans into one of five other categories depending upon the degree of risk of nonpayment of each loan. Credicorp reviews its loan portfolio on a continuing basis, and the SBS reviews the portfolio as it deems necessary or prudent. In classifying its loans based upon risk of nonpayment, Credicorp, in compliance with SBS guidelines, assesses the following factors: the payment history of the particular loans, the history of Credicorp’s dealings with the borrower, management, operating history, repayment capability and availability of funds of the borrower, status of any collateral or guarantee, the borrower’s financial statements, general risk of the sector in which the borrower operates, the borrower’s risk classification made by other financial institutions, and other relevant factors. The classification of the loan determines the amount of the required loan loss provision. Law 26702 further requires banks to establish a generic loan loss provision of up to 1% of the bank’s loan and credit portfolio classified as A (Normal).</w:t>
      </w:r>
    </w:p>
    <w:p>
      <w:pPr>
        <w:spacing w:after="0" w:line="172" w:lineRule="exact"/>
        <w:rPr>
          <w:sz w:val="20"/>
          <w:szCs w:val="20"/>
          <w:color w:val="auto"/>
        </w:rPr>
      </w:pPr>
    </w:p>
    <w:p>
      <w:pPr>
        <w:jc w:val="both"/>
        <w:ind w:firstLine="276"/>
        <w:spacing w:after="0" w:line="290" w:lineRule="auto"/>
        <w:rPr>
          <w:sz w:val="20"/>
          <w:szCs w:val="20"/>
          <w:color w:val="auto"/>
        </w:rPr>
      </w:pPr>
      <w:r>
        <w:rPr>
          <w:rFonts w:ascii="Arial" w:cs="Arial" w:eastAsia="Arial" w:hAnsi="Arial"/>
          <w:sz w:val="16"/>
          <w:szCs w:val="16"/>
          <w:color w:val="auto"/>
        </w:rPr>
        <w:t>Under current regulations, collateral is not subtracted from the amount of the loan or credit outstanding to determine the amount of the loan or credit to be reserved against. Instead, a lower loan provision is allowed to be reserved on the portion of the loan or credit that is secured. For the purpose of determining the reservable amount, collateral is valued according to SBS regulations which require that an appraisal be determined based on expected market valuation. Only assets classified as (i) “preferred”, (ii) “highly liquid preferred”, or (iii) “self-liquidating preferred” are acceptable as collateral. Such collateral must, according to SBS regulations, (1) be relatively liquid, (2) have legally documented ownership, (3) have no liens outstanding and (4) have constantly updated appraisals. Examples of “preferred” or “highly liquid preferred” assets include, among others, cash deposits, real estate mortgages and pledges on securities or on other goods. “Self-liquidating preferred” assets include solely cash deposits in local banks or stand-by letters of credit from first-level foreign institutions.</w:t>
      </w:r>
    </w:p>
    <w:p>
      <w:pPr>
        <w:spacing w:after="0" w:line="172" w:lineRule="exact"/>
        <w:rPr>
          <w:sz w:val="20"/>
          <w:szCs w:val="20"/>
          <w:color w:val="auto"/>
        </w:rPr>
      </w:pPr>
    </w:p>
    <w:p>
      <w:pPr>
        <w:jc w:val="both"/>
        <w:ind w:firstLine="306"/>
        <w:spacing w:after="0" w:line="289" w:lineRule="auto"/>
        <w:rPr>
          <w:sz w:val="20"/>
          <w:szCs w:val="20"/>
          <w:color w:val="auto"/>
        </w:rPr>
      </w:pPr>
      <w:r>
        <w:rPr>
          <w:rFonts w:ascii="Arial" w:cs="Arial" w:eastAsia="Arial" w:hAnsi="Arial"/>
          <w:sz w:val="16"/>
          <w:szCs w:val="16"/>
          <w:color w:val="auto"/>
        </w:rPr>
        <w:t>SBS regulations require the following reserves for commercial, micro-business and mortgage loans: a 1% reserve on not specifically identified loans and credits classified in the A (Normal) category, and a 5%, 25%, 60% and 100% specific reserve on loans and credits in risk categories B, C, D and E, respectively. Whenever such loans or credits, or the portions thereof, are secured with “preferred” collateral, required reserves for risk categories B, C, D and E are: 2.5%, 12.5%, 30% and 60%, respectively. Loans or credits, or portions thereof, secured with “highly liquid preferred” collateral require at least one half of the amount established in the case of the “preferred” collateral. Loans or credits, or the portions thereof, secured with “self-liquidating preferred” collateral require at least a 1% reserve. When the collateral is insufficient to secure the outstanding balances, the higher percentage requirements are applicable on the unsecured portion of the loans or credits. In the case of consumer loans, the required reserves are as follows: a 1% reserve on not specifically identified loans classified in the A (Normal) category, and a 5%, 25%, 60% and 100% specific reserve on loans in risk categories B, C, D and E, respectively.</w:t>
      </w:r>
    </w:p>
    <w:p>
      <w:pPr>
        <w:spacing w:after="0" w:line="172" w:lineRule="exact"/>
        <w:rPr>
          <w:sz w:val="20"/>
          <w:szCs w:val="20"/>
          <w:color w:val="auto"/>
        </w:rPr>
      </w:pPr>
    </w:p>
    <w:p>
      <w:pPr>
        <w:jc w:val="both"/>
        <w:ind w:firstLine="220"/>
        <w:spacing w:after="0" w:line="298" w:lineRule="auto"/>
        <w:rPr>
          <w:sz w:val="20"/>
          <w:szCs w:val="20"/>
          <w:color w:val="auto"/>
        </w:rPr>
      </w:pPr>
      <w:r>
        <w:rPr>
          <w:rFonts w:ascii="Arial" w:cs="Arial" w:eastAsia="Arial" w:hAnsi="Arial"/>
          <w:sz w:val="16"/>
          <w:szCs w:val="16"/>
          <w:color w:val="auto"/>
        </w:rPr>
        <w:t>Current regulations distinguish between different phases of the economic cycle, permitting a lower provision requirement when banks face particularly adverse economic conditions. Provisions required for loans classified as A (Normal) and B (Potential Problem) are divided into a fixed and a variable component. The variable part of the provision requirement can be reduced provided that, when the economic cycle improves, it will gradually increase back to its maximum percentage. Loans classified in the A category have a 0.75% fixed provision requirement, and a 0.25% maximum variable component.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31" w:right="239" w:bottom="1440" w:gutter="0" w:footer="0" w:header="0"/>
        </w:sectPr>
      </w:pPr>
    </w:p>
    <w:bookmarkStart w:id="72" w:name="page73"/>
    <w:bookmarkEnd w:id="72"/>
    <w:p>
      <w:pPr>
        <w:jc w:val="both"/>
        <w:spacing w:after="0" w:line="268" w:lineRule="auto"/>
        <w:rPr>
          <w:sz w:val="20"/>
          <w:szCs w:val="20"/>
          <w:color w:val="auto"/>
        </w:rPr>
      </w:pPr>
      <w:r>
        <w:rPr>
          <w:rFonts w:ascii="Arial" w:cs="Arial" w:eastAsia="Arial" w:hAnsi="Arial"/>
          <w:sz w:val="18"/>
          <w:szCs w:val="18"/>
          <w:color w:val="auto"/>
        </w:rPr>
        <w:t>Loans in the B category have a 3.75% fixed and a 1.25% variable maximum requirement, although applicable percentages may decrease depending on the availability and quality of collaterals.</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five loan risk categories have the following characteristics:</w:t>
      </w:r>
    </w:p>
    <w:p>
      <w:pPr>
        <w:spacing w:after="0" w:line="225" w:lineRule="exact"/>
        <w:rPr>
          <w:sz w:val="20"/>
          <w:szCs w:val="20"/>
          <w:color w:val="auto"/>
        </w:rPr>
      </w:pPr>
    </w:p>
    <w:p>
      <w:pPr>
        <w:jc w:val="both"/>
        <w:ind w:firstLine="247"/>
        <w:spacing w:after="0" w:line="289" w:lineRule="auto"/>
        <w:rPr>
          <w:sz w:val="20"/>
          <w:szCs w:val="20"/>
          <w:color w:val="auto"/>
        </w:rPr>
      </w:pPr>
      <w:r>
        <w:rPr>
          <w:rFonts w:ascii="Arial" w:cs="Arial" w:eastAsia="Arial" w:hAnsi="Arial"/>
          <w:sz w:val="16"/>
          <w:szCs w:val="16"/>
          <w:i w:val="1"/>
          <w:iCs w:val="1"/>
          <w:color w:val="auto"/>
        </w:rPr>
        <w:t xml:space="preserve">Class “A.” </w:t>
      </w:r>
      <w:r>
        <w:rPr>
          <w:rFonts w:ascii="Arial" w:cs="Arial" w:eastAsia="Arial" w:hAnsi="Arial"/>
          <w:sz w:val="16"/>
          <w:szCs w:val="16"/>
          <w:color w:val="auto"/>
        </w:rPr>
        <w:t>Loans or credits in this category are known as “normal” credits. Debtors of commercial loans or credits that fall into this category have complied</w:t>
      </w:r>
      <w:r>
        <w:rPr>
          <w:rFonts w:ascii="Arial" w:cs="Arial" w:eastAsia="Arial" w:hAnsi="Arial"/>
          <w:sz w:val="16"/>
          <w:szCs w:val="16"/>
          <w:i w:val="1"/>
          <w:iCs w:val="1"/>
          <w:color w:val="auto"/>
        </w:rPr>
        <w:t xml:space="preserve"> </w:t>
      </w:r>
      <w:r>
        <w:rPr>
          <w:rFonts w:ascii="Arial" w:cs="Arial" w:eastAsia="Arial" w:hAnsi="Arial"/>
          <w:sz w:val="16"/>
          <w:szCs w:val="16"/>
          <w:color w:val="auto"/>
        </w:rPr>
        <w:t>on a timely basis with their obligations and at the time of evaluation of the credit do not present any reason for doubt with respect to repayment of interest and principal on the loan on the agreed upon dates, and Credicorp must have no reason to believe that the status will change before the next evaluation. To place a loan or credit in Class A, a clear understanding of the use to be made of the funds and the origin of the cash flows to be used by the debtor to repay the loan or credit is required. Micro-business and consumer loans warrant Class A classification if payments are current or up to eight days past-due. Residential mortgage loans warrant Class A classification if payments are current or up to thirty days past-due. Loans or credits in this category require a reserve for not specifically identified loans of 1% of the total of such loans or credits outstanding. The required reserve may be reduced by up to 0.5% if certain conditions that ensure that the client has a low probability of default are met.</w:t>
      </w:r>
    </w:p>
    <w:p>
      <w:pPr>
        <w:spacing w:after="0" w:line="172" w:lineRule="exact"/>
        <w:rPr>
          <w:sz w:val="20"/>
          <w:szCs w:val="20"/>
          <w:color w:val="auto"/>
        </w:rPr>
      </w:pPr>
    </w:p>
    <w:p>
      <w:pPr>
        <w:jc w:val="both"/>
        <w:ind w:firstLine="247"/>
        <w:spacing w:after="0" w:line="286" w:lineRule="auto"/>
        <w:rPr>
          <w:sz w:val="20"/>
          <w:szCs w:val="20"/>
          <w:color w:val="auto"/>
        </w:rPr>
      </w:pPr>
      <w:r>
        <w:rPr>
          <w:rFonts w:ascii="Arial" w:cs="Arial" w:eastAsia="Arial" w:hAnsi="Arial"/>
          <w:sz w:val="16"/>
          <w:szCs w:val="16"/>
          <w:i w:val="1"/>
          <w:iCs w:val="1"/>
          <w:color w:val="auto"/>
        </w:rPr>
        <w:t xml:space="preserve">Class “B.” </w:t>
      </w:r>
      <w:r>
        <w:rPr>
          <w:rFonts w:ascii="Arial" w:cs="Arial" w:eastAsia="Arial" w:hAnsi="Arial"/>
          <w:sz w:val="16"/>
          <w:szCs w:val="16"/>
          <w:color w:val="auto"/>
        </w:rPr>
        <w:t>Loans or credits in this category are known as credits with “potential problems.”Debtors of commercial loans or credits included in this category</w:t>
      </w:r>
      <w:r>
        <w:rPr>
          <w:rFonts w:ascii="Arial" w:cs="Arial" w:eastAsia="Arial" w:hAnsi="Arial"/>
          <w:sz w:val="16"/>
          <w:szCs w:val="16"/>
          <w:i w:val="1"/>
          <w:iCs w:val="1"/>
          <w:color w:val="auto"/>
        </w:rPr>
        <w:t xml:space="preserve"> </w:t>
      </w:r>
      <w:r>
        <w:rPr>
          <w:rFonts w:ascii="Arial" w:cs="Arial" w:eastAsia="Arial" w:hAnsi="Arial"/>
          <w:sz w:val="16"/>
          <w:szCs w:val="16"/>
          <w:color w:val="auto"/>
        </w:rPr>
        <w:t>are those that at the time of the evaluation of the credit demonstrate certain deficiencies, which, if not corrected in a timely manner, imply risks with respect to the recovery of the loan. Certain common characteristics of loans or credits in the category include: delays in loan payments which are promptly covered; a general lack of information required to analyze the credit; out-of-date financial information; temporary economic or financial imbalances on the part of the debtor which could effect its ability to repay the loan; market conditions that could affect the economic sector in which the debtor is active; material overdue debts or pending judicial collection actions initiated by other financial institutions; noncompliance with originally contracted conditions; conflicts of interest within the debtor company; labor problems; unfavorable credit history; noncompliance with internal policies of the debtor company; excessive reliance on one source of raw materials or one buyer of the debtor’s products; and low inventory turnover ratios or large inventories that are subject to competitive challenges or technological obsolescence. Micro-business and consumer loans are categorized as Class B if payments are between nine and 30 days late. Residential mortgage loans become Class B when payments are between 31 and 90 days late. A 5% specific reserve on total loans outstanding in this category is required. Except for consumer loans, when the loan, or a portion thereof, is secured with “preferred” collateral, the required reserve is 2.5%, and when secured with “highly liquid preferred” collateral, the required reserve is 1.25%.</w:t>
      </w:r>
    </w:p>
    <w:p>
      <w:pPr>
        <w:spacing w:after="0" w:line="178" w:lineRule="exact"/>
        <w:rPr>
          <w:sz w:val="20"/>
          <w:szCs w:val="20"/>
          <w:color w:val="auto"/>
        </w:rPr>
      </w:pPr>
    </w:p>
    <w:p>
      <w:pPr>
        <w:jc w:val="both"/>
        <w:ind w:firstLine="247"/>
        <w:spacing w:after="0" w:line="288" w:lineRule="auto"/>
        <w:rPr>
          <w:sz w:val="20"/>
          <w:szCs w:val="20"/>
          <w:color w:val="auto"/>
        </w:rPr>
      </w:pPr>
      <w:r>
        <w:rPr>
          <w:rFonts w:ascii="Arial" w:cs="Arial" w:eastAsia="Arial" w:hAnsi="Arial"/>
          <w:sz w:val="16"/>
          <w:szCs w:val="16"/>
          <w:i w:val="1"/>
          <w:iCs w:val="1"/>
          <w:color w:val="auto"/>
        </w:rPr>
        <w:t xml:space="preserve">Class “C.” </w:t>
      </w:r>
      <w:r>
        <w:rPr>
          <w:rFonts w:ascii="Arial" w:cs="Arial" w:eastAsia="Arial" w:hAnsi="Arial"/>
          <w:sz w:val="16"/>
          <w:szCs w:val="16"/>
          <w:color w:val="auto"/>
        </w:rPr>
        <w:t>Loans or credits in this category are known as “substandard” credits. Debtors of commercial loans or credits whose loans or credits are placed in</w:t>
      </w:r>
      <w:r>
        <w:rPr>
          <w:rFonts w:ascii="Arial" w:cs="Arial" w:eastAsia="Arial" w:hAnsi="Arial"/>
          <w:sz w:val="16"/>
          <w:szCs w:val="16"/>
          <w:i w:val="1"/>
          <w:iCs w:val="1"/>
          <w:color w:val="auto"/>
        </w:rPr>
        <w:t xml:space="preserve"> </w:t>
      </w:r>
      <w:r>
        <w:rPr>
          <w:rFonts w:ascii="Arial" w:cs="Arial" w:eastAsia="Arial" w:hAnsi="Arial"/>
          <w:sz w:val="16"/>
          <w:szCs w:val="16"/>
          <w:color w:val="auto"/>
        </w:rPr>
        <w:t>this category demonstrate serious financial weakness, often with operating profits or available income insufficient to cover financial obligations on agreed upon terms, with no reasonable short-term prospects for a strengthening of the debtor’s financial capacity. Loans or credits demonstrating the same deficiencies that warrant classification as category B credits warrant classification as Class C credits if those deficiencies are such that if they are not corrected in the near term, they could impede the recovery of principal and interest on the loan on the originally agreed terms. Additionally, commercial loans are classified in this category when payments are between 60 and 120 days late. If payments on a micro-business or consumer loan are between 31 and 60 days late, such loans are classified as Class C. Residential mortgage loans are classified as Class C when payments are between 91 and 120 days late. Commercial, micro-business and mortgage loans or credits included in this class require a specific provision of 25% of the outstanding amount (12.5% when secured with “preferred” collateral), whereas consumer loans require a 25% provision.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31" w:right="239" w:bottom="1440" w:gutter="0" w:footer="0" w:header="0"/>
        </w:sectPr>
      </w:pPr>
    </w:p>
    <w:bookmarkStart w:id="73" w:name="page74"/>
    <w:bookmarkEnd w:id="73"/>
    <w:p>
      <w:pPr>
        <w:jc w:val="both"/>
        <w:ind w:firstLine="260"/>
        <w:spacing w:after="0" w:line="288" w:lineRule="auto"/>
        <w:rPr>
          <w:sz w:val="20"/>
          <w:szCs w:val="20"/>
          <w:color w:val="auto"/>
        </w:rPr>
      </w:pPr>
      <w:r>
        <w:rPr>
          <w:rFonts w:ascii="Arial" w:cs="Arial" w:eastAsia="Arial" w:hAnsi="Arial"/>
          <w:sz w:val="16"/>
          <w:szCs w:val="16"/>
          <w:i w:val="1"/>
          <w:iCs w:val="1"/>
          <w:color w:val="auto"/>
        </w:rPr>
        <w:t xml:space="preserve">Class “D.” </w:t>
      </w:r>
      <w:r>
        <w:rPr>
          <w:rFonts w:ascii="Arial" w:cs="Arial" w:eastAsia="Arial" w:hAnsi="Arial"/>
          <w:sz w:val="16"/>
          <w:szCs w:val="16"/>
          <w:color w:val="auto"/>
        </w:rPr>
        <w:t>Loans or credits included in this category are known as “doubtful” credits. Debtors of commercial loans or credits included in this classification</w:t>
      </w:r>
      <w:r>
        <w:rPr>
          <w:rFonts w:ascii="Arial" w:cs="Arial" w:eastAsia="Arial" w:hAnsi="Arial"/>
          <w:sz w:val="16"/>
          <w:szCs w:val="16"/>
          <w:i w:val="1"/>
          <w:iCs w:val="1"/>
          <w:color w:val="auto"/>
        </w:rPr>
        <w:t xml:space="preserve"> </w:t>
      </w:r>
      <w:r>
        <w:rPr>
          <w:rFonts w:ascii="Arial" w:cs="Arial" w:eastAsia="Arial" w:hAnsi="Arial"/>
          <w:sz w:val="16"/>
          <w:szCs w:val="16"/>
          <w:color w:val="auto"/>
        </w:rPr>
        <w:t>present characteristics of actual credit risk that make doubtful the recovery of the loan. Although the loan recovery is doubtful, if there is a reasonable possibility that in the near future the creditworthiness of the debtor might improve, a Class D categorization is appropriate. These credits are distinguished from Class E credits by the requirement that the debtor remain in operation, generate cash flow, and make payments on the loan, albeit at a rate less than that specified in its contractual obligations. Additionally, commercial loans are classified in this category when payments are between 121 and 365 days late. Micro-business and consumer loans are categorized as Class D if payments are between 61 and 120 days late. Residential mortgage loans are Class D when payments are between 121 and 365 days late. Loans or credits included in this class require a specific provision of 60% of the outstanding amount. Except for consumer loans, when the loan, or a portion thereof, is secured with “preferred” collateral, the required reserve is 30%, and when secured with “highly liquid preferred” collateral, the required reserve is 15%.</w:t>
      </w:r>
    </w:p>
    <w:p>
      <w:pPr>
        <w:spacing w:after="0" w:line="174" w:lineRule="exact"/>
        <w:rPr>
          <w:sz w:val="20"/>
          <w:szCs w:val="20"/>
          <w:color w:val="auto"/>
        </w:rPr>
      </w:pPr>
    </w:p>
    <w:p>
      <w:pPr>
        <w:jc w:val="both"/>
        <w:ind w:firstLine="233"/>
        <w:spacing w:after="0" w:line="291" w:lineRule="auto"/>
        <w:rPr>
          <w:sz w:val="20"/>
          <w:szCs w:val="20"/>
          <w:color w:val="auto"/>
        </w:rPr>
      </w:pPr>
      <w:r>
        <w:rPr>
          <w:rFonts w:ascii="Arial" w:cs="Arial" w:eastAsia="Arial" w:hAnsi="Arial"/>
          <w:sz w:val="16"/>
          <w:szCs w:val="16"/>
          <w:i w:val="1"/>
          <w:iCs w:val="1"/>
          <w:color w:val="auto"/>
        </w:rPr>
        <w:t xml:space="preserve">Class “E.” </w:t>
      </w:r>
      <w:r>
        <w:rPr>
          <w:rFonts w:ascii="Arial" w:cs="Arial" w:eastAsia="Arial" w:hAnsi="Arial"/>
          <w:sz w:val="16"/>
          <w:szCs w:val="16"/>
          <w:color w:val="auto"/>
        </w:rPr>
        <w:t>Loans or credits in this class are known as “loss” credits. Commercial loans or credits which are considered unrecoverable or which for any other</w:t>
      </w:r>
      <w:r>
        <w:rPr>
          <w:rFonts w:ascii="Arial" w:cs="Arial" w:eastAsia="Arial" w:hAnsi="Arial"/>
          <w:sz w:val="16"/>
          <w:szCs w:val="16"/>
          <w:i w:val="1"/>
          <w:iCs w:val="1"/>
          <w:color w:val="auto"/>
        </w:rPr>
        <w:t xml:space="preserve"> </w:t>
      </w:r>
      <w:r>
        <w:rPr>
          <w:rFonts w:ascii="Arial" w:cs="Arial" w:eastAsia="Arial" w:hAnsi="Arial"/>
          <w:sz w:val="16"/>
          <w:szCs w:val="16"/>
          <w:color w:val="auto"/>
        </w:rPr>
        <w:t>reason should not appear on Credicorp’s books as an asset based on the originally contracted terms fall into this category. Additionally, commercial loans are classified in this category when payments are more than 365 days late. Micro-business and consumer loans are categorized as Class E if payments are more than 120 days late. Residential mortgage loans are moved into Class E when payments are more than 365 days late. Loans or credits included in this class require a specific provision of 100% of the outstanding amount. Except for consumer loans, when the loan is secured with “preferred” collateral, the required reserve is 60%, and when secured with “highly liquid preferred” collateral, the required reserve is 30%.</w:t>
      </w:r>
    </w:p>
    <w:p>
      <w:pPr>
        <w:spacing w:after="0" w:line="174" w:lineRule="exact"/>
        <w:rPr>
          <w:sz w:val="20"/>
          <w:szCs w:val="20"/>
          <w:color w:val="auto"/>
        </w:rPr>
      </w:pPr>
    </w:p>
    <w:p>
      <w:pPr>
        <w:jc w:val="both"/>
        <w:ind w:firstLine="253"/>
        <w:spacing w:after="0" w:line="255" w:lineRule="auto"/>
        <w:rPr>
          <w:sz w:val="20"/>
          <w:szCs w:val="20"/>
          <w:color w:val="auto"/>
        </w:rPr>
      </w:pPr>
      <w:r>
        <w:rPr>
          <w:rFonts w:ascii="Arial" w:cs="Arial" w:eastAsia="Arial" w:hAnsi="Arial"/>
          <w:sz w:val="18"/>
          <w:szCs w:val="18"/>
          <w:color w:val="auto"/>
        </w:rPr>
        <w:t>SBS regulations consider as refinanced or restructured those loans or credits that change their payment schedules due to difficulties in the debtor’s ability to repay the loan. Restructured loans are issued under the protection of the Equity Restructuring Law. Refinanced credits are required to be classified as class “B” or in a higher risk category following the application of regular guidelines after a suitable evaluation period of the fulfillment of the new payment schedule. As a benefit to clients with refinanced or restructured loans, subject to certain conditions, short-term loans to finance self-liquidating operations can be classified as class “A.”</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shows Credicorp’s loan portfolio at the dates indicated:</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4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8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87"/>
              </w:rPr>
              <w:t>At December 31,</w:t>
            </w: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164"/>
        </w:trPr>
        <w:tc>
          <w:tcPr>
            <w:tcW w:w="4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r>
      <w:tr>
        <w:trPr>
          <w:trHeight w:val="383"/>
        </w:trPr>
        <w:tc>
          <w:tcPr>
            <w:tcW w:w="4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gridSpan w:val="3"/>
          </w:tcPr>
          <w:p>
            <w:pPr>
              <w:ind w:left="940"/>
              <w:spacing w:after="0"/>
              <w:rPr>
                <w:sz w:val="20"/>
                <w:szCs w:val="20"/>
                <w:color w:val="auto"/>
              </w:rPr>
            </w:pPr>
            <w:r>
              <w:rPr>
                <w:rFonts w:ascii="Arial" w:cs="Arial" w:eastAsia="Arial" w:hAnsi="Arial"/>
                <w:sz w:val="18"/>
                <w:szCs w:val="18"/>
                <w:b w:val="1"/>
                <w:bCs w:val="1"/>
                <w:color w:val="auto"/>
              </w:rPr>
              <w:t>1999</w:t>
            </w: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gridSpan w:val="3"/>
          </w:tcPr>
          <w:p>
            <w:pPr>
              <w:jc w:val="center"/>
              <w:ind w:left="672"/>
              <w:spacing w:after="0"/>
              <w:rPr>
                <w:sz w:val="20"/>
                <w:szCs w:val="20"/>
                <w:color w:val="auto"/>
              </w:rPr>
            </w:pPr>
            <w:r>
              <w:rPr>
                <w:rFonts w:ascii="Arial" w:cs="Arial" w:eastAsia="Arial" w:hAnsi="Arial"/>
                <w:sz w:val="18"/>
                <w:szCs w:val="18"/>
                <w:b w:val="1"/>
                <w:bCs w:val="1"/>
                <w:color w:val="auto"/>
                <w:w w:val="89"/>
              </w:rPr>
              <w:t>2000</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2001</w:t>
            </w:r>
          </w:p>
        </w:tc>
        <w:tc>
          <w:tcPr>
            <w:tcW w:w="740" w:type="dxa"/>
            <w:vAlign w:val="bottom"/>
          </w:tcPr>
          <w:p>
            <w:pPr>
              <w:spacing w:after="0"/>
              <w:rPr>
                <w:sz w:val="24"/>
                <w:szCs w:val="24"/>
                <w:color w:val="auto"/>
              </w:rPr>
            </w:pPr>
          </w:p>
        </w:tc>
      </w:tr>
      <w:tr>
        <w:trPr>
          <w:trHeight w:val="164"/>
        </w:trPr>
        <w:tc>
          <w:tcPr>
            <w:tcW w:w="4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gridSpan w:val="2"/>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r>
      <w:tr>
        <w:trPr>
          <w:trHeight w:val="383"/>
        </w:trPr>
        <w:tc>
          <w:tcPr>
            <w:tcW w:w="4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60" w:type="dxa"/>
            <w:vAlign w:val="bottom"/>
            <w:gridSpan w:val="10"/>
          </w:tcPr>
          <w:p>
            <w:pPr>
              <w:jc w:val="center"/>
              <w:ind w:right="760"/>
              <w:spacing w:after="0"/>
              <w:rPr>
                <w:sz w:val="20"/>
                <w:szCs w:val="20"/>
                <w:color w:val="auto"/>
              </w:rPr>
            </w:pPr>
            <w:r>
              <w:rPr>
                <w:rFonts w:ascii="Arial" w:cs="Arial" w:eastAsia="Arial" w:hAnsi="Arial"/>
                <w:sz w:val="18"/>
                <w:szCs w:val="18"/>
                <w:i w:val="1"/>
                <w:iCs w:val="1"/>
                <w:color w:val="auto"/>
                <w:w w:val="87"/>
              </w:rPr>
              <w:t>(U.S. Dollars in thousands, except percentages)</w:t>
            </w:r>
          </w:p>
        </w:tc>
        <w:tc>
          <w:tcPr>
            <w:tcW w:w="740" w:type="dxa"/>
            <w:vAlign w:val="bottom"/>
          </w:tcPr>
          <w:p>
            <w:pPr>
              <w:spacing w:after="0"/>
              <w:rPr>
                <w:sz w:val="24"/>
                <w:szCs w:val="24"/>
                <w:color w:val="auto"/>
              </w:rPr>
            </w:pPr>
          </w:p>
        </w:tc>
      </w:tr>
      <w:tr>
        <w:trPr>
          <w:trHeight w:val="270"/>
        </w:trPr>
        <w:tc>
          <w:tcPr>
            <w:tcW w:w="4580" w:type="dxa"/>
            <w:vAlign w:val="bottom"/>
            <w:gridSpan w:val="2"/>
          </w:tcPr>
          <w:p>
            <w:pPr>
              <w:spacing w:after="0"/>
              <w:rPr>
                <w:sz w:val="20"/>
                <w:szCs w:val="20"/>
                <w:color w:val="auto"/>
              </w:rPr>
            </w:pPr>
            <w:r>
              <w:rPr>
                <w:rFonts w:ascii="Arial" w:cs="Arial" w:eastAsia="Arial" w:hAnsi="Arial"/>
                <w:sz w:val="18"/>
                <w:szCs w:val="18"/>
                <w:color w:val="auto"/>
              </w:rPr>
              <w:t>Level of Risk</w:t>
            </w: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0"/>
        </w:trPr>
        <w:tc>
          <w:tcPr>
            <w:tcW w:w="4580" w:type="dxa"/>
            <w:vAlign w:val="bottom"/>
            <w:gridSpan w:val="2"/>
          </w:tcPr>
          <w:p>
            <w:pPr>
              <w:spacing w:after="0"/>
              <w:rPr>
                <w:sz w:val="20"/>
                <w:szCs w:val="20"/>
                <w:color w:val="auto"/>
              </w:rPr>
            </w:pPr>
            <w:r>
              <w:rPr>
                <w:rFonts w:ascii="Arial" w:cs="Arial" w:eastAsia="Arial" w:hAnsi="Arial"/>
                <w:sz w:val="18"/>
                <w:szCs w:val="18"/>
                <w:color w:val="auto"/>
              </w:rPr>
              <w:t>Classification</w:t>
            </w:r>
          </w:p>
        </w:tc>
        <w:tc>
          <w:tcPr>
            <w:tcW w:w="1480" w:type="dxa"/>
            <w:vAlign w:val="bottom"/>
            <w:gridSpan w:val="3"/>
          </w:tcPr>
          <w:p>
            <w:pPr>
              <w:ind w:left="520"/>
              <w:spacing w:after="0"/>
              <w:rPr>
                <w:sz w:val="20"/>
                <w:szCs w:val="20"/>
                <w:color w:val="auto"/>
              </w:rPr>
            </w:pPr>
            <w:r>
              <w:rPr>
                <w:rFonts w:ascii="Arial" w:cs="Arial" w:eastAsia="Arial" w:hAnsi="Arial"/>
                <w:sz w:val="18"/>
                <w:szCs w:val="18"/>
                <w:color w:val="auto"/>
              </w:rPr>
              <w:t>Amount</w:t>
            </w:r>
          </w:p>
        </w:tc>
        <w:tc>
          <w:tcPr>
            <w:tcW w:w="800" w:type="dxa"/>
            <w:vAlign w:val="bottom"/>
            <w:gridSpan w:val="2"/>
          </w:tcPr>
          <w:p>
            <w:pPr>
              <w:ind w:left="200"/>
              <w:spacing w:after="0"/>
              <w:rPr>
                <w:sz w:val="20"/>
                <w:szCs w:val="20"/>
                <w:color w:val="auto"/>
              </w:rPr>
            </w:pPr>
            <w:r>
              <w:rPr>
                <w:rFonts w:ascii="Arial" w:cs="Arial" w:eastAsia="Arial" w:hAnsi="Arial"/>
                <w:sz w:val="18"/>
                <w:szCs w:val="18"/>
                <w:color w:val="auto"/>
                <w:w w:val="94"/>
              </w:rPr>
              <w:t>% Total</w:t>
            </w:r>
          </w:p>
        </w:tc>
        <w:tc>
          <w:tcPr>
            <w:tcW w:w="1480" w:type="dxa"/>
            <w:vAlign w:val="bottom"/>
            <w:gridSpan w:val="3"/>
          </w:tcPr>
          <w:p>
            <w:pPr>
              <w:ind w:left="520"/>
              <w:spacing w:after="0"/>
              <w:rPr>
                <w:sz w:val="20"/>
                <w:szCs w:val="20"/>
                <w:color w:val="auto"/>
              </w:rPr>
            </w:pPr>
            <w:r>
              <w:rPr>
                <w:rFonts w:ascii="Arial" w:cs="Arial" w:eastAsia="Arial" w:hAnsi="Arial"/>
                <w:sz w:val="18"/>
                <w:szCs w:val="18"/>
                <w:color w:val="auto"/>
              </w:rPr>
              <w:t>Amount</w:t>
            </w:r>
          </w:p>
        </w:tc>
        <w:tc>
          <w:tcPr>
            <w:tcW w:w="800" w:type="dxa"/>
            <w:vAlign w:val="bottom"/>
            <w:gridSpan w:val="2"/>
          </w:tcPr>
          <w:p>
            <w:pPr>
              <w:ind w:left="200"/>
              <w:spacing w:after="0"/>
              <w:rPr>
                <w:sz w:val="20"/>
                <w:szCs w:val="20"/>
                <w:color w:val="auto"/>
              </w:rPr>
            </w:pPr>
            <w:r>
              <w:rPr>
                <w:rFonts w:ascii="Arial" w:cs="Arial" w:eastAsia="Arial" w:hAnsi="Arial"/>
                <w:sz w:val="18"/>
                <w:szCs w:val="18"/>
                <w:color w:val="auto"/>
                <w:w w:val="94"/>
              </w:rPr>
              <w:t>% Total</w:t>
            </w:r>
          </w:p>
        </w:tc>
        <w:tc>
          <w:tcPr>
            <w:tcW w:w="1480" w:type="dxa"/>
            <w:vAlign w:val="bottom"/>
            <w:gridSpan w:val="3"/>
          </w:tcPr>
          <w:p>
            <w:pPr>
              <w:jc w:val="right"/>
              <w:ind w:right="400"/>
              <w:spacing w:after="0"/>
              <w:rPr>
                <w:sz w:val="20"/>
                <w:szCs w:val="20"/>
                <w:color w:val="auto"/>
              </w:rPr>
            </w:pPr>
            <w:r>
              <w:rPr>
                <w:rFonts w:ascii="Arial" w:cs="Arial" w:eastAsia="Arial" w:hAnsi="Arial"/>
                <w:sz w:val="18"/>
                <w:szCs w:val="18"/>
                <w:color w:val="auto"/>
              </w:rPr>
              <w:t>Amount</w:t>
            </w:r>
          </w:p>
        </w:tc>
        <w:tc>
          <w:tcPr>
            <w:tcW w:w="740" w:type="dxa"/>
            <w:vAlign w:val="bottom"/>
          </w:tcPr>
          <w:p>
            <w:pPr>
              <w:jc w:val="right"/>
              <w:spacing w:after="0"/>
              <w:rPr>
                <w:sz w:val="20"/>
                <w:szCs w:val="20"/>
                <w:color w:val="auto"/>
              </w:rPr>
            </w:pPr>
            <w:r>
              <w:rPr>
                <w:rFonts w:ascii="Arial" w:cs="Arial" w:eastAsia="Arial" w:hAnsi="Arial"/>
                <w:sz w:val="18"/>
                <w:szCs w:val="18"/>
                <w:color w:val="auto"/>
              </w:rPr>
              <w:t>% Total</w:t>
            </w:r>
          </w:p>
        </w:tc>
      </w:tr>
      <w:tr>
        <w:trPr>
          <w:trHeight w:val="164"/>
        </w:trPr>
        <w:tc>
          <w:tcPr>
            <w:tcW w:w="452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r>
      <w:tr>
        <w:trPr>
          <w:trHeight w:val="370"/>
        </w:trPr>
        <w:tc>
          <w:tcPr>
            <w:tcW w:w="4580" w:type="dxa"/>
            <w:vAlign w:val="bottom"/>
            <w:gridSpan w:val="2"/>
          </w:tcPr>
          <w:p>
            <w:pPr>
              <w:spacing w:after="0"/>
              <w:rPr>
                <w:sz w:val="20"/>
                <w:szCs w:val="20"/>
                <w:color w:val="auto"/>
              </w:rPr>
            </w:pPr>
            <w:r>
              <w:rPr>
                <w:rFonts w:ascii="Arial" w:cs="Arial" w:eastAsia="Arial" w:hAnsi="Arial"/>
                <w:sz w:val="18"/>
                <w:szCs w:val="18"/>
                <w:color w:val="auto"/>
              </w:rPr>
              <w:t>A: Normal</w:t>
            </w:r>
          </w:p>
        </w:tc>
        <w:tc>
          <w:tcPr>
            <w:tcW w:w="1480" w:type="dxa"/>
            <w:vAlign w:val="bottom"/>
            <w:gridSpan w:val="3"/>
          </w:tcPr>
          <w:p>
            <w:pPr>
              <w:jc w:val="right"/>
              <w:ind w:right="400"/>
              <w:spacing w:after="0"/>
              <w:rPr>
                <w:sz w:val="20"/>
                <w:szCs w:val="20"/>
                <w:color w:val="auto"/>
              </w:rPr>
            </w:pPr>
            <w:r>
              <w:rPr>
                <w:rFonts w:ascii="Arial" w:cs="Arial" w:eastAsia="Arial" w:hAnsi="Arial"/>
                <w:sz w:val="18"/>
                <w:szCs w:val="18"/>
                <w:color w:val="auto"/>
                <w:w w:val="92"/>
              </w:rPr>
              <w:t>US$3,313,254</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69.9%</w:t>
            </w:r>
          </w:p>
        </w:tc>
        <w:tc>
          <w:tcPr>
            <w:tcW w:w="1480" w:type="dxa"/>
            <w:vAlign w:val="bottom"/>
            <w:gridSpan w:val="3"/>
          </w:tcPr>
          <w:p>
            <w:pPr>
              <w:jc w:val="right"/>
              <w:ind w:right="400"/>
              <w:spacing w:after="0"/>
              <w:rPr>
                <w:sz w:val="20"/>
                <w:szCs w:val="20"/>
                <w:color w:val="auto"/>
              </w:rPr>
            </w:pPr>
            <w:r>
              <w:rPr>
                <w:rFonts w:ascii="Arial" w:cs="Arial" w:eastAsia="Arial" w:hAnsi="Arial"/>
                <w:sz w:val="18"/>
                <w:szCs w:val="18"/>
                <w:color w:val="auto"/>
                <w:w w:val="92"/>
              </w:rPr>
              <w:t>US$3,127,630</w:t>
            </w:r>
          </w:p>
        </w:tc>
        <w:tc>
          <w:tcPr>
            <w:tcW w:w="740" w:type="dxa"/>
            <w:vAlign w:val="bottom"/>
          </w:tcPr>
          <w:p>
            <w:pPr>
              <w:jc w:val="right"/>
              <w:spacing w:after="0"/>
              <w:rPr>
                <w:sz w:val="20"/>
                <w:szCs w:val="20"/>
                <w:color w:val="auto"/>
              </w:rPr>
            </w:pPr>
            <w:r>
              <w:rPr>
                <w:rFonts w:ascii="Arial" w:cs="Arial" w:eastAsia="Arial" w:hAnsi="Arial"/>
                <w:sz w:val="18"/>
                <w:szCs w:val="18"/>
                <w:color w:val="auto"/>
              </w:rPr>
              <w:t>70.2%</w:t>
            </w:r>
          </w:p>
        </w:tc>
        <w:tc>
          <w:tcPr>
            <w:tcW w:w="60" w:type="dxa"/>
            <w:vAlign w:val="bottom"/>
          </w:tcPr>
          <w:p>
            <w:pPr>
              <w:spacing w:after="0"/>
              <w:rPr>
                <w:sz w:val="24"/>
                <w:szCs w:val="24"/>
                <w:color w:val="auto"/>
              </w:rPr>
            </w:pPr>
          </w:p>
        </w:tc>
        <w:tc>
          <w:tcPr>
            <w:tcW w:w="1480" w:type="dxa"/>
            <w:vAlign w:val="bottom"/>
            <w:gridSpan w:val="3"/>
          </w:tcPr>
          <w:p>
            <w:pPr>
              <w:jc w:val="right"/>
              <w:ind w:right="400"/>
              <w:spacing w:after="0"/>
              <w:rPr>
                <w:sz w:val="20"/>
                <w:szCs w:val="20"/>
                <w:color w:val="auto"/>
              </w:rPr>
            </w:pPr>
            <w:r>
              <w:rPr>
                <w:rFonts w:ascii="Arial" w:cs="Arial" w:eastAsia="Arial" w:hAnsi="Arial"/>
                <w:sz w:val="18"/>
                <w:szCs w:val="18"/>
                <w:color w:val="auto"/>
                <w:w w:val="92"/>
              </w:rPr>
              <w:t>US$2,864,087</w:t>
            </w:r>
          </w:p>
        </w:tc>
        <w:tc>
          <w:tcPr>
            <w:tcW w:w="740" w:type="dxa"/>
            <w:vAlign w:val="bottom"/>
          </w:tcPr>
          <w:p>
            <w:pPr>
              <w:jc w:val="right"/>
              <w:spacing w:after="0"/>
              <w:rPr>
                <w:sz w:val="20"/>
                <w:szCs w:val="20"/>
                <w:color w:val="auto"/>
              </w:rPr>
            </w:pPr>
            <w:r>
              <w:rPr>
                <w:rFonts w:ascii="Arial" w:cs="Arial" w:eastAsia="Arial" w:hAnsi="Arial"/>
                <w:sz w:val="18"/>
                <w:szCs w:val="18"/>
                <w:color w:val="auto"/>
              </w:rPr>
              <w:t>70.5%</w:t>
            </w:r>
          </w:p>
        </w:tc>
      </w:tr>
      <w:tr>
        <w:trPr>
          <w:trHeight w:val="270"/>
        </w:trPr>
        <w:tc>
          <w:tcPr>
            <w:tcW w:w="4580" w:type="dxa"/>
            <w:vAlign w:val="bottom"/>
            <w:gridSpan w:val="2"/>
          </w:tcPr>
          <w:p>
            <w:pPr>
              <w:spacing w:after="0"/>
              <w:rPr>
                <w:sz w:val="20"/>
                <w:szCs w:val="20"/>
                <w:color w:val="auto"/>
              </w:rPr>
            </w:pPr>
            <w:r>
              <w:rPr>
                <w:rFonts w:ascii="Arial" w:cs="Arial" w:eastAsia="Arial" w:hAnsi="Arial"/>
                <w:sz w:val="18"/>
                <w:szCs w:val="18"/>
                <w:color w:val="auto"/>
              </w:rPr>
              <w:t>B: Potential Problems</w:t>
            </w:r>
          </w:p>
        </w:tc>
        <w:tc>
          <w:tcPr>
            <w:tcW w:w="1080" w:type="dxa"/>
            <w:vAlign w:val="bottom"/>
          </w:tcPr>
          <w:p>
            <w:pPr>
              <w:ind w:left="520"/>
              <w:spacing w:after="0"/>
              <w:rPr>
                <w:sz w:val="20"/>
                <w:szCs w:val="20"/>
                <w:color w:val="auto"/>
              </w:rPr>
            </w:pPr>
            <w:r>
              <w:rPr>
                <w:rFonts w:ascii="Arial" w:cs="Arial" w:eastAsia="Arial" w:hAnsi="Arial"/>
                <w:sz w:val="18"/>
                <w:szCs w:val="18"/>
                <w:color w:val="auto"/>
                <w:w w:val="82"/>
              </w:rPr>
              <w:t>633,054</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13.4</w:t>
            </w:r>
          </w:p>
        </w:tc>
        <w:tc>
          <w:tcPr>
            <w:tcW w:w="40" w:type="dxa"/>
            <w:vAlign w:val="bottom"/>
          </w:tcPr>
          <w:p>
            <w:pPr>
              <w:spacing w:after="0"/>
              <w:rPr>
                <w:sz w:val="23"/>
                <w:szCs w:val="23"/>
                <w:color w:val="auto"/>
              </w:rPr>
            </w:pPr>
          </w:p>
        </w:tc>
        <w:tc>
          <w:tcPr>
            <w:tcW w:w="1080" w:type="dxa"/>
            <w:vAlign w:val="bottom"/>
          </w:tcPr>
          <w:p>
            <w:pPr>
              <w:ind w:left="520"/>
              <w:spacing w:after="0"/>
              <w:rPr>
                <w:sz w:val="20"/>
                <w:szCs w:val="20"/>
                <w:color w:val="auto"/>
              </w:rPr>
            </w:pPr>
            <w:r>
              <w:rPr>
                <w:rFonts w:ascii="Arial" w:cs="Arial" w:eastAsia="Arial" w:hAnsi="Arial"/>
                <w:sz w:val="18"/>
                <w:szCs w:val="18"/>
                <w:color w:val="auto"/>
                <w:w w:val="82"/>
              </w:rPr>
              <w:t>456,386</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441,323</w:t>
            </w:r>
          </w:p>
        </w:tc>
        <w:tc>
          <w:tcPr>
            <w:tcW w:w="340" w:type="dxa"/>
            <w:vAlign w:val="bottom"/>
          </w:tcPr>
          <w:p>
            <w:pPr>
              <w:spacing w:after="0"/>
              <w:rPr>
                <w:sz w:val="23"/>
                <w:szCs w:val="23"/>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10.9</w:t>
            </w:r>
          </w:p>
        </w:tc>
      </w:tr>
      <w:tr>
        <w:trPr>
          <w:trHeight w:val="270"/>
        </w:trPr>
        <w:tc>
          <w:tcPr>
            <w:tcW w:w="4580" w:type="dxa"/>
            <w:vAlign w:val="bottom"/>
            <w:gridSpan w:val="2"/>
          </w:tcPr>
          <w:p>
            <w:pPr>
              <w:spacing w:after="0"/>
              <w:rPr>
                <w:sz w:val="20"/>
                <w:szCs w:val="20"/>
                <w:color w:val="auto"/>
              </w:rPr>
            </w:pPr>
            <w:r>
              <w:rPr>
                <w:rFonts w:ascii="Arial" w:cs="Arial" w:eastAsia="Arial" w:hAnsi="Arial"/>
                <w:sz w:val="18"/>
                <w:szCs w:val="18"/>
                <w:color w:val="auto"/>
              </w:rPr>
              <w:t>C: Substandard</w:t>
            </w:r>
          </w:p>
        </w:tc>
        <w:tc>
          <w:tcPr>
            <w:tcW w:w="1080" w:type="dxa"/>
            <w:vAlign w:val="bottom"/>
          </w:tcPr>
          <w:p>
            <w:pPr>
              <w:ind w:left="520"/>
              <w:spacing w:after="0"/>
              <w:rPr>
                <w:sz w:val="20"/>
                <w:szCs w:val="20"/>
                <w:color w:val="auto"/>
              </w:rPr>
            </w:pPr>
            <w:r>
              <w:rPr>
                <w:rFonts w:ascii="Arial" w:cs="Arial" w:eastAsia="Arial" w:hAnsi="Arial"/>
                <w:sz w:val="18"/>
                <w:szCs w:val="18"/>
                <w:color w:val="auto"/>
                <w:w w:val="82"/>
              </w:rPr>
              <w:t>386,797</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8.2</w:t>
            </w:r>
          </w:p>
        </w:tc>
        <w:tc>
          <w:tcPr>
            <w:tcW w:w="40" w:type="dxa"/>
            <w:vAlign w:val="bottom"/>
          </w:tcPr>
          <w:p>
            <w:pPr>
              <w:spacing w:after="0"/>
              <w:rPr>
                <w:sz w:val="23"/>
                <w:szCs w:val="23"/>
                <w:color w:val="auto"/>
              </w:rPr>
            </w:pPr>
          </w:p>
        </w:tc>
        <w:tc>
          <w:tcPr>
            <w:tcW w:w="1080" w:type="dxa"/>
            <w:vAlign w:val="bottom"/>
          </w:tcPr>
          <w:p>
            <w:pPr>
              <w:ind w:left="520"/>
              <w:spacing w:after="0"/>
              <w:rPr>
                <w:sz w:val="20"/>
                <w:szCs w:val="20"/>
                <w:color w:val="auto"/>
              </w:rPr>
            </w:pPr>
            <w:r>
              <w:rPr>
                <w:rFonts w:ascii="Arial" w:cs="Arial" w:eastAsia="Arial" w:hAnsi="Arial"/>
                <w:sz w:val="18"/>
                <w:szCs w:val="18"/>
                <w:color w:val="auto"/>
                <w:w w:val="82"/>
              </w:rPr>
              <w:t>446,569</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316,945</w:t>
            </w:r>
          </w:p>
        </w:tc>
        <w:tc>
          <w:tcPr>
            <w:tcW w:w="340" w:type="dxa"/>
            <w:vAlign w:val="bottom"/>
          </w:tcPr>
          <w:p>
            <w:pPr>
              <w:spacing w:after="0"/>
              <w:rPr>
                <w:sz w:val="23"/>
                <w:szCs w:val="23"/>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7.8</w:t>
            </w:r>
          </w:p>
        </w:tc>
      </w:tr>
      <w:tr>
        <w:trPr>
          <w:trHeight w:val="270"/>
        </w:trPr>
        <w:tc>
          <w:tcPr>
            <w:tcW w:w="4580" w:type="dxa"/>
            <w:vAlign w:val="bottom"/>
            <w:gridSpan w:val="2"/>
          </w:tcPr>
          <w:p>
            <w:pPr>
              <w:spacing w:after="0"/>
              <w:rPr>
                <w:sz w:val="20"/>
                <w:szCs w:val="20"/>
                <w:color w:val="auto"/>
              </w:rPr>
            </w:pPr>
            <w:r>
              <w:rPr>
                <w:rFonts w:ascii="Arial" w:cs="Arial" w:eastAsia="Arial" w:hAnsi="Arial"/>
                <w:sz w:val="18"/>
                <w:szCs w:val="18"/>
                <w:color w:val="auto"/>
              </w:rPr>
              <w:t>D: Doubtful</w:t>
            </w:r>
          </w:p>
        </w:tc>
        <w:tc>
          <w:tcPr>
            <w:tcW w:w="1080" w:type="dxa"/>
            <w:vAlign w:val="bottom"/>
          </w:tcPr>
          <w:p>
            <w:pPr>
              <w:ind w:left="520"/>
              <w:spacing w:after="0"/>
              <w:rPr>
                <w:sz w:val="20"/>
                <w:szCs w:val="20"/>
                <w:color w:val="auto"/>
              </w:rPr>
            </w:pPr>
            <w:r>
              <w:rPr>
                <w:rFonts w:ascii="Arial" w:cs="Arial" w:eastAsia="Arial" w:hAnsi="Arial"/>
                <w:sz w:val="18"/>
                <w:szCs w:val="18"/>
                <w:color w:val="auto"/>
                <w:w w:val="82"/>
              </w:rPr>
              <w:t>281,349</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23"/>
                <w:szCs w:val="23"/>
                <w:color w:val="auto"/>
              </w:rPr>
            </w:pPr>
          </w:p>
        </w:tc>
        <w:tc>
          <w:tcPr>
            <w:tcW w:w="1080" w:type="dxa"/>
            <w:vAlign w:val="bottom"/>
          </w:tcPr>
          <w:p>
            <w:pPr>
              <w:ind w:left="520"/>
              <w:spacing w:after="0"/>
              <w:rPr>
                <w:sz w:val="20"/>
                <w:szCs w:val="20"/>
                <w:color w:val="auto"/>
              </w:rPr>
            </w:pPr>
            <w:r>
              <w:rPr>
                <w:rFonts w:ascii="Arial" w:cs="Arial" w:eastAsia="Arial" w:hAnsi="Arial"/>
                <w:sz w:val="18"/>
                <w:szCs w:val="18"/>
                <w:color w:val="auto"/>
                <w:w w:val="82"/>
              </w:rPr>
              <w:t>232,183</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196,501</w:t>
            </w:r>
          </w:p>
        </w:tc>
        <w:tc>
          <w:tcPr>
            <w:tcW w:w="340" w:type="dxa"/>
            <w:vAlign w:val="bottom"/>
          </w:tcPr>
          <w:p>
            <w:pPr>
              <w:spacing w:after="0"/>
              <w:rPr>
                <w:sz w:val="23"/>
                <w:szCs w:val="23"/>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4.8</w:t>
            </w:r>
          </w:p>
        </w:tc>
      </w:tr>
      <w:tr>
        <w:trPr>
          <w:trHeight w:val="270"/>
        </w:trPr>
        <w:tc>
          <w:tcPr>
            <w:tcW w:w="4580" w:type="dxa"/>
            <w:vAlign w:val="bottom"/>
            <w:gridSpan w:val="2"/>
          </w:tcPr>
          <w:p>
            <w:pPr>
              <w:spacing w:after="0"/>
              <w:rPr>
                <w:sz w:val="20"/>
                <w:szCs w:val="20"/>
                <w:color w:val="auto"/>
              </w:rPr>
            </w:pPr>
            <w:r>
              <w:rPr>
                <w:rFonts w:ascii="Arial" w:cs="Arial" w:eastAsia="Arial" w:hAnsi="Arial"/>
                <w:sz w:val="18"/>
                <w:szCs w:val="18"/>
                <w:color w:val="auto"/>
              </w:rPr>
              <w:t>E: Loss</w:t>
            </w:r>
          </w:p>
        </w:tc>
        <w:tc>
          <w:tcPr>
            <w:tcW w:w="1080" w:type="dxa"/>
            <w:vAlign w:val="bottom"/>
          </w:tcPr>
          <w:p>
            <w:pPr>
              <w:ind w:left="520"/>
              <w:spacing w:after="0"/>
              <w:rPr>
                <w:sz w:val="20"/>
                <w:szCs w:val="20"/>
                <w:color w:val="auto"/>
              </w:rPr>
            </w:pPr>
            <w:r>
              <w:rPr>
                <w:rFonts w:ascii="Arial" w:cs="Arial" w:eastAsia="Arial" w:hAnsi="Arial"/>
                <w:sz w:val="18"/>
                <w:szCs w:val="18"/>
                <w:color w:val="auto"/>
                <w:w w:val="82"/>
              </w:rPr>
              <w:t>123,235</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23"/>
                <w:szCs w:val="23"/>
                <w:color w:val="auto"/>
              </w:rPr>
            </w:pPr>
          </w:p>
        </w:tc>
        <w:tc>
          <w:tcPr>
            <w:tcW w:w="1080" w:type="dxa"/>
            <w:vAlign w:val="bottom"/>
          </w:tcPr>
          <w:p>
            <w:pPr>
              <w:ind w:left="520"/>
              <w:spacing w:after="0"/>
              <w:rPr>
                <w:sz w:val="20"/>
                <w:szCs w:val="20"/>
                <w:color w:val="auto"/>
              </w:rPr>
            </w:pPr>
            <w:r>
              <w:rPr>
                <w:rFonts w:ascii="Arial" w:cs="Arial" w:eastAsia="Arial" w:hAnsi="Arial"/>
                <w:sz w:val="18"/>
                <w:szCs w:val="18"/>
                <w:color w:val="auto"/>
                <w:w w:val="82"/>
              </w:rPr>
              <w:t>191,317</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245,623</w:t>
            </w:r>
          </w:p>
        </w:tc>
        <w:tc>
          <w:tcPr>
            <w:tcW w:w="340" w:type="dxa"/>
            <w:vAlign w:val="bottom"/>
          </w:tcPr>
          <w:p>
            <w:pPr>
              <w:spacing w:after="0"/>
              <w:rPr>
                <w:sz w:val="23"/>
                <w:szCs w:val="23"/>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6.0</w:t>
            </w:r>
          </w:p>
        </w:tc>
      </w:tr>
      <w:tr>
        <w:trPr>
          <w:trHeight w:val="164"/>
        </w:trPr>
        <w:tc>
          <w:tcPr>
            <w:tcW w:w="4580" w:type="dxa"/>
            <w:vAlign w:val="bottom"/>
            <w:gridSpan w:val="2"/>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r>
      <w:tr>
        <w:trPr>
          <w:trHeight w:val="383"/>
        </w:trPr>
        <w:tc>
          <w:tcPr>
            <w:tcW w:w="458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1480" w:type="dxa"/>
            <w:vAlign w:val="bottom"/>
            <w:gridSpan w:val="3"/>
          </w:tcPr>
          <w:p>
            <w:pPr>
              <w:jc w:val="right"/>
              <w:ind w:right="400"/>
              <w:spacing w:after="0"/>
              <w:rPr>
                <w:sz w:val="20"/>
                <w:szCs w:val="20"/>
                <w:color w:val="auto"/>
              </w:rPr>
            </w:pPr>
            <w:r>
              <w:rPr>
                <w:rFonts w:ascii="Arial" w:cs="Arial" w:eastAsia="Arial" w:hAnsi="Arial"/>
                <w:sz w:val="18"/>
                <w:szCs w:val="18"/>
                <w:color w:val="auto"/>
              </w:rPr>
              <w:t>U$4,737,689</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1480" w:type="dxa"/>
            <w:vAlign w:val="bottom"/>
            <w:gridSpan w:val="3"/>
          </w:tcPr>
          <w:p>
            <w:pPr>
              <w:jc w:val="right"/>
              <w:ind w:right="400"/>
              <w:spacing w:after="0"/>
              <w:rPr>
                <w:sz w:val="20"/>
                <w:szCs w:val="20"/>
                <w:color w:val="auto"/>
              </w:rPr>
            </w:pPr>
            <w:r>
              <w:rPr>
                <w:rFonts w:ascii="Arial" w:cs="Arial" w:eastAsia="Arial" w:hAnsi="Arial"/>
                <w:sz w:val="18"/>
                <w:szCs w:val="18"/>
                <w:color w:val="auto"/>
                <w:w w:val="92"/>
              </w:rPr>
              <w:t>US$4,454,085</w:t>
            </w:r>
          </w:p>
        </w:tc>
        <w:tc>
          <w:tcPr>
            <w:tcW w:w="740" w:type="dxa"/>
            <w:vAlign w:val="bottom"/>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24"/>
                <w:szCs w:val="24"/>
                <w:color w:val="auto"/>
              </w:rPr>
            </w:pPr>
          </w:p>
        </w:tc>
        <w:tc>
          <w:tcPr>
            <w:tcW w:w="1480" w:type="dxa"/>
            <w:vAlign w:val="bottom"/>
            <w:gridSpan w:val="3"/>
          </w:tcPr>
          <w:p>
            <w:pPr>
              <w:jc w:val="right"/>
              <w:ind w:right="400"/>
              <w:spacing w:after="0"/>
              <w:rPr>
                <w:sz w:val="20"/>
                <w:szCs w:val="20"/>
                <w:color w:val="auto"/>
              </w:rPr>
            </w:pPr>
            <w:r>
              <w:rPr>
                <w:rFonts w:ascii="Arial" w:cs="Arial" w:eastAsia="Arial" w:hAnsi="Arial"/>
                <w:sz w:val="18"/>
                <w:szCs w:val="18"/>
                <w:color w:val="auto"/>
                <w:w w:val="92"/>
              </w:rPr>
              <w:t>US$4,064,479</w:t>
            </w:r>
          </w:p>
        </w:tc>
        <w:tc>
          <w:tcPr>
            <w:tcW w:w="74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174"/>
        </w:trPr>
        <w:tc>
          <w:tcPr>
            <w:tcW w:w="4580" w:type="dxa"/>
            <w:vAlign w:val="bottom"/>
            <w:gridSpan w:val="2"/>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r>
      <w:tr>
        <w:trPr>
          <w:trHeight w:val="373"/>
        </w:trPr>
        <w:tc>
          <w:tcPr>
            <w:tcW w:w="4580" w:type="dxa"/>
            <w:vAlign w:val="bottom"/>
            <w:gridSpan w:val="2"/>
          </w:tcPr>
          <w:p>
            <w:pPr>
              <w:spacing w:after="0"/>
              <w:rPr>
                <w:sz w:val="20"/>
                <w:szCs w:val="20"/>
                <w:color w:val="auto"/>
              </w:rPr>
            </w:pPr>
            <w:r>
              <w:rPr>
                <w:rFonts w:ascii="Arial" w:cs="Arial" w:eastAsia="Arial" w:hAnsi="Arial"/>
                <w:sz w:val="18"/>
                <w:szCs w:val="18"/>
                <w:color w:val="auto"/>
              </w:rPr>
              <w:t>C+D+E</w:t>
            </w:r>
          </w:p>
        </w:tc>
        <w:tc>
          <w:tcPr>
            <w:tcW w:w="1480" w:type="dxa"/>
            <w:vAlign w:val="bottom"/>
            <w:gridSpan w:val="3"/>
          </w:tcPr>
          <w:p>
            <w:pPr>
              <w:jc w:val="right"/>
              <w:ind w:right="400"/>
              <w:spacing w:after="0"/>
              <w:rPr>
                <w:sz w:val="20"/>
                <w:szCs w:val="20"/>
                <w:color w:val="auto"/>
              </w:rPr>
            </w:pPr>
            <w:r>
              <w:rPr>
                <w:rFonts w:ascii="Arial" w:cs="Arial" w:eastAsia="Arial" w:hAnsi="Arial"/>
                <w:sz w:val="18"/>
                <w:szCs w:val="18"/>
                <w:color w:val="auto"/>
              </w:rPr>
              <w:t>US$791,381</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16.7%</w:t>
            </w:r>
          </w:p>
        </w:tc>
        <w:tc>
          <w:tcPr>
            <w:tcW w:w="1480" w:type="dxa"/>
            <w:vAlign w:val="bottom"/>
            <w:gridSpan w:val="3"/>
          </w:tcPr>
          <w:p>
            <w:pPr>
              <w:jc w:val="right"/>
              <w:ind w:right="400"/>
              <w:spacing w:after="0"/>
              <w:rPr>
                <w:sz w:val="20"/>
                <w:szCs w:val="20"/>
                <w:color w:val="auto"/>
              </w:rPr>
            </w:pPr>
            <w:r>
              <w:rPr>
                <w:rFonts w:ascii="Arial" w:cs="Arial" w:eastAsia="Arial" w:hAnsi="Arial"/>
                <w:sz w:val="18"/>
                <w:szCs w:val="18"/>
                <w:color w:val="auto"/>
              </w:rPr>
              <w:t>US$870,069</w:t>
            </w:r>
          </w:p>
        </w:tc>
        <w:tc>
          <w:tcPr>
            <w:tcW w:w="740" w:type="dxa"/>
            <w:vAlign w:val="bottom"/>
          </w:tcPr>
          <w:p>
            <w:pPr>
              <w:jc w:val="right"/>
              <w:spacing w:after="0"/>
              <w:rPr>
                <w:sz w:val="20"/>
                <w:szCs w:val="20"/>
                <w:color w:val="auto"/>
              </w:rPr>
            </w:pPr>
            <w:r>
              <w:rPr>
                <w:rFonts w:ascii="Arial" w:cs="Arial" w:eastAsia="Arial" w:hAnsi="Arial"/>
                <w:sz w:val="18"/>
                <w:szCs w:val="18"/>
                <w:color w:val="auto"/>
              </w:rPr>
              <w:t>19.5%</w:t>
            </w:r>
          </w:p>
        </w:tc>
        <w:tc>
          <w:tcPr>
            <w:tcW w:w="60" w:type="dxa"/>
            <w:vAlign w:val="bottom"/>
          </w:tcPr>
          <w:p>
            <w:pPr>
              <w:spacing w:after="0"/>
              <w:rPr>
                <w:sz w:val="24"/>
                <w:szCs w:val="24"/>
                <w:color w:val="auto"/>
              </w:rPr>
            </w:pPr>
          </w:p>
        </w:tc>
        <w:tc>
          <w:tcPr>
            <w:tcW w:w="1480" w:type="dxa"/>
            <w:vAlign w:val="bottom"/>
            <w:gridSpan w:val="3"/>
          </w:tcPr>
          <w:p>
            <w:pPr>
              <w:jc w:val="right"/>
              <w:ind w:right="400"/>
              <w:spacing w:after="0"/>
              <w:rPr>
                <w:sz w:val="20"/>
                <w:szCs w:val="20"/>
                <w:color w:val="auto"/>
              </w:rPr>
            </w:pPr>
            <w:r>
              <w:rPr>
                <w:rFonts w:ascii="Arial" w:cs="Arial" w:eastAsia="Arial" w:hAnsi="Arial"/>
                <w:sz w:val="18"/>
                <w:szCs w:val="18"/>
                <w:color w:val="auto"/>
              </w:rPr>
              <w:t>US$759,069</w:t>
            </w:r>
          </w:p>
        </w:tc>
        <w:tc>
          <w:tcPr>
            <w:tcW w:w="74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459"/>
        </w:trPr>
        <w:tc>
          <w:tcPr>
            <w:tcW w:w="4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gridSpan w:val="3"/>
          </w:tcPr>
          <w:p>
            <w:pPr>
              <w:ind w:left="1000"/>
              <w:spacing w:after="0"/>
              <w:rPr>
                <w:sz w:val="20"/>
                <w:szCs w:val="20"/>
                <w:color w:val="auto"/>
              </w:rPr>
            </w:pPr>
            <w:r>
              <w:rPr>
                <w:rFonts w:ascii="Arial" w:cs="Arial" w:eastAsia="Arial" w:hAnsi="Arial"/>
                <w:sz w:val="18"/>
                <w:szCs w:val="18"/>
                <w:color w:val="auto"/>
              </w:rPr>
              <w:t>71</w:t>
            </w: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-3020695</wp:posOffset>
            </wp:positionV>
            <wp:extent cx="34290" cy="342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-2660650</wp:posOffset>
            </wp:positionV>
            <wp:extent cx="34290" cy="342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5772785</wp:posOffset>
            </wp:positionH>
            <wp:positionV relativeFrom="paragraph">
              <wp:posOffset>-2660650</wp:posOffset>
            </wp:positionV>
            <wp:extent cx="34290" cy="342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-2660650</wp:posOffset>
            </wp:positionV>
            <wp:extent cx="34290" cy="342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2874010</wp:posOffset>
            </wp:positionH>
            <wp:positionV relativeFrom="paragraph">
              <wp:posOffset>-1957705</wp:posOffset>
            </wp:positionV>
            <wp:extent cx="34290" cy="342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3602990</wp:posOffset>
            </wp:positionH>
            <wp:positionV relativeFrom="paragraph">
              <wp:posOffset>-1957705</wp:posOffset>
            </wp:positionV>
            <wp:extent cx="34290" cy="342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-1957705</wp:posOffset>
            </wp:positionV>
            <wp:extent cx="34290" cy="342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-1957705</wp:posOffset>
            </wp:positionV>
            <wp:extent cx="34290" cy="342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5772785</wp:posOffset>
            </wp:positionH>
            <wp:positionV relativeFrom="paragraph">
              <wp:posOffset>-1957705</wp:posOffset>
            </wp:positionV>
            <wp:extent cx="34290" cy="342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-1957705</wp:posOffset>
            </wp:positionV>
            <wp:extent cx="34290" cy="342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-1957705</wp:posOffset>
            </wp:positionV>
            <wp:extent cx="34290" cy="342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3602990</wp:posOffset>
            </wp:positionH>
            <wp:positionV relativeFrom="paragraph">
              <wp:posOffset>-920115</wp:posOffset>
            </wp:positionV>
            <wp:extent cx="34290" cy="342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-920115</wp:posOffset>
            </wp:positionV>
            <wp:extent cx="34290" cy="342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-920115</wp:posOffset>
            </wp:positionV>
            <wp:extent cx="34290" cy="342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5772785</wp:posOffset>
            </wp:positionH>
            <wp:positionV relativeFrom="paragraph">
              <wp:posOffset>-920115</wp:posOffset>
            </wp:positionV>
            <wp:extent cx="34290" cy="342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-920115</wp:posOffset>
            </wp:positionV>
            <wp:extent cx="34290" cy="342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-920115</wp:posOffset>
            </wp:positionV>
            <wp:extent cx="34290" cy="342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-542925</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-542925</wp:posOffset>
            </wp:positionV>
            <wp:extent cx="12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-542925</wp:posOffset>
            </wp:positionV>
            <wp:extent cx="12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-542925</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-542925</wp:posOffset>
            </wp:positionV>
            <wp:extent cx="12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-542925</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-542925</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-542925</wp:posOffset>
            </wp:positionV>
            <wp:extent cx="127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-542925</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-542925</wp:posOffset>
            </wp:positionV>
            <wp:extent cx="12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-542925</wp:posOffset>
            </wp:positionV>
            <wp:extent cx="12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-542925</wp:posOffset>
            </wp:positionV>
            <wp:extent cx="12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tbl>
      <w:tblPr>
        <w:tblLayout w:type="fixed"/>
        <w:tblInd w:w="40" w:type="dxa"/>
        <w:tblCellMar>
          <w:top w:w="0" w:type="dxa"/>
          <w:left w:w="0" w:type="dxa"/>
          <w:bottom w:w="0" w:type="dxa"/>
          <w:right w:w="0" w:type="dxa"/>
        </w:tblCellMar>
      </w:tblPr>
      <w:tr>
        <w:trPr>
          <w:trHeight w:val="228"/>
        </w:trPr>
        <w:tc>
          <w:tcPr>
            <w:tcW w:w="4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740" w:type="dxa"/>
            <w:vAlign w:val="bottom"/>
            <w:gridSpan w:val="3"/>
          </w:tcPr>
          <w:p>
            <w:pPr>
              <w:ind w:left="460"/>
              <w:spacing w:after="0"/>
              <w:rPr>
                <w:sz w:val="20"/>
                <w:szCs w:val="20"/>
                <w:color w:val="auto"/>
              </w:rPr>
            </w:pPr>
            <w:r>
              <w:rPr>
                <w:rFonts w:ascii="Arial" w:cs="Arial" w:eastAsia="Arial" w:hAnsi="Arial"/>
                <w:sz w:val="18"/>
                <w:szCs w:val="18"/>
                <w:b w:val="1"/>
                <w:bCs w:val="1"/>
                <w:color w:val="auto"/>
                <w:w w:val="89"/>
              </w:rPr>
              <w:t>At December 31,</w:t>
            </w: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4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83"/>
        </w:trPr>
        <w:tc>
          <w:tcPr>
            <w:tcW w:w="4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0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2002</w:t>
            </w: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6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2003</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rPr>
              <w:t>Level of Risk</w:t>
            </w:r>
          </w:p>
        </w:tc>
        <w:tc>
          <w:tcPr>
            <w:tcW w:w="16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83"/>
        </w:trPr>
        <w:tc>
          <w:tcPr>
            <w:tcW w:w="4580" w:type="dxa"/>
            <w:vAlign w:val="bottom"/>
            <w:gridSpan w:val="2"/>
            <w:vMerge w:val="continue"/>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580" w:type="dxa"/>
            <w:vAlign w:val="bottom"/>
            <w:gridSpan w:val="2"/>
          </w:tcPr>
          <w:p>
            <w:pPr>
              <w:spacing w:after="0"/>
              <w:rPr>
                <w:sz w:val="20"/>
                <w:szCs w:val="20"/>
                <w:color w:val="auto"/>
              </w:rPr>
            </w:pPr>
            <w:r>
              <w:rPr>
                <w:rFonts w:ascii="Arial" w:cs="Arial" w:eastAsia="Arial" w:hAnsi="Arial"/>
                <w:sz w:val="18"/>
                <w:szCs w:val="18"/>
                <w:color w:val="auto"/>
              </w:rPr>
              <w:t>Classification</w:t>
            </w:r>
          </w:p>
        </w:tc>
        <w:tc>
          <w:tcPr>
            <w:tcW w:w="2300" w:type="dxa"/>
            <w:vAlign w:val="bottom"/>
            <w:gridSpan w:val="3"/>
          </w:tcPr>
          <w:p>
            <w:pPr>
              <w:jc w:val="right"/>
              <w:ind w:right="640"/>
              <w:spacing w:after="0"/>
              <w:rPr>
                <w:sz w:val="20"/>
                <w:szCs w:val="20"/>
                <w:color w:val="auto"/>
              </w:rPr>
            </w:pPr>
            <w:r>
              <w:rPr>
                <w:rFonts w:ascii="Arial" w:cs="Arial" w:eastAsia="Arial" w:hAnsi="Arial"/>
                <w:sz w:val="18"/>
                <w:szCs w:val="18"/>
                <w:color w:val="auto"/>
              </w:rPr>
              <w:t>Amount</w:t>
            </w:r>
          </w:p>
        </w:tc>
        <w:tc>
          <w:tcPr>
            <w:tcW w:w="1740" w:type="dxa"/>
            <w:vAlign w:val="bottom"/>
            <w:gridSpan w:val="3"/>
          </w:tcPr>
          <w:p>
            <w:pPr>
              <w:ind w:left="520"/>
              <w:spacing w:after="0"/>
              <w:rPr>
                <w:sz w:val="20"/>
                <w:szCs w:val="20"/>
                <w:color w:val="auto"/>
              </w:rPr>
            </w:pPr>
            <w:r>
              <w:rPr>
                <w:rFonts w:ascii="Arial" w:cs="Arial" w:eastAsia="Arial" w:hAnsi="Arial"/>
                <w:sz w:val="18"/>
                <w:szCs w:val="18"/>
                <w:color w:val="auto"/>
              </w:rPr>
              <w:t>% Total</w:t>
            </w:r>
          </w:p>
        </w:tc>
        <w:tc>
          <w:tcPr>
            <w:tcW w:w="1660" w:type="dxa"/>
            <w:vAlign w:val="bottom"/>
            <w:gridSpan w:val="3"/>
          </w:tcPr>
          <w:p>
            <w:pPr>
              <w:jc w:val="right"/>
              <w:ind w:right="620"/>
              <w:spacing w:after="0"/>
              <w:rPr>
                <w:sz w:val="20"/>
                <w:szCs w:val="20"/>
                <w:color w:val="auto"/>
              </w:rPr>
            </w:pPr>
            <w:r>
              <w:rPr>
                <w:rFonts w:ascii="Arial" w:cs="Arial" w:eastAsia="Arial" w:hAnsi="Arial"/>
                <w:sz w:val="18"/>
                <w:szCs w:val="18"/>
                <w:color w:val="auto"/>
              </w:rPr>
              <w:t>Amount</w:t>
            </w:r>
          </w:p>
        </w:tc>
        <w:tc>
          <w:tcPr>
            <w:tcW w:w="1080" w:type="dxa"/>
            <w:vAlign w:val="bottom"/>
          </w:tcPr>
          <w:p>
            <w:pPr>
              <w:jc w:val="right"/>
              <w:spacing w:after="0"/>
              <w:rPr>
                <w:sz w:val="20"/>
                <w:szCs w:val="20"/>
                <w:color w:val="auto"/>
              </w:rPr>
            </w:pPr>
            <w:r>
              <w:rPr>
                <w:rFonts w:ascii="Arial" w:cs="Arial" w:eastAsia="Arial" w:hAnsi="Arial"/>
                <w:sz w:val="18"/>
                <w:szCs w:val="18"/>
                <w:color w:val="auto"/>
              </w:rPr>
              <w:t>% Total</w:t>
            </w:r>
          </w:p>
        </w:tc>
        <w:tc>
          <w:tcPr>
            <w:tcW w:w="0" w:type="dxa"/>
            <w:vAlign w:val="bottom"/>
          </w:tcPr>
          <w:p>
            <w:pPr>
              <w:spacing w:after="0"/>
              <w:rPr>
                <w:sz w:val="1"/>
                <w:szCs w:val="1"/>
                <w:color w:val="auto"/>
              </w:rPr>
            </w:pPr>
          </w:p>
        </w:tc>
      </w:tr>
      <w:tr>
        <w:trPr>
          <w:trHeight w:val="164"/>
        </w:trPr>
        <w:tc>
          <w:tcPr>
            <w:tcW w:w="452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70"/>
        </w:trPr>
        <w:tc>
          <w:tcPr>
            <w:tcW w:w="4580" w:type="dxa"/>
            <w:vAlign w:val="bottom"/>
            <w:gridSpan w:val="2"/>
          </w:tcPr>
          <w:p>
            <w:pPr>
              <w:spacing w:after="0"/>
              <w:rPr>
                <w:sz w:val="20"/>
                <w:szCs w:val="20"/>
                <w:color w:val="auto"/>
              </w:rPr>
            </w:pPr>
            <w:r>
              <w:rPr>
                <w:rFonts w:ascii="Arial" w:cs="Arial" w:eastAsia="Arial" w:hAnsi="Arial"/>
                <w:sz w:val="18"/>
                <w:szCs w:val="18"/>
                <w:color w:val="auto"/>
              </w:rPr>
              <w:t>A: Normal</w:t>
            </w:r>
          </w:p>
        </w:tc>
        <w:tc>
          <w:tcPr>
            <w:tcW w:w="2300" w:type="dxa"/>
            <w:vAlign w:val="bottom"/>
            <w:gridSpan w:val="3"/>
          </w:tcPr>
          <w:p>
            <w:pPr>
              <w:jc w:val="right"/>
              <w:ind w:right="640"/>
              <w:spacing w:after="0"/>
              <w:rPr>
                <w:sz w:val="20"/>
                <w:szCs w:val="20"/>
                <w:color w:val="auto"/>
              </w:rPr>
            </w:pPr>
            <w:r>
              <w:rPr>
                <w:rFonts w:ascii="Arial" w:cs="Arial" w:eastAsia="Arial" w:hAnsi="Arial"/>
                <w:sz w:val="18"/>
                <w:szCs w:val="18"/>
                <w:color w:val="auto"/>
              </w:rPr>
              <w:t>US$3,543,152</w:t>
            </w:r>
          </w:p>
        </w:tc>
        <w:tc>
          <w:tcPr>
            <w:tcW w:w="1060" w:type="dxa"/>
            <w:vAlign w:val="bottom"/>
          </w:tcPr>
          <w:p>
            <w:pPr>
              <w:jc w:val="right"/>
              <w:spacing w:after="0"/>
              <w:rPr>
                <w:sz w:val="20"/>
                <w:szCs w:val="20"/>
                <w:color w:val="auto"/>
              </w:rPr>
            </w:pPr>
            <w:r>
              <w:rPr>
                <w:rFonts w:ascii="Arial" w:cs="Arial" w:eastAsia="Arial" w:hAnsi="Arial"/>
                <w:sz w:val="18"/>
                <w:szCs w:val="18"/>
                <w:color w:val="auto"/>
              </w:rPr>
              <w:t>73.5%</w:t>
            </w: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60" w:type="dxa"/>
            <w:vAlign w:val="bottom"/>
            <w:gridSpan w:val="3"/>
          </w:tcPr>
          <w:p>
            <w:pPr>
              <w:jc w:val="right"/>
              <w:ind w:right="620"/>
              <w:spacing w:after="0"/>
              <w:rPr>
                <w:sz w:val="20"/>
                <w:szCs w:val="20"/>
                <w:color w:val="auto"/>
              </w:rPr>
            </w:pPr>
            <w:r>
              <w:rPr>
                <w:rFonts w:ascii="Arial" w:cs="Arial" w:eastAsia="Arial" w:hAnsi="Arial"/>
                <w:sz w:val="18"/>
                <w:szCs w:val="18"/>
                <w:color w:val="auto"/>
                <w:w w:val="88"/>
              </w:rPr>
              <w:t>US$3,393,833</w:t>
            </w:r>
          </w:p>
        </w:tc>
        <w:tc>
          <w:tcPr>
            <w:tcW w:w="1080" w:type="dxa"/>
            <w:vAlign w:val="bottom"/>
          </w:tcPr>
          <w:p>
            <w:pPr>
              <w:jc w:val="right"/>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70"/>
        </w:trPr>
        <w:tc>
          <w:tcPr>
            <w:tcW w:w="4580" w:type="dxa"/>
            <w:vAlign w:val="bottom"/>
            <w:gridSpan w:val="2"/>
          </w:tcPr>
          <w:p>
            <w:pPr>
              <w:spacing w:after="0"/>
              <w:rPr>
                <w:sz w:val="20"/>
                <w:szCs w:val="20"/>
                <w:color w:val="auto"/>
              </w:rPr>
            </w:pPr>
            <w:r>
              <w:rPr>
                <w:rFonts w:ascii="Arial" w:cs="Arial" w:eastAsia="Arial" w:hAnsi="Arial"/>
                <w:sz w:val="18"/>
                <w:szCs w:val="18"/>
                <w:color w:val="auto"/>
              </w:rPr>
              <w:t>B: Potential Problems</w:t>
            </w:r>
          </w:p>
        </w:tc>
        <w:tc>
          <w:tcPr>
            <w:tcW w:w="1660" w:type="dxa"/>
            <w:vAlign w:val="bottom"/>
          </w:tcPr>
          <w:p>
            <w:pPr>
              <w:jc w:val="right"/>
              <w:spacing w:after="0"/>
              <w:rPr>
                <w:sz w:val="20"/>
                <w:szCs w:val="20"/>
                <w:color w:val="auto"/>
              </w:rPr>
            </w:pPr>
            <w:r>
              <w:rPr>
                <w:rFonts w:ascii="Arial" w:cs="Arial" w:eastAsia="Arial" w:hAnsi="Arial"/>
                <w:sz w:val="18"/>
                <w:szCs w:val="18"/>
                <w:color w:val="auto"/>
              </w:rPr>
              <w:t>456,056</w:t>
            </w:r>
          </w:p>
        </w:tc>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9.5</w:t>
            </w:r>
          </w:p>
        </w:tc>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437,682</w:t>
            </w: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0"/>
        </w:trPr>
        <w:tc>
          <w:tcPr>
            <w:tcW w:w="4580" w:type="dxa"/>
            <w:vAlign w:val="bottom"/>
            <w:gridSpan w:val="2"/>
          </w:tcPr>
          <w:p>
            <w:pPr>
              <w:spacing w:after="0"/>
              <w:rPr>
                <w:sz w:val="20"/>
                <w:szCs w:val="20"/>
                <w:color w:val="auto"/>
              </w:rPr>
            </w:pPr>
            <w:r>
              <w:rPr>
                <w:rFonts w:ascii="Arial" w:cs="Arial" w:eastAsia="Arial" w:hAnsi="Arial"/>
                <w:sz w:val="18"/>
                <w:szCs w:val="18"/>
                <w:color w:val="auto"/>
              </w:rPr>
              <w:t>C: Substandard</w:t>
            </w:r>
          </w:p>
        </w:tc>
        <w:tc>
          <w:tcPr>
            <w:tcW w:w="1660" w:type="dxa"/>
            <w:vAlign w:val="bottom"/>
          </w:tcPr>
          <w:p>
            <w:pPr>
              <w:jc w:val="right"/>
              <w:spacing w:after="0"/>
              <w:rPr>
                <w:sz w:val="20"/>
                <w:szCs w:val="20"/>
                <w:color w:val="auto"/>
              </w:rPr>
            </w:pPr>
            <w:r>
              <w:rPr>
                <w:rFonts w:ascii="Arial" w:cs="Arial" w:eastAsia="Arial" w:hAnsi="Arial"/>
                <w:sz w:val="18"/>
                <w:szCs w:val="18"/>
                <w:color w:val="auto"/>
              </w:rPr>
              <w:t>334,423</w:t>
            </w:r>
          </w:p>
        </w:tc>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240,316</w:t>
            </w: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0"/>
        </w:trPr>
        <w:tc>
          <w:tcPr>
            <w:tcW w:w="4580" w:type="dxa"/>
            <w:vAlign w:val="bottom"/>
            <w:gridSpan w:val="2"/>
          </w:tcPr>
          <w:p>
            <w:pPr>
              <w:spacing w:after="0"/>
              <w:rPr>
                <w:sz w:val="20"/>
                <w:szCs w:val="20"/>
                <w:color w:val="auto"/>
              </w:rPr>
            </w:pPr>
            <w:r>
              <w:rPr>
                <w:rFonts w:ascii="Arial" w:cs="Arial" w:eastAsia="Arial" w:hAnsi="Arial"/>
                <w:sz w:val="18"/>
                <w:szCs w:val="18"/>
                <w:color w:val="auto"/>
              </w:rPr>
              <w:t>D: Doubtful</w:t>
            </w:r>
          </w:p>
        </w:tc>
        <w:tc>
          <w:tcPr>
            <w:tcW w:w="1660" w:type="dxa"/>
            <w:vAlign w:val="bottom"/>
          </w:tcPr>
          <w:p>
            <w:pPr>
              <w:jc w:val="right"/>
              <w:spacing w:after="0"/>
              <w:rPr>
                <w:sz w:val="20"/>
                <w:szCs w:val="20"/>
                <w:color w:val="auto"/>
              </w:rPr>
            </w:pPr>
            <w:r>
              <w:rPr>
                <w:rFonts w:ascii="Arial" w:cs="Arial" w:eastAsia="Arial" w:hAnsi="Arial"/>
                <w:sz w:val="18"/>
                <w:szCs w:val="18"/>
                <w:color w:val="auto"/>
              </w:rPr>
              <w:t>239,101</w:t>
            </w:r>
          </w:p>
        </w:tc>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266,723</w:t>
            </w: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0"/>
        </w:trPr>
        <w:tc>
          <w:tcPr>
            <w:tcW w:w="4580" w:type="dxa"/>
            <w:vAlign w:val="bottom"/>
            <w:gridSpan w:val="2"/>
          </w:tcPr>
          <w:p>
            <w:pPr>
              <w:spacing w:after="0"/>
              <w:rPr>
                <w:sz w:val="20"/>
                <w:szCs w:val="20"/>
                <w:color w:val="auto"/>
              </w:rPr>
            </w:pPr>
            <w:r>
              <w:rPr>
                <w:rFonts w:ascii="Arial" w:cs="Arial" w:eastAsia="Arial" w:hAnsi="Arial"/>
                <w:sz w:val="18"/>
                <w:szCs w:val="18"/>
                <w:color w:val="auto"/>
              </w:rPr>
              <w:t>E: Loss</w:t>
            </w:r>
          </w:p>
        </w:tc>
        <w:tc>
          <w:tcPr>
            <w:tcW w:w="1660" w:type="dxa"/>
            <w:vAlign w:val="bottom"/>
          </w:tcPr>
          <w:p>
            <w:pPr>
              <w:jc w:val="right"/>
              <w:spacing w:after="0"/>
              <w:rPr>
                <w:sz w:val="20"/>
                <w:szCs w:val="20"/>
                <w:color w:val="auto"/>
              </w:rPr>
            </w:pPr>
            <w:r>
              <w:rPr>
                <w:rFonts w:ascii="Arial" w:cs="Arial" w:eastAsia="Arial" w:hAnsi="Arial"/>
                <w:sz w:val="18"/>
                <w:szCs w:val="18"/>
                <w:color w:val="auto"/>
              </w:rPr>
              <w:t>244,931</w:t>
            </w:r>
          </w:p>
        </w:tc>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142,942</w:t>
            </w: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64"/>
        </w:trPr>
        <w:tc>
          <w:tcPr>
            <w:tcW w:w="4580" w:type="dxa"/>
            <w:vAlign w:val="bottom"/>
            <w:gridSpan w:val="2"/>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83"/>
        </w:trPr>
        <w:tc>
          <w:tcPr>
            <w:tcW w:w="458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2300" w:type="dxa"/>
            <w:vAlign w:val="bottom"/>
            <w:gridSpan w:val="3"/>
          </w:tcPr>
          <w:p>
            <w:pPr>
              <w:jc w:val="right"/>
              <w:ind w:right="640"/>
              <w:spacing w:after="0"/>
              <w:rPr>
                <w:sz w:val="20"/>
                <w:szCs w:val="20"/>
                <w:color w:val="auto"/>
              </w:rPr>
            </w:pPr>
            <w:r>
              <w:rPr>
                <w:rFonts w:ascii="Arial" w:cs="Arial" w:eastAsia="Arial" w:hAnsi="Arial"/>
                <w:sz w:val="18"/>
                <w:szCs w:val="18"/>
                <w:color w:val="auto"/>
              </w:rPr>
              <w:t>US$4,817,663</w:t>
            </w:r>
          </w:p>
        </w:tc>
        <w:tc>
          <w:tcPr>
            <w:tcW w:w="1060" w:type="dxa"/>
            <w:vAlign w:val="bottom"/>
          </w:tcPr>
          <w:p>
            <w:pPr>
              <w:jc w:val="right"/>
              <w:spacing w:after="0"/>
              <w:rPr>
                <w:sz w:val="20"/>
                <w:szCs w:val="20"/>
                <w:color w:val="auto"/>
              </w:rPr>
            </w:pPr>
            <w:r>
              <w:rPr>
                <w:rFonts w:ascii="Arial" w:cs="Arial" w:eastAsia="Arial" w:hAnsi="Arial"/>
                <w:sz w:val="18"/>
                <w:szCs w:val="18"/>
                <w:color w:val="auto"/>
              </w:rPr>
              <w:t>100.00%</w:t>
            </w: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60" w:type="dxa"/>
            <w:vAlign w:val="bottom"/>
            <w:gridSpan w:val="3"/>
          </w:tcPr>
          <w:p>
            <w:pPr>
              <w:jc w:val="right"/>
              <w:ind w:right="620"/>
              <w:spacing w:after="0"/>
              <w:rPr>
                <w:sz w:val="20"/>
                <w:szCs w:val="20"/>
                <w:color w:val="auto"/>
              </w:rPr>
            </w:pPr>
            <w:r>
              <w:rPr>
                <w:rFonts w:ascii="Arial" w:cs="Arial" w:eastAsia="Arial" w:hAnsi="Arial"/>
                <w:sz w:val="18"/>
                <w:szCs w:val="18"/>
                <w:color w:val="auto"/>
                <w:w w:val="88"/>
              </w:rPr>
              <w:t>US$4,481,496</w:t>
            </w:r>
          </w:p>
        </w:tc>
        <w:tc>
          <w:tcPr>
            <w:tcW w:w="1080" w:type="dxa"/>
            <w:vAlign w:val="bottom"/>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174"/>
        </w:trPr>
        <w:tc>
          <w:tcPr>
            <w:tcW w:w="4580" w:type="dxa"/>
            <w:vAlign w:val="bottom"/>
            <w:gridSpan w:val="2"/>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73"/>
        </w:trPr>
        <w:tc>
          <w:tcPr>
            <w:tcW w:w="4580" w:type="dxa"/>
            <w:vAlign w:val="bottom"/>
            <w:gridSpan w:val="2"/>
          </w:tcPr>
          <w:p>
            <w:pPr>
              <w:spacing w:after="0"/>
              <w:rPr>
                <w:sz w:val="20"/>
                <w:szCs w:val="20"/>
                <w:color w:val="auto"/>
              </w:rPr>
            </w:pPr>
            <w:r>
              <w:rPr>
                <w:rFonts w:ascii="Arial" w:cs="Arial" w:eastAsia="Arial" w:hAnsi="Arial"/>
                <w:sz w:val="18"/>
                <w:szCs w:val="18"/>
                <w:color w:val="auto"/>
              </w:rPr>
              <w:t>C+D+E</w:t>
            </w:r>
          </w:p>
        </w:tc>
        <w:tc>
          <w:tcPr>
            <w:tcW w:w="2300" w:type="dxa"/>
            <w:vAlign w:val="bottom"/>
            <w:gridSpan w:val="3"/>
          </w:tcPr>
          <w:p>
            <w:pPr>
              <w:jc w:val="right"/>
              <w:ind w:right="640"/>
              <w:spacing w:after="0"/>
              <w:rPr>
                <w:sz w:val="20"/>
                <w:szCs w:val="20"/>
                <w:color w:val="auto"/>
              </w:rPr>
            </w:pPr>
            <w:r>
              <w:rPr>
                <w:rFonts w:ascii="Arial" w:cs="Arial" w:eastAsia="Arial" w:hAnsi="Arial"/>
                <w:sz w:val="18"/>
                <w:szCs w:val="18"/>
                <w:color w:val="auto"/>
              </w:rPr>
              <w:t>US$818,455</w:t>
            </w:r>
          </w:p>
        </w:tc>
        <w:tc>
          <w:tcPr>
            <w:tcW w:w="1060" w:type="dxa"/>
            <w:vAlign w:val="bottom"/>
          </w:tcPr>
          <w:p>
            <w:pPr>
              <w:jc w:val="right"/>
              <w:spacing w:after="0"/>
              <w:rPr>
                <w:sz w:val="20"/>
                <w:szCs w:val="20"/>
                <w:color w:val="auto"/>
              </w:rPr>
            </w:pPr>
            <w:r>
              <w:rPr>
                <w:rFonts w:ascii="Arial" w:cs="Arial" w:eastAsia="Arial" w:hAnsi="Arial"/>
                <w:sz w:val="18"/>
                <w:szCs w:val="18"/>
                <w:color w:val="auto"/>
              </w:rPr>
              <w:t>17.0%</w:t>
            </w: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60" w:type="dxa"/>
            <w:vAlign w:val="bottom"/>
            <w:gridSpan w:val="3"/>
          </w:tcPr>
          <w:p>
            <w:pPr>
              <w:jc w:val="right"/>
              <w:ind w:right="620"/>
              <w:spacing w:after="0"/>
              <w:rPr>
                <w:sz w:val="20"/>
                <w:szCs w:val="20"/>
                <w:color w:val="auto"/>
              </w:rPr>
            </w:pPr>
            <w:r>
              <w:rPr>
                <w:rFonts w:ascii="Arial" w:cs="Arial" w:eastAsia="Arial" w:hAnsi="Arial"/>
                <w:sz w:val="18"/>
                <w:szCs w:val="18"/>
                <w:color w:val="auto"/>
              </w:rPr>
              <w:t>US$649,981</w:t>
            </w:r>
          </w:p>
        </w:tc>
        <w:tc>
          <w:tcPr>
            <w:tcW w:w="108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-2557780</wp:posOffset>
            </wp:positionV>
            <wp:extent cx="34290" cy="342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-2197735</wp:posOffset>
            </wp:positionV>
            <wp:extent cx="34290" cy="342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-2197735</wp:posOffset>
            </wp:positionV>
            <wp:extent cx="34290" cy="342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2874010</wp:posOffset>
            </wp:positionH>
            <wp:positionV relativeFrom="paragraph">
              <wp:posOffset>-1665605</wp:posOffset>
            </wp:positionV>
            <wp:extent cx="34290" cy="342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3963035</wp:posOffset>
            </wp:positionH>
            <wp:positionV relativeFrom="paragraph">
              <wp:posOffset>-1665605</wp:posOffset>
            </wp:positionV>
            <wp:extent cx="34290" cy="342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-1665605</wp:posOffset>
            </wp:positionV>
            <wp:extent cx="34290" cy="342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-1665605</wp:posOffset>
            </wp:positionV>
            <wp:extent cx="34290" cy="342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-1665605</wp:posOffset>
            </wp:positionV>
            <wp:extent cx="34290" cy="342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3963035</wp:posOffset>
            </wp:positionH>
            <wp:positionV relativeFrom="paragraph">
              <wp:posOffset>-628015</wp:posOffset>
            </wp:positionV>
            <wp:extent cx="34290" cy="342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-628015</wp:posOffset>
            </wp:positionV>
            <wp:extent cx="34290" cy="342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-628015</wp:posOffset>
            </wp:positionV>
            <wp:extent cx="34290" cy="342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-628015</wp:posOffset>
            </wp:positionV>
            <wp:extent cx="34290" cy="342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-250825</wp:posOffset>
            </wp:positionV>
            <wp:extent cx="12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-250825</wp:posOffset>
            </wp:positionV>
            <wp:extent cx="127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-250825</wp:posOffset>
            </wp:positionV>
            <wp:extent cx="127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-250825</wp:posOffset>
            </wp:positionV>
            <wp:extent cx="127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-250825</wp:posOffset>
            </wp:positionV>
            <wp:extent cx="12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-250825</wp:posOffset>
            </wp:positionV>
            <wp:extent cx="127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-250825</wp:posOffset>
            </wp:positionV>
            <wp:extent cx="127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-250825</wp:posOffset>
            </wp:positionV>
            <wp:extent cx="127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7" w:lineRule="exact"/>
        <w:rPr>
          <w:sz w:val="20"/>
          <w:szCs w:val="20"/>
          <w:color w:val="auto"/>
        </w:rPr>
      </w:pPr>
    </w:p>
    <w:p>
      <w:pPr>
        <w:jc w:val="both"/>
        <w:ind w:firstLine="294"/>
        <w:spacing w:after="0" w:line="290" w:lineRule="auto"/>
        <w:rPr>
          <w:sz w:val="20"/>
          <w:szCs w:val="20"/>
          <w:color w:val="auto"/>
        </w:rPr>
      </w:pPr>
      <w:r>
        <w:rPr>
          <w:rFonts w:ascii="Arial" w:cs="Arial" w:eastAsia="Arial" w:hAnsi="Arial"/>
          <w:sz w:val="16"/>
          <w:szCs w:val="16"/>
          <w:color w:val="auto"/>
        </w:rPr>
        <w:t>All of the Class E loans and substantially all of the Class D loans are past due. Class C loans, although generally not past due, have demonstrated credit deterioration such that management has serious doubts as to the ability of the borrower to comply with the present loan repayment terms. The majority of these Class C loans are to companies in the Peruvian manufacturing sector and, to a lesser extent, the agricultural sector. The manufacturing sector loans are primarily secured by warrants and liens on goods or by mortgages, whereas the agricultural credits tend to be secured by trade bills and marketable securities. The Class C loans reflect the financial weakness of the individual borrower rather than any trend in the Peruvian manufacturing or agricultural industries in general. In addition, the collateral securing these loans is only considered for purposes of establishing loan loss reserves and not for purposes of classification. Credicorp believes that the collateral securing its Class C loans has not been significantly impaired by the credit deterioration of the borrower.</w:t>
      </w:r>
    </w:p>
    <w:p>
      <w:pPr>
        <w:spacing w:after="0" w:line="17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Classification of the Loan Portfolio Based on the Borrower’s Payment Performance</w:t>
      </w:r>
    </w:p>
    <w:p>
      <w:pPr>
        <w:spacing w:after="0" w:line="225" w:lineRule="exact"/>
        <w:rPr>
          <w:sz w:val="20"/>
          <w:szCs w:val="20"/>
          <w:color w:val="auto"/>
        </w:rPr>
      </w:pPr>
    </w:p>
    <w:p>
      <w:pPr>
        <w:jc w:val="both"/>
        <w:ind w:firstLine="220"/>
        <w:spacing w:after="0" w:line="291" w:lineRule="auto"/>
        <w:rPr>
          <w:sz w:val="20"/>
          <w:szCs w:val="20"/>
          <w:color w:val="auto"/>
        </w:rPr>
      </w:pPr>
      <w:r>
        <w:rPr>
          <w:rFonts w:ascii="Arial" w:cs="Arial" w:eastAsia="Arial" w:hAnsi="Arial"/>
          <w:sz w:val="16"/>
          <w:szCs w:val="16"/>
          <w:color w:val="auto"/>
        </w:rPr>
        <w:t>Credicorp considers loans to be past due depending on their type. BCP considers loans past due after no more than 15 days, except for consumer mortgage and leasing loans, and loans to micro-businesses, which are considered past due after 30 days. Beginning January 1, 2001, the SBS issued accounting rules requiring Peruvian banks to consider overdrafts past due after 30 days. ASHC considers past due all overdue loans except for consumer loans, which are considered past due when the scheduled principal and/or interest payments are overdue for more than 90 days. Accrued interest on past due loans is recognized only when and to the extent received. With the exception of discounted notes and overdrafts, accrued but unpaid interest is reversed for past due loans. The following table sets forth the repayment status of Credicorp’s loan portfolio as of December 31 of each of the last five years:</w:t>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44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7"/>
              </w:rPr>
              <w:t>At December 31,</w:t>
            </w: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64"/>
        </w:trPr>
        <w:tc>
          <w:tcPr>
            <w:tcW w:w="4480" w:type="dxa"/>
            <w:vAlign w:val="bottom"/>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r>
      <w:tr>
        <w:trPr>
          <w:trHeight w:val="383"/>
        </w:trPr>
        <w:tc>
          <w:tcPr>
            <w:tcW w:w="4480" w:type="dxa"/>
            <w:vAlign w:val="bottom"/>
          </w:tcPr>
          <w:p>
            <w:pPr>
              <w:spacing w:after="0"/>
              <w:rPr>
                <w:sz w:val="24"/>
                <w:szCs w:val="24"/>
                <w:color w:val="auto"/>
              </w:rPr>
            </w:pPr>
          </w:p>
        </w:tc>
        <w:tc>
          <w:tcPr>
            <w:tcW w:w="1300" w:type="dxa"/>
            <w:vAlign w:val="bottom"/>
          </w:tcPr>
          <w:p>
            <w:pPr>
              <w:jc w:val="right"/>
              <w:ind w:right="392"/>
              <w:spacing w:after="0"/>
              <w:rPr>
                <w:sz w:val="20"/>
                <w:szCs w:val="20"/>
                <w:color w:val="auto"/>
              </w:rPr>
            </w:pPr>
            <w:r>
              <w:rPr>
                <w:rFonts w:ascii="Arial" w:cs="Arial" w:eastAsia="Arial" w:hAnsi="Arial"/>
                <w:sz w:val="18"/>
                <w:szCs w:val="18"/>
                <w:b w:val="1"/>
                <w:bCs w:val="1"/>
                <w:color w:val="auto"/>
              </w:rPr>
              <w:t>1999</w:t>
            </w:r>
          </w:p>
        </w:tc>
        <w:tc>
          <w:tcPr>
            <w:tcW w:w="60" w:type="dxa"/>
            <w:vAlign w:val="bottom"/>
          </w:tcPr>
          <w:p>
            <w:pPr>
              <w:spacing w:after="0"/>
              <w:rPr>
                <w:sz w:val="24"/>
                <w:szCs w:val="24"/>
                <w:color w:val="auto"/>
              </w:rPr>
            </w:pPr>
          </w:p>
        </w:tc>
        <w:tc>
          <w:tcPr>
            <w:tcW w:w="1320" w:type="dxa"/>
            <w:vAlign w:val="bottom"/>
          </w:tcPr>
          <w:p>
            <w:pPr>
              <w:jc w:val="right"/>
              <w:ind w:right="392"/>
              <w:spacing w:after="0"/>
              <w:rPr>
                <w:sz w:val="20"/>
                <w:szCs w:val="20"/>
                <w:color w:val="auto"/>
              </w:rPr>
            </w:pPr>
            <w:r>
              <w:rPr>
                <w:rFonts w:ascii="Arial" w:cs="Arial" w:eastAsia="Arial" w:hAnsi="Arial"/>
                <w:sz w:val="18"/>
                <w:szCs w:val="18"/>
                <w:b w:val="1"/>
                <w:bCs w:val="1"/>
                <w:color w:val="auto"/>
              </w:rPr>
              <w:t>2000</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2001</w:t>
            </w:r>
          </w:p>
        </w:tc>
        <w:tc>
          <w:tcPr>
            <w:tcW w:w="60" w:type="dxa"/>
            <w:vAlign w:val="bottom"/>
          </w:tcPr>
          <w:p>
            <w:pPr>
              <w:spacing w:after="0"/>
              <w:rPr>
                <w:sz w:val="24"/>
                <w:szCs w:val="24"/>
                <w:color w:val="auto"/>
              </w:rPr>
            </w:pPr>
          </w:p>
        </w:tc>
        <w:tc>
          <w:tcPr>
            <w:tcW w:w="1300" w:type="dxa"/>
            <w:vAlign w:val="bottom"/>
          </w:tcPr>
          <w:p>
            <w:pPr>
              <w:jc w:val="right"/>
              <w:ind w:right="392"/>
              <w:spacing w:after="0"/>
              <w:rPr>
                <w:sz w:val="20"/>
                <w:szCs w:val="20"/>
                <w:color w:val="auto"/>
              </w:rPr>
            </w:pPr>
            <w:r>
              <w:rPr>
                <w:rFonts w:ascii="Arial" w:cs="Arial" w:eastAsia="Arial" w:hAnsi="Arial"/>
                <w:sz w:val="18"/>
                <w:szCs w:val="18"/>
                <w:b w:val="1"/>
                <w:bCs w:val="1"/>
                <w:color w:val="auto"/>
              </w:rPr>
              <w:t>2002</w:t>
            </w:r>
          </w:p>
        </w:tc>
        <w:tc>
          <w:tcPr>
            <w:tcW w:w="60" w:type="dxa"/>
            <w:vAlign w:val="bottom"/>
          </w:tcPr>
          <w:p>
            <w:pPr>
              <w:spacing w:after="0"/>
              <w:rPr>
                <w:sz w:val="24"/>
                <w:szCs w:val="24"/>
                <w:color w:val="auto"/>
              </w:rPr>
            </w:pPr>
          </w:p>
        </w:tc>
        <w:tc>
          <w:tcPr>
            <w:tcW w:w="1300" w:type="dxa"/>
            <w:vAlign w:val="bottom"/>
          </w:tcPr>
          <w:p>
            <w:pPr>
              <w:jc w:val="right"/>
              <w:ind w:right="392"/>
              <w:spacing w:after="0"/>
              <w:rPr>
                <w:sz w:val="20"/>
                <w:szCs w:val="20"/>
                <w:color w:val="auto"/>
              </w:rPr>
            </w:pPr>
            <w:r>
              <w:rPr>
                <w:rFonts w:ascii="Arial" w:cs="Arial" w:eastAsia="Arial" w:hAnsi="Arial"/>
                <w:sz w:val="18"/>
                <w:szCs w:val="18"/>
                <w:b w:val="1"/>
                <w:bCs w:val="1"/>
                <w:color w:val="auto"/>
              </w:rPr>
              <w:t>2003</w:t>
            </w:r>
          </w:p>
        </w:tc>
      </w:tr>
      <w:tr>
        <w:trPr>
          <w:trHeight w:val="164"/>
        </w:trPr>
        <w:tc>
          <w:tcPr>
            <w:tcW w:w="4480" w:type="dxa"/>
            <w:vAlign w:val="bottom"/>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r>
      <w:tr>
        <w:trPr>
          <w:trHeight w:val="383"/>
        </w:trPr>
        <w:tc>
          <w:tcPr>
            <w:tcW w:w="4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100" w:type="dxa"/>
            <w:vAlign w:val="bottom"/>
            <w:gridSpan w:val="6"/>
          </w:tcPr>
          <w:p>
            <w:pPr>
              <w:jc w:val="center"/>
              <w:ind w:right="60"/>
              <w:spacing w:after="0"/>
              <w:rPr>
                <w:sz w:val="20"/>
                <w:szCs w:val="20"/>
                <w:color w:val="auto"/>
              </w:rPr>
            </w:pPr>
            <w:r>
              <w:rPr>
                <w:rFonts w:ascii="Arial" w:cs="Arial" w:eastAsia="Arial" w:hAnsi="Arial"/>
                <w:sz w:val="18"/>
                <w:szCs w:val="18"/>
                <w:i w:val="1"/>
                <w:iCs w:val="1"/>
                <w:color w:val="auto"/>
                <w:w w:val="87"/>
              </w:rPr>
              <w:t>(U.S. Dollars in thousands, except percentages)</w:t>
            </w:r>
          </w:p>
        </w:tc>
        <w:tc>
          <w:tcPr>
            <w:tcW w:w="1300" w:type="dxa"/>
            <w:vAlign w:val="bottom"/>
          </w:tcPr>
          <w:p>
            <w:pPr>
              <w:spacing w:after="0"/>
              <w:rPr>
                <w:sz w:val="24"/>
                <w:szCs w:val="24"/>
                <w:color w:val="auto"/>
              </w:rPr>
            </w:pPr>
          </w:p>
        </w:tc>
      </w:tr>
      <w:tr>
        <w:trPr>
          <w:trHeight w:val="270"/>
        </w:trPr>
        <w:tc>
          <w:tcPr>
            <w:tcW w:w="4480" w:type="dxa"/>
            <w:vAlign w:val="bottom"/>
          </w:tcPr>
          <w:p>
            <w:pPr>
              <w:spacing w:after="0"/>
              <w:rPr>
                <w:sz w:val="20"/>
                <w:szCs w:val="20"/>
                <w:color w:val="auto"/>
              </w:rPr>
            </w:pPr>
            <w:r>
              <w:rPr>
                <w:rFonts w:ascii="Arial" w:cs="Arial" w:eastAsia="Arial" w:hAnsi="Arial"/>
                <w:sz w:val="18"/>
                <w:szCs w:val="18"/>
                <w:color w:val="auto"/>
              </w:rPr>
              <w:t>Current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US$4,377,895</w:t>
            </w:r>
          </w:p>
        </w:tc>
        <w:tc>
          <w:tcPr>
            <w:tcW w:w="1320" w:type="dxa"/>
            <w:vAlign w:val="bottom"/>
          </w:tcPr>
          <w:p>
            <w:pPr>
              <w:jc w:val="right"/>
              <w:spacing w:after="0"/>
              <w:rPr>
                <w:sz w:val="20"/>
                <w:szCs w:val="20"/>
                <w:color w:val="auto"/>
              </w:rPr>
            </w:pPr>
            <w:r>
              <w:rPr>
                <w:rFonts w:ascii="Arial" w:cs="Arial" w:eastAsia="Arial" w:hAnsi="Arial"/>
                <w:sz w:val="18"/>
                <w:szCs w:val="18"/>
                <w:color w:val="auto"/>
              </w:rPr>
              <w:t>US$4,077,984</w:t>
            </w:r>
          </w:p>
        </w:tc>
        <w:tc>
          <w:tcPr>
            <w:tcW w:w="40" w:type="dxa"/>
            <w:vAlign w:val="bottom"/>
          </w:tcPr>
          <w:p>
            <w:pPr>
              <w:spacing w:after="0"/>
              <w:rPr>
                <w:sz w:val="23"/>
                <w:szCs w:val="23"/>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US$3,713,644</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US$4,411,528</w:t>
            </w:r>
          </w:p>
        </w:tc>
        <w:tc>
          <w:tcPr>
            <w:tcW w:w="1300" w:type="dxa"/>
            <w:vAlign w:val="bottom"/>
          </w:tcPr>
          <w:p>
            <w:pPr>
              <w:jc w:val="right"/>
              <w:spacing w:after="0"/>
              <w:rPr>
                <w:sz w:val="20"/>
                <w:szCs w:val="20"/>
                <w:color w:val="auto"/>
              </w:rPr>
            </w:pPr>
            <w:r>
              <w:rPr>
                <w:rFonts w:ascii="Arial" w:cs="Arial" w:eastAsia="Arial" w:hAnsi="Arial"/>
                <w:sz w:val="18"/>
                <w:szCs w:val="18"/>
                <w:color w:val="auto"/>
              </w:rPr>
              <w:t>US$4,225,288</w:t>
            </w:r>
          </w:p>
        </w:tc>
      </w:tr>
      <w:tr>
        <w:trPr>
          <w:trHeight w:val="270"/>
        </w:trPr>
        <w:tc>
          <w:tcPr>
            <w:tcW w:w="4480" w:type="dxa"/>
            <w:vAlign w:val="bottom"/>
          </w:tcPr>
          <w:p>
            <w:pPr>
              <w:spacing w:after="0"/>
              <w:rPr>
                <w:sz w:val="20"/>
                <w:szCs w:val="20"/>
                <w:color w:val="auto"/>
              </w:rPr>
            </w:pPr>
            <w:r>
              <w:rPr>
                <w:rFonts w:ascii="Arial" w:cs="Arial" w:eastAsia="Arial" w:hAnsi="Arial"/>
                <w:sz w:val="18"/>
                <w:szCs w:val="18"/>
                <w:color w:val="auto"/>
              </w:rPr>
              <w:t>Past due:</w:t>
            </w: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0"/>
        </w:trPr>
        <w:tc>
          <w:tcPr>
            <w:tcW w:w="4480" w:type="dxa"/>
            <w:vAlign w:val="bottom"/>
          </w:tcPr>
          <w:p>
            <w:pPr>
              <w:ind w:left="180"/>
              <w:spacing w:after="0"/>
              <w:rPr>
                <w:sz w:val="20"/>
                <w:szCs w:val="20"/>
                <w:color w:val="auto"/>
              </w:rPr>
            </w:pPr>
            <w:r>
              <w:rPr>
                <w:rFonts w:ascii="Arial" w:cs="Arial" w:eastAsia="Arial" w:hAnsi="Arial"/>
                <w:sz w:val="18"/>
                <w:szCs w:val="18"/>
                <w:color w:val="auto"/>
              </w:rPr>
              <w:t>Overdue 16-119 days</w:t>
            </w:r>
          </w:p>
        </w:tc>
        <w:tc>
          <w:tcPr>
            <w:tcW w:w="1300" w:type="dxa"/>
            <w:vAlign w:val="bottom"/>
          </w:tcPr>
          <w:p>
            <w:pPr>
              <w:jc w:val="right"/>
              <w:spacing w:after="0"/>
              <w:rPr>
                <w:sz w:val="20"/>
                <w:szCs w:val="20"/>
                <w:color w:val="auto"/>
              </w:rPr>
            </w:pPr>
            <w:r>
              <w:rPr>
                <w:rFonts w:ascii="Arial" w:cs="Arial" w:eastAsia="Arial" w:hAnsi="Arial"/>
                <w:sz w:val="18"/>
                <w:szCs w:val="18"/>
                <w:color w:val="auto"/>
              </w:rPr>
              <w:t>134,628</w:t>
            </w:r>
          </w:p>
        </w:tc>
        <w:tc>
          <w:tcPr>
            <w:tcW w:w="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108,830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54,291</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82,259</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50,981</w:t>
            </w:r>
          </w:p>
        </w:tc>
      </w:tr>
      <w:tr>
        <w:trPr>
          <w:trHeight w:val="270"/>
        </w:trPr>
        <w:tc>
          <w:tcPr>
            <w:tcW w:w="4480" w:type="dxa"/>
            <w:vAlign w:val="bottom"/>
          </w:tcPr>
          <w:p>
            <w:pPr>
              <w:ind w:left="180"/>
              <w:spacing w:after="0"/>
              <w:rPr>
                <w:sz w:val="20"/>
                <w:szCs w:val="20"/>
                <w:color w:val="auto"/>
              </w:rPr>
            </w:pPr>
            <w:r>
              <w:rPr>
                <w:rFonts w:ascii="Arial" w:cs="Arial" w:eastAsia="Arial" w:hAnsi="Arial"/>
                <w:sz w:val="18"/>
                <w:szCs w:val="18"/>
                <w:color w:val="auto"/>
              </w:rPr>
              <w:t>Overdue 120 days or more</w:t>
            </w:r>
          </w:p>
        </w:tc>
        <w:tc>
          <w:tcPr>
            <w:tcW w:w="1300" w:type="dxa"/>
            <w:vAlign w:val="bottom"/>
          </w:tcPr>
          <w:p>
            <w:pPr>
              <w:jc w:val="right"/>
              <w:spacing w:after="0"/>
              <w:rPr>
                <w:sz w:val="20"/>
                <w:szCs w:val="20"/>
                <w:color w:val="auto"/>
              </w:rPr>
            </w:pPr>
            <w:r>
              <w:rPr>
                <w:rFonts w:ascii="Arial" w:cs="Arial" w:eastAsia="Arial" w:hAnsi="Arial"/>
                <w:sz w:val="18"/>
                <w:szCs w:val="18"/>
                <w:color w:val="auto"/>
              </w:rPr>
              <w:t>225,166</w:t>
            </w:r>
          </w:p>
        </w:tc>
        <w:tc>
          <w:tcPr>
            <w:tcW w:w="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267,271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296,544</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323,876</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205,227</w:t>
            </w:r>
          </w:p>
        </w:tc>
      </w:tr>
      <w:tr>
        <w:trPr>
          <w:trHeight w:val="164"/>
        </w:trPr>
        <w:tc>
          <w:tcPr>
            <w:tcW w:w="4480" w:type="dxa"/>
            <w:vAlign w:val="bottom"/>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r>
      <w:tr>
        <w:trPr>
          <w:trHeight w:val="383"/>
        </w:trPr>
        <w:tc>
          <w:tcPr>
            <w:tcW w:w="4480" w:type="dxa"/>
            <w:vAlign w:val="bottom"/>
          </w:tcPr>
          <w:p>
            <w:pPr>
              <w:spacing w:after="0"/>
              <w:rPr>
                <w:sz w:val="20"/>
                <w:szCs w:val="20"/>
                <w:color w:val="auto"/>
              </w:rPr>
            </w:pPr>
            <w:r>
              <w:rPr>
                <w:rFonts w:ascii="Arial" w:cs="Arial" w:eastAsia="Arial" w:hAnsi="Arial"/>
                <w:sz w:val="18"/>
                <w:szCs w:val="18"/>
                <w:color w:val="auto"/>
              </w:rPr>
              <w:t>Subtotal</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US$ 359,794</w:t>
            </w:r>
          </w:p>
        </w:tc>
        <w:tc>
          <w:tcPr>
            <w:tcW w:w="1320" w:type="dxa"/>
            <w:vAlign w:val="bottom"/>
          </w:tcPr>
          <w:p>
            <w:pPr>
              <w:jc w:val="right"/>
              <w:spacing w:after="0"/>
              <w:rPr>
                <w:sz w:val="20"/>
                <w:szCs w:val="20"/>
                <w:color w:val="auto"/>
              </w:rPr>
            </w:pPr>
            <w:r>
              <w:rPr>
                <w:rFonts w:ascii="Arial" w:cs="Arial" w:eastAsia="Arial" w:hAnsi="Arial"/>
                <w:sz w:val="18"/>
                <w:szCs w:val="18"/>
                <w:color w:val="auto"/>
              </w:rPr>
              <w:t>US$ 376,101</w:t>
            </w:r>
          </w:p>
        </w:tc>
        <w:tc>
          <w:tcPr>
            <w:tcW w:w="40" w:type="dxa"/>
            <w:vAlign w:val="bottom"/>
          </w:tcPr>
          <w:p>
            <w:pPr>
              <w:spacing w:after="0"/>
              <w:rPr>
                <w:sz w:val="24"/>
                <w:szCs w:val="24"/>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US$ 350,835</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US$ 406,135</w:t>
            </w:r>
          </w:p>
        </w:tc>
        <w:tc>
          <w:tcPr>
            <w:tcW w:w="1300" w:type="dxa"/>
            <w:vAlign w:val="bottom"/>
          </w:tcPr>
          <w:p>
            <w:pPr>
              <w:jc w:val="right"/>
              <w:spacing w:after="0"/>
              <w:rPr>
                <w:sz w:val="20"/>
                <w:szCs w:val="20"/>
                <w:color w:val="auto"/>
              </w:rPr>
            </w:pPr>
            <w:r>
              <w:rPr>
                <w:rFonts w:ascii="Arial" w:cs="Arial" w:eastAsia="Arial" w:hAnsi="Arial"/>
                <w:sz w:val="18"/>
                <w:szCs w:val="18"/>
                <w:color w:val="auto"/>
              </w:rPr>
              <w:t>US$256,208</w:t>
            </w:r>
          </w:p>
        </w:tc>
      </w:tr>
      <w:tr>
        <w:trPr>
          <w:trHeight w:val="164"/>
        </w:trPr>
        <w:tc>
          <w:tcPr>
            <w:tcW w:w="4480" w:type="dxa"/>
            <w:vAlign w:val="bottom"/>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r>
      <w:tr>
        <w:trPr>
          <w:trHeight w:val="383"/>
        </w:trPr>
        <w:tc>
          <w:tcPr>
            <w:tcW w:w="4480" w:type="dxa"/>
            <w:vAlign w:val="bottom"/>
          </w:tcPr>
          <w:p>
            <w:pPr>
              <w:spacing w:after="0"/>
              <w:rPr>
                <w:sz w:val="20"/>
                <w:szCs w:val="20"/>
                <w:color w:val="auto"/>
              </w:rPr>
            </w:pPr>
            <w:r>
              <w:rPr>
                <w:rFonts w:ascii="Arial" w:cs="Arial" w:eastAsia="Arial" w:hAnsi="Arial"/>
                <w:sz w:val="18"/>
                <w:szCs w:val="18"/>
                <w:color w:val="auto"/>
              </w:rPr>
              <w:t>Total loans</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US$4,737,689</w:t>
            </w:r>
          </w:p>
        </w:tc>
        <w:tc>
          <w:tcPr>
            <w:tcW w:w="1320" w:type="dxa"/>
            <w:vAlign w:val="bottom"/>
          </w:tcPr>
          <w:p>
            <w:pPr>
              <w:jc w:val="right"/>
              <w:spacing w:after="0"/>
              <w:rPr>
                <w:sz w:val="20"/>
                <w:szCs w:val="20"/>
                <w:color w:val="auto"/>
              </w:rPr>
            </w:pPr>
            <w:r>
              <w:rPr>
                <w:rFonts w:ascii="Arial" w:cs="Arial" w:eastAsia="Arial" w:hAnsi="Arial"/>
                <w:sz w:val="18"/>
                <w:szCs w:val="18"/>
                <w:color w:val="auto"/>
              </w:rPr>
              <w:t>US$4,454,085</w:t>
            </w:r>
          </w:p>
        </w:tc>
        <w:tc>
          <w:tcPr>
            <w:tcW w:w="40" w:type="dxa"/>
            <w:vAlign w:val="bottom"/>
          </w:tcPr>
          <w:p>
            <w:pPr>
              <w:spacing w:after="0"/>
              <w:rPr>
                <w:sz w:val="24"/>
                <w:szCs w:val="24"/>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US$4,064,479</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US$4,817,663</w:t>
            </w:r>
          </w:p>
        </w:tc>
        <w:tc>
          <w:tcPr>
            <w:tcW w:w="1300" w:type="dxa"/>
            <w:vAlign w:val="bottom"/>
          </w:tcPr>
          <w:p>
            <w:pPr>
              <w:jc w:val="right"/>
              <w:spacing w:after="0"/>
              <w:rPr>
                <w:sz w:val="20"/>
                <w:szCs w:val="20"/>
                <w:color w:val="auto"/>
              </w:rPr>
            </w:pPr>
            <w:r>
              <w:rPr>
                <w:rFonts w:ascii="Arial" w:cs="Arial" w:eastAsia="Arial" w:hAnsi="Arial"/>
                <w:sz w:val="18"/>
                <w:szCs w:val="18"/>
                <w:color w:val="auto"/>
              </w:rPr>
              <w:t>US$4,481,496</w:t>
            </w:r>
          </w:p>
        </w:tc>
      </w:tr>
      <w:tr>
        <w:trPr>
          <w:trHeight w:val="174"/>
        </w:trPr>
        <w:tc>
          <w:tcPr>
            <w:tcW w:w="448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r>
        <w:trPr>
          <w:trHeight w:val="373"/>
        </w:trPr>
        <w:tc>
          <w:tcPr>
            <w:tcW w:w="4480" w:type="dxa"/>
            <w:vAlign w:val="bottom"/>
          </w:tcPr>
          <w:p>
            <w:pPr>
              <w:spacing w:after="0"/>
              <w:rPr>
                <w:sz w:val="20"/>
                <w:szCs w:val="20"/>
                <w:color w:val="auto"/>
              </w:rPr>
            </w:pPr>
            <w:r>
              <w:rPr>
                <w:rFonts w:ascii="Arial" w:cs="Arial" w:eastAsia="Arial" w:hAnsi="Arial"/>
                <w:sz w:val="18"/>
                <w:szCs w:val="18"/>
                <w:color w:val="auto"/>
              </w:rPr>
              <w:t>Past due loan amounts as a percentage of total loans</w:t>
            </w:r>
          </w:p>
        </w:tc>
        <w:tc>
          <w:tcPr>
            <w:tcW w:w="1300" w:type="dxa"/>
            <w:vAlign w:val="bottom"/>
          </w:tcPr>
          <w:p>
            <w:pPr>
              <w:jc w:val="right"/>
              <w:spacing w:after="0"/>
              <w:rPr>
                <w:sz w:val="20"/>
                <w:szCs w:val="20"/>
                <w:color w:val="auto"/>
              </w:rPr>
            </w:pPr>
            <w:r>
              <w:rPr>
                <w:rFonts w:ascii="Arial" w:cs="Arial" w:eastAsia="Arial" w:hAnsi="Arial"/>
                <w:sz w:val="18"/>
                <w:szCs w:val="18"/>
                <w:color w:val="auto"/>
              </w:rPr>
              <w:t>7.59%</w:t>
            </w:r>
          </w:p>
        </w:tc>
        <w:tc>
          <w:tcPr>
            <w:tcW w:w="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8.44%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8.63%</w:t>
            </w:r>
          </w:p>
        </w:tc>
        <w:tc>
          <w:tcPr>
            <w:tcW w:w="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8.43%</w:t>
            </w:r>
          </w:p>
        </w:tc>
        <w:tc>
          <w:tcPr>
            <w:tcW w:w="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7144385</wp:posOffset>
            </wp:positionH>
            <wp:positionV relativeFrom="paragraph">
              <wp:posOffset>-2394585</wp:posOffset>
            </wp:positionV>
            <wp:extent cx="34290" cy="342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3679825</wp:posOffset>
            </wp:positionH>
            <wp:positionV relativeFrom="paragraph">
              <wp:posOffset>-2034540</wp:posOffset>
            </wp:positionV>
            <wp:extent cx="34290" cy="342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4545965</wp:posOffset>
            </wp:positionH>
            <wp:positionV relativeFrom="paragraph">
              <wp:posOffset>-2034540</wp:posOffset>
            </wp:positionV>
            <wp:extent cx="34290" cy="342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5412105</wp:posOffset>
            </wp:positionH>
            <wp:positionV relativeFrom="paragraph">
              <wp:posOffset>-2034540</wp:posOffset>
            </wp:positionV>
            <wp:extent cx="34290" cy="342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6278245</wp:posOffset>
            </wp:positionH>
            <wp:positionV relativeFrom="paragraph">
              <wp:posOffset>-2034540</wp:posOffset>
            </wp:positionV>
            <wp:extent cx="34290" cy="342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7144385</wp:posOffset>
            </wp:positionH>
            <wp:positionV relativeFrom="paragraph">
              <wp:posOffset>-2034540</wp:posOffset>
            </wp:positionV>
            <wp:extent cx="34290" cy="342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3679825</wp:posOffset>
            </wp:positionH>
            <wp:positionV relativeFrom="paragraph">
              <wp:posOffset>-988695</wp:posOffset>
            </wp:positionV>
            <wp:extent cx="34290" cy="342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4545965</wp:posOffset>
            </wp:positionH>
            <wp:positionV relativeFrom="paragraph">
              <wp:posOffset>-988695</wp:posOffset>
            </wp:positionV>
            <wp:extent cx="34290" cy="342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5412105</wp:posOffset>
            </wp:positionH>
            <wp:positionV relativeFrom="paragraph">
              <wp:posOffset>-988695</wp:posOffset>
            </wp:positionV>
            <wp:extent cx="34290" cy="342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6278245</wp:posOffset>
            </wp:positionH>
            <wp:positionV relativeFrom="paragraph">
              <wp:posOffset>-988695</wp:posOffset>
            </wp:positionV>
            <wp:extent cx="34290" cy="342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7144385</wp:posOffset>
            </wp:positionH>
            <wp:positionV relativeFrom="paragraph">
              <wp:posOffset>-988695</wp:posOffset>
            </wp:positionV>
            <wp:extent cx="34290" cy="342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3679825</wp:posOffset>
            </wp:positionH>
            <wp:positionV relativeFrom="paragraph">
              <wp:posOffset>-628015</wp:posOffset>
            </wp:positionV>
            <wp:extent cx="34290" cy="342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4545965</wp:posOffset>
            </wp:positionH>
            <wp:positionV relativeFrom="paragraph">
              <wp:posOffset>-628015</wp:posOffset>
            </wp:positionV>
            <wp:extent cx="34290" cy="342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5412105</wp:posOffset>
            </wp:positionH>
            <wp:positionV relativeFrom="paragraph">
              <wp:posOffset>-628015</wp:posOffset>
            </wp:positionV>
            <wp:extent cx="34290" cy="342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6278245</wp:posOffset>
            </wp:positionH>
            <wp:positionV relativeFrom="paragraph">
              <wp:posOffset>-628015</wp:posOffset>
            </wp:positionV>
            <wp:extent cx="34290" cy="342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7144385</wp:posOffset>
            </wp:positionH>
            <wp:positionV relativeFrom="paragraph">
              <wp:posOffset>-628015</wp:posOffset>
            </wp:positionV>
            <wp:extent cx="34290" cy="342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-250825</wp:posOffset>
            </wp:positionV>
            <wp:extent cx="127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-250825</wp:posOffset>
            </wp:positionV>
            <wp:extent cx="127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-250825</wp:posOffset>
            </wp:positionV>
            <wp:extent cx="127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-250825</wp:posOffset>
            </wp:positionV>
            <wp:extent cx="127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-250825</wp:posOffset>
            </wp:positionV>
            <wp:extent cx="12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-250825</wp:posOffset>
            </wp:positionV>
            <wp:extent cx="127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-250825</wp:posOffset>
            </wp:positionV>
            <wp:extent cx="12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-250825</wp:posOffset>
            </wp:positionV>
            <wp:extent cx="12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7155180</wp:posOffset>
            </wp:positionH>
            <wp:positionV relativeFrom="paragraph">
              <wp:posOffset>-250825</wp:posOffset>
            </wp:positionV>
            <wp:extent cx="127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-250825</wp:posOffset>
            </wp:positionV>
            <wp:extent cx="127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7" w:lineRule="exact"/>
        <w:rPr>
          <w:sz w:val="20"/>
          <w:szCs w:val="20"/>
          <w:color w:val="auto"/>
        </w:rPr>
      </w:pPr>
    </w:p>
    <w:p>
      <w:pPr>
        <w:ind w:firstLine="239"/>
        <w:spacing w:after="0" w:line="332" w:lineRule="auto"/>
        <w:rPr>
          <w:sz w:val="20"/>
          <w:szCs w:val="20"/>
          <w:color w:val="auto"/>
        </w:rPr>
      </w:pPr>
      <w:r>
        <w:rPr>
          <w:rFonts w:ascii="Arial" w:cs="Arial" w:eastAsia="Arial" w:hAnsi="Arial"/>
          <w:sz w:val="16"/>
          <w:szCs w:val="16"/>
          <w:color w:val="auto"/>
        </w:rPr>
        <w:t>With respect to consumer, mortgage and leasing loans, BCP, in accordance with SBS regulations, only recognizes as past due installments for these loans that are past due for fewer than 90 days. The entire amount of these loans will be considered past due if any amount is past due more than 90 days.</w:t>
      </w:r>
    </w:p>
    <w:p>
      <w:pPr>
        <w:sectPr>
          <w:pgSz w:w="11900" w:h="16838" w:orient="portrait"/>
          <w:cols w:equalWidth="0" w:num="1">
            <w:col w:w="11420"/>
          </w:cols>
          <w:pgMar w:left="240" w:top="368" w:right="239"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368" w:right="239" w:bottom="1440" w:gutter="0" w:footer="0" w:header="0"/>
          <w:type w:val="continuous"/>
        </w:sectPr>
      </w:pPr>
    </w:p>
    <w:bookmarkStart w:id="75" w:name="page76"/>
    <w:bookmarkEnd w:id="75"/>
    <w:tbl>
      <w:tblPr>
        <w:tblLayout w:type="fixed"/>
        <w:tblInd w:w="40" w:type="dxa"/>
        <w:tblCellMar>
          <w:top w:w="0" w:type="dxa"/>
          <w:left w:w="0" w:type="dxa"/>
          <w:bottom w:w="0" w:type="dxa"/>
          <w:right w:w="0" w:type="dxa"/>
        </w:tblCellMar>
      </w:tblPr>
      <w:tr>
        <w:trPr>
          <w:trHeight w:val="222"/>
        </w:trPr>
        <w:tc>
          <w:tcPr>
            <w:tcW w:w="4520" w:type="dxa"/>
            <w:vAlign w:val="bottom"/>
          </w:tcPr>
          <w:p>
            <w:pPr>
              <w:ind w:left="140"/>
              <w:spacing w:after="0"/>
              <w:rPr>
                <w:sz w:val="20"/>
                <w:szCs w:val="20"/>
                <w:color w:val="auto"/>
              </w:rPr>
            </w:pPr>
            <w:r>
              <w:rPr>
                <w:rFonts w:ascii="Arial" w:cs="Arial" w:eastAsia="Arial" w:hAnsi="Arial"/>
                <w:sz w:val="18"/>
                <w:szCs w:val="18"/>
                <w:i w:val="1"/>
                <w:iCs w:val="1"/>
                <w:color w:val="auto"/>
              </w:rPr>
              <w:t>Past Due Loan Portfolio</w:t>
            </w:r>
          </w:p>
        </w:tc>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9000" w:type="dxa"/>
            <w:vAlign w:val="bottom"/>
            <w:gridSpan w:val="8"/>
          </w:tcPr>
          <w:p>
            <w:pPr>
              <w:ind w:left="140"/>
              <w:spacing w:after="0"/>
              <w:rPr>
                <w:sz w:val="20"/>
                <w:szCs w:val="20"/>
                <w:color w:val="auto"/>
              </w:rPr>
            </w:pPr>
            <w:r>
              <w:rPr>
                <w:rFonts w:ascii="Arial" w:cs="Arial" w:eastAsia="Arial" w:hAnsi="Arial"/>
                <w:sz w:val="18"/>
                <w:szCs w:val="18"/>
                <w:color w:val="auto"/>
              </w:rPr>
              <w:t>The following table analyzes Credicorp's past due loan portfolio by type of loan at the dates indicated:</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2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9"/>
              </w:rPr>
              <w:t>At December 31,</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452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4520" w:type="dxa"/>
            <w:vAlign w:val="bottom"/>
          </w:tcPr>
          <w:p>
            <w:pPr>
              <w:spacing w:after="0"/>
              <w:rPr>
                <w:sz w:val="24"/>
                <w:szCs w:val="24"/>
                <w:color w:val="auto"/>
              </w:rPr>
            </w:pPr>
          </w:p>
        </w:tc>
        <w:tc>
          <w:tcPr>
            <w:tcW w:w="1340" w:type="dxa"/>
            <w:vAlign w:val="bottom"/>
          </w:tcPr>
          <w:p>
            <w:pPr>
              <w:jc w:val="right"/>
              <w:ind w:right="392"/>
              <w:spacing w:after="0"/>
              <w:rPr>
                <w:sz w:val="20"/>
                <w:szCs w:val="20"/>
                <w:color w:val="auto"/>
              </w:rPr>
            </w:pPr>
            <w:r>
              <w:rPr>
                <w:rFonts w:ascii="Arial" w:cs="Arial" w:eastAsia="Arial" w:hAnsi="Arial"/>
                <w:sz w:val="18"/>
                <w:szCs w:val="18"/>
                <w:b w:val="1"/>
                <w:bCs w:val="1"/>
                <w:color w:val="auto"/>
              </w:rPr>
              <w:t>1999</w:t>
            </w:r>
          </w:p>
        </w:tc>
        <w:tc>
          <w:tcPr>
            <w:tcW w:w="1380" w:type="dxa"/>
            <w:vAlign w:val="bottom"/>
            <w:gridSpan w:val="2"/>
          </w:tcPr>
          <w:p>
            <w:pPr>
              <w:jc w:val="right"/>
              <w:ind w:right="412"/>
              <w:spacing w:after="0"/>
              <w:rPr>
                <w:sz w:val="20"/>
                <w:szCs w:val="20"/>
                <w:color w:val="auto"/>
              </w:rPr>
            </w:pPr>
            <w:r>
              <w:rPr>
                <w:rFonts w:ascii="Arial" w:cs="Arial" w:eastAsia="Arial" w:hAnsi="Arial"/>
                <w:sz w:val="18"/>
                <w:szCs w:val="18"/>
                <w:b w:val="1"/>
                <w:bCs w:val="1"/>
                <w:color w:val="auto"/>
              </w:rPr>
              <w:t>2000</w:t>
            </w:r>
          </w:p>
        </w:tc>
        <w:tc>
          <w:tcPr>
            <w:tcW w:w="4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4"/>
              </w:rPr>
              <w:t>2001</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392"/>
              <w:spacing w:after="0"/>
              <w:rPr>
                <w:sz w:val="20"/>
                <w:szCs w:val="20"/>
                <w:color w:val="auto"/>
              </w:rPr>
            </w:pPr>
            <w:r>
              <w:rPr>
                <w:rFonts w:ascii="Arial" w:cs="Arial" w:eastAsia="Arial" w:hAnsi="Arial"/>
                <w:sz w:val="18"/>
                <w:szCs w:val="18"/>
                <w:b w:val="1"/>
                <w:bCs w:val="1"/>
                <w:color w:val="auto"/>
              </w:rPr>
              <w:t>2002</w:t>
            </w:r>
          </w:p>
        </w:tc>
        <w:tc>
          <w:tcPr>
            <w:tcW w:w="40" w:type="dxa"/>
            <w:vAlign w:val="bottom"/>
          </w:tcPr>
          <w:p>
            <w:pPr>
              <w:spacing w:after="0"/>
              <w:rPr>
                <w:sz w:val="24"/>
                <w:szCs w:val="24"/>
                <w:color w:val="auto"/>
              </w:rPr>
            </w:pPr>
          </w:p>
        </w:tc>
        <w:tc>
          <w:tcPr>
            <w:tcW w:w="1340" w:type="dxa"/>
            <w:vAlign w:val="bottom"/>
          </w:tcPr>
          <w:p>
            <w:pPr>
              <w:jc w:val="right"/>
              <w:ind w:right="412"/>
              <w:spacing w:after="0"/>
              <w:rPr>
                <w:sz w:val="20"/>
                <w:szCs w:val="20"/>
                <w:color w:val="auto"/>
              </w:rPr>
            </w:pPr>
            <w:r>
              <w:rPr>
                <w:rFonts w:ascii="Arial" w:cs="Arial" w:eastAsia="Arial" w:hAnsi="Arial"/>
                <w:sz w:val="18"/>
                <w:szCs w:val="18"/>
                <w:b w:val="1"/>
                <w:bCs w:val="1"/>
                <w:color w:val="auto"/>
              </w:rPr>
              <w:t>2003</w:t>
            </w:r>
          </w:p>
        </w:tc>
        <w:tc>
          <w:tcPr>
            <w:tcW w:w="0" w:type="dxa"/>
            <w:vAlign w:val="bottom"/>
          </w:tcPr>
          <w:p>
            <w:pPr>
              <w:spacing w:after="0"/>
              <w:rPr>
                <w:sz w:val="1"/>
                <w:szCs w:val="1"/>
                <w:color w:val="auto"/>
              </w:rPr>
            </w:pPr>
          </w:p>
        </w:tc>
      </w:tr>
      <w:tr>
        <w:trPr>
          <w:trHeight w:val="137"/>
        </w:trPr>
        <w:tc>
          <w:tcPr>
            <w:tcW w:w="4520" w:type="dxa"/>
            <w:vAlign w:val="bottom"/>
            <w:vMerge w:val="restart"/>
          </w:tcPr>
          <w:p>
            <w:pPr>
              <w:spacing w:after="0"/>
              <w:rPr>
                <w:sz w:val="20"/>
                <w:szCs w:val="20"/>
                <w:color w:val="auto"/>
              </w:rPr>
            </w:pPr>
            <w:r>
              <w:rPr>
                <w:rFonts w:ascii="Arial" w:cs="Arial" w:eastAsia="Arial" w:hAnsi="Arial"/>
                <w:sz w:val="18"/>
                <w:szCs w:val="18"/>
                <w:b w:val="1"/>
                <w:bCs w:val="1"/>
                <w:color w:val="auto"/>
              </w:rPr>
              <w:t>Past due loan amounts:</w:t>
            </w: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452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00" w:type="dxa"/>
            <w:vAlign w:val="bottom"/>
            <w:gridSpan w:val="5"/>
          </w:tcPr>
          <w:p>
            <w:pPr>
              <w:jc w:val="center"/>
              <w:ind w:left="872"/>
              <w:spacing w:after="0"/>
              <w:rPr>
                <w:sz w:val="20"/>
                <w:szCs w:val="20"/>
                <w:color w:val="auto"/>
              </w:rPr>
            </w:pPr>
            <w:r>
              <w:rPr>
                <w:rFonts w:ascii="Arial" w:cs="Arial" w:eastAsia="Arial" w:hAnsi="Arial"/>
                <w:sz w:val="18"/>
                <w:szCs w:val="18"/>
                <w:i w:val="1"/>
                <w:iCs w:val="1"/>
                <w:color w:val="auto"/>
                <w:w w:val="90"/>
              </w:rPr>
              <w:t>(U.S. Dollars in thousands)</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Loans</w:t>
            </w:r>
          </w:p>
        </w:tc>
        <w:tc>
          <w:tcPr>
            <w:tcW w:w="1340" w:type="dxa"/>
            <w:vAlign w:val="bottom"/>
          </w:tcPr>
          <w:p>
            <w:pPr>
              <w:jc w:val="right"/>
              <w:spacing w:after="0"/>
              <w:rPr>
                <w:sz w:val="20"/>
                <w:szCs w:val="20"/>
                <w:color w:val="auto"/>
              </w:rPr>
            </w:pPr>
            <w:r>
              <w:rPr>
                <w:rFonts w:ascii="Arial" w:cs="Arial" w:eastAsia="Arial" w:hAnsi="Arial"/>
                <w:sz w:val="18"/>
                <w:szCs w:val="18"/>
                <w:color w:val="auto"/>
              </w:rPr>
              <w:t>US$224,298</w:t>
            </w:r>
          </w:p>
        </w:tc>
        <w:tc>
          <w:tcPr>
            <w:tcW w:w="40" w:type="dxa"/>
            <w:vAlign w:val="bottom"/>
          </w:tcPr>
          <w:p>
            <w:pPr>
              <w:spacing w:after="0"/>
              <w:rPr>
                <w:sz w:val="21"/>
                <w:szCs w:val="21"/>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US$286,345</w:t>
            </w:r>
          </w:p>
        </w:tc>
        <w:tc>
          <w:tcPr>
            <w:tcW w:w="1720" w:type="dxa"/>
            <w:vAlign w:val="bottom"/>
            <w:gridSpan w:val="3"/>
          </w:tcPr>
          <w:p>
            <w:pPr>
              <w:jc w:val="right"/>
              <w:ind w:right="380"/>
              <w:spacing w:after="0"/>
              <w:rPr>
                <w:sz w:val="20"/>
                <w:szCs w:val="20"/>
                <w:color w:val="auto"/>
              </w:rPr>
            </w:pPr>
            <w:r>
              <w:rPr>
                <w:rFonts w:ascii="Arial" w:cs="Arial" w:eastAsia="Arial" w:hAnsi="Arial"/>
                <w:sz w:val="18"/>
                <w:szCs w:val="18"/>
                <w:color w:val="auto"/>
              </w:rPr>
              <w:t>US$263,553</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US$322,179</w:t>
            </w:r>
          </w:p>
        </w:tc>
        <w:tc>
          <w:tcPr>
            <w:tcW w:w="1340" w:type="dxa"/>
            <w:vAlign w:val="bottom"/>
          </w:tcPr>
          <w:p>
            <w:pPr>
              <w:jc w:val="right"/>
              <w:spacing w:after="0"/>
              <w:rPr>
                <w:sz w:val="20"/>
                <w:szCs w:val="20"/>
                <w:color w:val="auto"/>
              </w:rPr>
            </w:pPr>
            <w:r>
              <w:rPr>
                <w:rFonts w:ascii="Arial" w:cs="Arial" w:eastAsia="Arial" w:hAnsi="Arial"/>
                <w:sz w:val="18"/>
                <w:szCs w:val="18"/>
                <w:color w:val="auto"/>
              </w:rPr>
              <w:t>US$194,761</w:t>
            </w:r>
          </w:p>
        </w:tc>
        <w:tc>
          <w:tcPr>
            <w:tcW w:w="0" w:type="dxa"/>
            <w:vAlign w:val="bottom"/>
          </w:tcPr>
          <w:p>
            <w:pPr>
              <w:spacing w:after="0"/>
              <w:rPr>
                <w:sz w:val="1"/>
                <w:szCs w:val="1"/>
                <w:color w:val="auto"/>
              </w:rPr>
            </w:pP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Discounted notes</w:t>
            </w:r>
          </w:p>
        </w:tc>
        <w:tc>
          <w:tcPr>
            <w:tcW w:w="1340" w:type="dxa"/>
            <w:vAlign w:val="bottom"/>
          </w:tcPr>
          <w:p>
            <w:pPr>
              <w:jc w:val="right"/>
              <w:spacing w:after="0"/>
              <w:rPr>
                <w:sz w:val="20"/>
                <w:szCs w:val="20"/>
                <w:color w:val="auto"/>
              </w:rPr>
            </w:pPr>
            <w:r>
              <w:rPr>
                <w:rFonts w:ascii="Arial" w:cs="Arial" w:eastAsia="Arial" w:hAnsi="Arial"/>
                <w:sz w:val="18"/>
                <w:szCs w:val="18"/>
                <w:color w:val="auto"/>
              </w:rPr>
              <w:t>79,356</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17,930</w:t>
            </w:r>
          </w:p>
        </w:tc>
        <w:tc>
          <w:tcPr>
            <w:tcW w:w="1340" w:type="dxa"/>
            <w:vAlign w:val="bottom"/>
          </w:tcPr>
          <w:p>
            <w:pPr>
              <w:jc w:val="right"/>
              <w:spacing w:after="0"/>
              <w:rPr>
                <w:sz w:val="20"/>
                <w:szCs w:val="20"/>
                <w:color w:val="auto"/>
              </w:rPr>
            </w:pPr>
            <w:r>
              <w:rPr>
                <w:rFonts w:ascii="Arial" w:cs="Arial" w:eastAsia="Arial" w:hAnsi="Arial"/>
                <w:sz w:val="18"/>
                <w:szCs w:val="18"/>
                <w:color w:val="auto"/>
              </w:rPr>
              <w:t>9,577</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4,513</w:t>
            </w:r>
          </w:p>
        </w:tc>
        <w:tc>
          <w:tcPr>
            <w:tcW w:w="1340" w:type="dxa"/>
            <w:vAlign w:val="bottom"/>
          </w:tcPr>
          <w:p>
            <w:pPr>
              <w:jc w:val="right"/>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237"/>
        </w:trPr>
        <w:tc>
          <w:tcPr>
            <w:tcW w:w="4520" w:type="dxa"/>
            <w:vAlign w:val="bottom"/>
          </w:tcPr>
          <w:p>
            <w:pPr>
              <w:spacing w:after="0"/>
              <w:rPr>
                <w:sz w:val="20"/>
                <w:szCs w:val="20"/>
                <w:color w:val="auto"/>
              </w:rPr>
            </w:pPr>
            <w:r>
              <w:rPr>
                <w:rFonts w:ascii="Arial" w:cs="Arial" w:eastAsia="Arial" w:hAnsi="Arial"/>
                <w:sz w:val="18"/>
                <w:szCs w:val="18"/>
                <w:color w:val="auto"/>
              </w:rPr>
              <w:t>Advances and overdrafts in demand</w:t>
            </w:r>
          </w:p>
        </w:tc>
        <w:tc>
          <w:tcPr>
            <w:tcW w:w="1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520" w:type="dxa"/>
            <w:vAlign w:val="bottom"/>
          </w:tcPr>
          <w:p>
            <w:pPr>
              <w:ind w:left="180"/>
              <w:spacing w:after="0"/>
              <w:rPr>
                <w:sz w:val="20"/>
                <w:szCs w:val="20"/>
                <w:color w:val="auto"/>
              </w:rPr>
            </w:pPr>
            <w:r>
              <w:rPr>
                <w:rFonts w:ascii="Arial" w:cs="Arial" w:eastAsia="Arial" w:hAnsi="Arial"/>
                <w:sz w:val="18"/>
                <w:szCs w:val="18"/>
                <w:color w:val="auto"/>
              </w:rPr>
              <w:t>deposits</w:t>
            </w:r>
          </w:p>
        </w:tc>
        <w:tc>
          <w:tcPr>
            <w:tcW w:w="1340" w:type="dxa"/>
            <w:vAlign w:val="bottom"/>
          </w:tcPr>
          <w:p>
            <w:pPr>
              <w:jc w:val="right"/>
              <w:spacing w:after="0"/>
              <w:rPr>
                <w:sz w:val="20"/>
                <w:szCs w:val="20"/>
                <w:color w:val="auto"/>
              </w:rPr>
            </w:pPr>
            <w:r>
              <w:rPr>
                <w:rFonts w:ascii="Arial" w:cs="Arial" w:eastAsia="Arial" w:hAnsi="Arial"/>
                <w:sz w:val="18"/>
                <w:szCs w:val="18"/>
                <w:color w:val="auto"/>
              </w:rPr>
              <w:t>21,012</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17,161</w:t>
            </w:r>
          </w:p>
        </w:tc>
        <w:tc>
          <w:tcPr>
            <w:tcW w:w="1340" w:type="dxa"/>
            <w:vAlign w:val="bottom"/>
          </w:tcPr>
          <w:p>
            <w:pPr>
              <w:jc w:val="right"/>
              <w:spacing w:after="0"/>
              <w:rPr>
                <w:sz w:val="20"/>
                <w:szCs w:val="20"/>
                <w:color w:val="auto"/>
              </w:rPr>
            </w:pPr>
            <w:r>
              <w:rPr>
                <w:rFonts w:ascii="Arial" w:cs="Arial" w:eastAsia="Arial" w:hAnsi="Arial"/>
                <w:sz w:val="18"/>
                <w:szCs w:val="18"/>
                <w:color w:val="auto"/>
              </w:rPr>
              <w:t>15,332</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7,892</w:t>
            </w:r>
          </w:p>
        </w:tc>
        <w:tc>
          <w:tcPr>
            <w:tcW w:w="1340" w:type="dxa"/>
            <w:vAlign w:val="bottom"/>
          </w:tcPr>
          <w:p>
            <w:pPr>
              <w:jc w:val="right"/>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Leasing transactions</w:t>
            </w:r>
          </w:p>
        </w:tc>
        <w:tc>
          <w:tcPr>
            <w:tcW w:w="1340" w:type="dxa"/>
            <w:vAlign w:val="bottom"/>
          </w:tcPr>
          <w:p>
            <w:pPr>
              <w:jc w:val="right"/>
              <w:spacing w:after="0"/>
              <w:rPr>
                <w:sz w:val="20"/>
                <w:szCs w:val="20"/>
                <w:color w:val="auto"/>
              </w:rPr>
            </w:pPr>
            <w:r>
              <w:rPr>
                <w:rFonts w:ascii="Arial" w:cs="Arial" w:eastAsia="Arial" w:hAnsi="Arial"/>
                <w:sz w:val="18"/>
                <w:szCs w:val="18"/>
                <w:color w:val="auto"/>
              </w:rPr>
              <w:t>11,986</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18,796</w:t>
            </w:r>
          </w:p>
        </w:tc>
        <w:tc>
          <w:tcPr>
            <w:tcW w:w="1340" w:type="dxa"/>
            <w:vAlign w:val="bottom"/>
          </w:tcPr>
          <w:p>
            <w:pPr>
              <w:jc w:val="right"/>
              <w:spacing w:after="0"/>
              <w:rPr>
                <w:sz w:val="20"/>
                <w:szCs w:val="20"/>
                <w:color w:val="auto"/>
              </w:rPr>
            </w:pPr>
            <w:r>
              <w:rPr>
                <w:rFonts w:ascii="Arial" w:cs="Arial" w:eastAsia="Arial" w:hAnsi="Arial"/>
                <w:sz w:val="18"/>
                <w:szCs w:val="18"/>
                <w:color w:val="auto"/>
              </w:rPr>
              <w:t>19,686</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17,231</w:t>
            </w:r>
          </w:p>
        </w:tc>
        <w:tc>
          <w:tcPr>
            <w:tcW w:w="1340" w:type="dxa"/>
            <w:vAlign w:val="bottom"/>
          </w:tcPr>
          <w:p>
            <w:pPr>
              <w:jc w:val="right"/>
              <w:spacing w:after="0"/>
              <w:rPr>
                <w:sz w:val="20"/>
                <w:szCs w:val="20"/>
                <w:color w:val="auto"/>
              </w:rPr>
            </w:pPr>
            <w:r>
              <w:rPr>
                <w:rFonts w:ascii="Arial" w:cs="Arial" w:eastAsia="Arial" w:hAnsi="Arial"/>
                <w:sz w:val="18"/>
                <w:szCs w:val="18"/>
                <w:color w:val="auto"/>
              </w:rPr>
              <w:t>8,716</w:t>
            </w:r>
          </w:p>
        </w:tc>
        <w:tc>
          <w:tcPr>
            <w:tcW w:w="0" w:type="dxa"/>
            <w:vAlign w:val="bottom"/>
          </w:tcPr>
          <w:p>
            <w:pPr>
              <w:spacing w:after="0"/>
              <w:rPr>
                <w:sz w:val="1"/>
                <w:szCs w:val="1"/>
                <w:color w:val="auto"/>
              </w:rPr>
            </w:pP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Refinanced loans</w:t>
            </w:r>
          </w:p>
        </w:tc>
        <w:tc>
          <w:tcPr>
            <w:tcW w:w="1340" w:type="dxa"/>
            <w:vAlign w:val="bottom"/>
          </w:tcPr>
          <w:p>
            <w:pPr>
              <w:jc w:val="right"/>
              <w:spacing w:after="0"/>
              <w:rPr>
                <w:sz w:val="20"/>
                <w:szCs w:val="20"/>
                <w:color w:val="auto"/>
              </w:rPr>
            </w:pPr>
            <w:r>
              <w:rPr>
                <w:rFonts w:ascii="Arial" w:cs="Arial" w:eastAsia="Arial" w:hAnsi="Arial"/>
                <w:sz w:val="18"/>
                <w:szCs w:val="18"/>
                <w:color w:val="auto"/>
              </w:rPr>
              <w:t>23,142</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35,869</w:t>
            </w:r>
          </w:p>
        </w:tc>
        <w:tc>
          <w:tcPr>
            <w:tcW w:w="1340" w:type="dxa"/>
            <w:vAlign w:val="bottom"/>
          </w:tcPr>
          <w:p>
            <w:pPr>
              <w:jc w:val="right"/>
              <w:spacing w:after="0"/>
              <w:rPr>
                <w:sz w:val="20"/>
                <w:szCs w:val="20"/>
                <w:color w:val="auto"/>
              </w:rPr>
            </w:pPr>
            <w:r>
              <w:rPr>
                <w:rFonts w:ascii="Arial" w:cs="Arial" w:eastAsia="Arial" w:hAnsi="Arial"/>
                <w:sz w:val="18"/>
                <w:szCs w:val="18"/>
                <w:color w:val="auto"/>
              </w:rPr>
              <w:t>42,687</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54,320</w:t>
            </w:r>
          </w:p>
        </w:tc>
        <w:tc>
          <w:tcPr>
            <w:tcW w:w="1340" w:type="dxa"/>
            <w:vAlign w:val="bottom"/>
          </w:tcPr>
          <w:p>
            <w:pPr>
              <w:jc w:val="right"/>
              <w:spacing w:after="0"/>
              <w:rPr>
                <w:sz w:val="20"/>
                <w:szCs w:val="20"/>
                <w:color w:val="auto"/>
              </w:rPr>
            </w:pPr>
            <w:r>
              <w:rPr>
                <w:rFonts w:ascii="Arial" w:cs="Arial" w:eastAsia="Arial" w:hAnsi="Arial"/>
                <w:sz w:val="18"/>
                <w:szCs w:val="18"/>
                <w:color w:val="auto"/>
              </w:rPr>
              <w:t>47,800</w:t>
            </w:r>
          </w:p>
        </w:tc>
        <w:tc>
          <w:tcPr>
            <w:tcW w:w="0" w:type="dxa"/>
            <w:vAlign w:val="bottom"/>
          </w:tcPr>
          <w:p>
            <w:pPr>
              <w:spacing w:after="0"/>
              <w:rPr>
                <w:sz w:val="1"/>
                <w:szCs w:val="1"/>
                <w:color w:val="auto"/>
              </w:rPr>
            </w:pPr>
          </w:p>
        </w:tc>
      </w:tr>
      <w:tr>
        <w:trPr>
          <w:trHeight w:val="151"/>
        </w:trPr>
        <w:tc>
          <w:tcPr>
            <w:tcW w:w="4520" w:type="dxa"/>
            <w:vAlign w:val="bottom"/>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43"/>
        </w:trPr>
        <w:tc>
          <w:tcPr>
            <w:tcW w:w="4520" w:type="dxa"/>
            <w:vAlign w:val="bottom"/>
          </w:tcPr>
          <w:p>
            <w:pPr>
              <w:ind w:left="160"/>
              <w:spacing w:after="0"/>
              <w:rPr>
                <w:sz w:val="20"/>
                <w:szCs w:val="20"/>
                <w:color w:val="auto"/>
              </w:rPr>
            </w:pPr>
            <w:r>
              <w:rPr>
                <w:rFonts w:ascii="Arial" w:cs="Arial" w:eastAsia="Arial" w:hAnsi="Arial"/>
                <w:sz w:val="18"/>
                <w:szCs w:val="18"/>
                <w:color w:val="auto"/>
              </w:rPr>
              <w:t>Total past due portfolio</w:t>
            </w:r>
          </w:p>
        </w:tc>
        <w:tc>
          <w:tcPr>
            <w:tcW w:w="1340" w:type="dxa"/>
            <w:vAlign w:val="bottom"/>
          </w:tcPr>
          <w:p>
            <w:pPr>
              <w:jc w:val="right"/>
              <w:spacing w:after="0"/>
              <w:rPr>
                <w:sz w:val="20"/>
                <w:szCs w:val="20"/>
                <w:color w:val="auto"/>
              </w:rPr>
            </w:pPr>
            <w:r>
              <w:rPr>
                <w:rFonts w:ascii="Arial" w:cs="Arial" w:eastAsia="Arial" w:hAnsi="Arial"/>
                <w:sz w:val="18"/>
                <w:szCs w:val="18"/>
                <w:color w:val="auto"/>
              </w:rPr>
              <w:t>US$359,794</w:t>
            </w:r>
          </w:p>
        </w:tc>
        <w:tc>
          <w:tcPr>
            <w:tcW w:w="40" w:type="dxa"/>
            <w:vAlign w:val="bottom"/>
          </w:tcPr>
          <w:p>
            <w:pPr>
              <w:spacing w:after="0"/>
              <w:rPr>
                <w:sz w:val="24"/>
                <w:szCs w:val="24"/>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US$376,101</w:t>
            </w:r>
          </w:p>
        </w:tc>
        <w:tc>
          <w:tcPr>
            <w:tcW w:w="1720" w:type="dxa"/>
            <w:vAlign w:val="bottom"/>
            <w:gridSpan w:val="3"/>
          </w:tcPr>
          <w:p>
            <w:pPr>
              <w:jc w:val="right"/>
              <w:ind w:right="380"/>
              <w:spacing w:after="0"/>
              <w:rPr>
                <w:sz w:val="20"/>
                <w:szCs w:val="20"/>
                <w:color w:val="auto"/>
              </w:rPr>
            </w:pPr>
            <w:r>
              <w:rPr>
                <w:rFonts w:ascii="Arial" w:cs="Arial" w:eastAsia="Arial" w:hAnsi="Arial"/>
                <w:sz w:val="18"/>
                <w:szCs w:val="18"/>
                <w:color w:val="auto"/>
              </w:rPr>
              <w:t>US$350,835</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US$406,135</w:t>
            </w:r>
          </w:p>
        </w:tc>
        <w:tc>
          <w:tcPr>
            <w:tcW w:w="1340" w:type="dxa"/>
            <w:vAlign w:val="bottom"/>
          </w:tcPr>
          <w:p>
            <w:pPr>
              <w:jc w:val="right"/>
              <w:spacing w:after="0"/>
              <w:rPr>
                <w:sz w:val="20"/>
                <w:szCs w:val="20"/>
                <w:color w:val="auto"/>
              </w:rPr>
            </w:pPr>
            <w:r>
              <w:rPr>
                <w:rFonts w:ascii="Arial" w:cs="Arial" w:eastAsia="Arial" w:hAnsi="Arial"/>
                <w:sz w:val="18"/>
                <w:szCs w:val="18"/>
                <w:color w:val="auto"/>
              </w:rPr>
              <w:t>US$256,208</w:t>
            </w:r>
          </w:p>
        </w:tc>
        <w:tc>
          <w:tcPr>
            <w:tcW w:w="0" w:type="dxa"/>
            <w:vAlign w:val="bottom"/>
          </w:tcPr>
          <w:p>
            <w:pPr>
              <w:spacing w:after="0"/>
              <w:rPr>
                <w:sz w:val="1"/>
                <w:szCs w:val="1"/>
                <w:color w:val="auto"/>
              </w:rPr>
            </w:pPr>
          </w:p>
        </w:tc>
      </w:tr>
      <w:tr>
        <w:trPr>
          <w:trHeight w:val="147"/>
        </w:trPr>
        <w:tc>
          <w:tcPr>
            <w:tcW w:w="4520" w:type="dxa"/>
            <w:vAlign w:val="bottom"/>
            <w:vMerge w:val="restart"/>
          </w:tcPr>
          <w:p>
            <w:pPr>
              <w:spacing w:after="0"/>
              <w:rPr>
                <w:sz w:val="20"/>
                <w:szCs w:val="20"/>
                <w:color w:val="auto"/>
              </w:rPr>
            </w:pPr>
            <w:r>
              <w:rPr>
                <w:rFonts w:ascii="Arial" w:cs="Arial" w:eastAsia="Arial" w:hAnsi="Arial"/>
                <w:sz w:val="18"/>
                <w:szCs w:val="18"/>
                <w:color w:val="auto"/>
              </w:rPr>
              <w:t>Reserves:</w:t>
            </w:r>
          </w:p>
        </w:tc>
        <w:tc>
          <w:tcPr>
            <w:tcW w:w="13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40"/>
        </w:trPr>
        <w:tc>
          <w:tcPr>
            <w:tcW w:w="452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520" w:type="dxa"/>
            <w:vAlign w:val="bottom"/>
          </w:tcPr>
          <w:p>
            <w:pPr>
              <w:ind w:left="180"/>
              <w:spacing w:after="0"/>
              <w:rPr>
                <w:sz w:val="20"/>
                <w:szCs w:val="20"/>
                <w:color w:val="auto"/>
              </w:rPr>
            </w:pPr>
            <w:r>
              <w:rPr>
                <w:rFonts w:ascii="Arial" w:cs="Arial" w:eastAsia="Arial" w:hAnsi="Arial"/>
                <w:sz w:val="18"/>
                <w:szCs w:val="18"/>
                <w:color w:val="auto"/>
              </w:rPr>
              <w:t>Specific reserves</w:t>
            </w:r>
          </w:p>
        </w:tc>
        <w:tc>
          <w:tcPr>
            <w:tcW w:w="1340" w:type="dxa"/>
            <w:vAlign w:val="bottom"/>
          </w:tcPr>
          <w:p>
            <w:pPr>
              <w:jc w:val="right"/>
              <w:spacing w:after="0"/>
              <w:rPr>
                <w:sz w:val="20"/>
                <w:szCs w:val="20"/>
                <w:color w:val="auto"/>
              </w:rPr>
            </w:pPr>
            <w:r>
              <w:rPr>
                <w:rFonts w:ascii="Arial" w:cs="Arial" w:eastAsia="Arial" w:hAnsi="Arial"/>
                <w:sz w:val="18"/>
                <w:szCs w:val="18"/>
                <w:color w:val="auto"/>
              </w:rPr>
              <w:t>US$282,948</w:t>
            </w:r>
          </w:p>
        </w:tc>
        <w:tc>
          <w:tcPr>
            <w:tcW w:w="4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US$ 324,448</w:t>
            </w:r>
          </w:p>
        </w:tc>
        <w:tc>
          <w:tcPr>
            <w:tcW w:w="1720" w:type="dxa"/>
            <w:vAlign w:val="bottom"/>
            <w:gridSpan w:val="3"/>
          </w:tcPr>
          <w:p>
            <w:pPr>
              <w:jc w:val="right"/>
              <w:ind w:right="380"/>
              <w:spacing w:after="0"/>
              <w:rPr>
                <w:sz w:val="20"/>
                <w:szCs w:val="20"/>
                <w:color w:val="auto"/>
              </w:rPr>
            </w:pPr>
            <w:r>
              <w:rPr>
                <w:rFonts w:ascii="Arial" w:cs="Arial" w:eastAsia="Arial" w:hAnsi="Arial"/>
                <w:sz w:val="18"/>
                <w:szCs w:val="18"/>
                <w:color w:val="auto"/>
              </w:rPr>
              <w:t>US$ 314,004</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US$378,051</w:t>
            </w:r>
          </w:p>
        </w:tc>
        <w:tc>
          <w:tcPr>
            <w:tcW w:w="1340" w:type="dxa"/>
            <w:vAlign w:val="bottom"/>
          </w:tcPr>
          <w:p>
            <w:pPr>
              <w:jc w:val="right"/>
              <w:spacing w:after="0"/>
              <w:rPr>
                <w:sz w:val="20"/>
                <w:szCs w:val="20"/>
                <w:color w:val="auto"/>
              </w:rPr>
            </w:pPr>
            <w:r>
              <w:rPr>
                <w:rFonts w:ascii="Arial" w:cs="Arial" w:eastAsia="Arial" w:hAnsi="Arial"/>
                <w:sz w:val="18"/>
                <w:szCs w:val="18"/>
                <w:color w:val="auto"/>
              </w:rPr>
              <w:t>US$285,842</w:t>
            </w:r>
          </w:p>
        </w:tc>
        <w:tc>
          <w:tcPr>
            <w:tcW w:w="0" w:type="dxa"/>
            <w:vAlign w:val="bottom"/>
          </w:tcPr>
          <w:p>
            <w:pPr>
              <w:spacing w:after="0"/>
              <w:rPr>
                <w:sz w:val="1"/>
                <w:szCs w:val="1"/>
                <w:color w:val="auto"/>
              </w:rPr>
            </w:pPr>
          </w:p>
        </w:tc>
      </w:tr>
      <w:tr>
        <w:trPr>
          <w:trHeight w:val="237"/>
        </w:trPr>
        <w:tc>
          <w:tcPr>
            <w:tcW w:w="4520" w:type="dxa"/>
            <w:vAlign w:val="bottom"/>
          </w:tcPr>
          <w:p>
            <w:pPr>
              <w:ind w:left="180"/>
              <w:spacing w:after="0"/>
              <w:rPr>
                <w:sz w:val="20"/>
                <w:szCs w:val="20"/>
                <w:color w:val="auto"/>
              </w:rPr>
            </w:pPr>
            <w:r>
              <w:rPr>
                <w:rFonts w:ascii="Arial" w:cs="Arial" w:eastAsia="Arial" w:hAnsi="Arial"/>
                <w:sz w:val="18"/>
                <w:szCs w:val="18"/>
                <w:color w:val="auto"/>
              </w:rPr>
              <w:t>Not specifically identified</w:t>
            </w:r>
          </w:p>
        </w:tc>
        <w:tc>
          <w:tcPr>
            <w:tcW w:w="1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520" w:type="dxa"/>
            <w:vAlign w:val="bottom"/>
          </w:tcPr>
          <w:p>
            <w:pPr>
              <w:ind w:left="340"/>
              <w:spacing w:after="0"/>
              <w:rPr>
                <w:sz w:val="20"/>
                <w:szCs w:val="20"/>
                <w:color w:val="auto"/>
              </w:rPr>
            </w:pPr>
            <w:r>
              <w:rPr>
                <w:rFonts w:ascii="Arial" w:cs="Arial" w:eastAsia="Arial" w:hAnsi="Arial"/>
                <w:sz w:val="18"/>
                <w:szCs w:val="18"/>
                <w:color w:val="auto"/>
              </w:rPr>
              <w:t>reserves</w:t>
            </w:r>
          </w:p>
        </w:tc>
        <w:tc>
          <w:tcPr>
            <w:tcW w:w="1340" w:type="dxa"/>
            <w:vAlign w:val="bottom"/>
          </w:tcPr>
          <w:p>
            <w:pPr>
              <w:jc w:val="right"/>
              <w:spacing w:after="0"/>
              <w:rPr>
                <w:sz w:val="20"/>
                <w:szCs w:val="20"/>
                <w:color w:val="auto"/>
              </w:rPr>
            </w:pPr>
            <w:r>
              <w:rPr>
                <w:rFonts w:ascii="Arial" w:cs="Arial" w:eastAsia="Arial" w:hAnsi="Arial"/>
                <w:sz w:val="18"/>
                <w:szCs w:val="18"/>
                <w:color w:val="auto"/>
              </w:rPr>
              <w:t>24,395</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17,039</w:t>
            </w:r>
          </w:p>
        </w:tc>
        <w:tc>
          <w:tcPr>
            <w:tcW w:w="1340" w:type="dxa"/>
            <w:vAlign w:val="bottom"/>
          </w:tcPr>
          <w:p>
            <w:pPr>
              <w:jc w:val="right"/>
              <w:spacing w:after="0"/>
              <w:rPr>
                <w:sz w:val="20"/>
                <w:szCs w:val="20"/>
                <w:color w:val="auto"/>
              </w:rPr>
            </w:pPr>
            <w:r>
              <w:rPr>
                <w:rFonts w:ascii="Arial" w:cs="Arial" w:eastAsia="Arial" w:hAnsi="Arial"/>
                <w:sz w:val="18"/>
                <w:szCs w:val="18"/>
                <w:color w:val="auto"/>
              </w:rPr>
              <w:t>30,429</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45,980</w:t>
            </w:r>
          </w:p>
        </w:tc>
        <w:tc>
          <w:tcPr>
            <w:tcW w:w="1340" w:type="dxa"/>
            <w:vAlign w:val="bottom"/>
          </w:tcPr>
          <w:p>
            <w:pPr>
              <w:jc w:val="right"/>
              <w:spacing w:after="0"/>
              <w:rPr>
                <w:sz w:val="20"/>
                <w:szCs w:val="20"/>
                <w:color w:val="auto"/>
              </w:rPr>
            </w:pPr>
            <w:r>
              <w:rPr>
                <w:rFonts w:ascii="Arial" w:cs="Arial" w:eastAsia="Arial" w:hAnsi="Arial"/>
                <w:sz w:val="18"/>
                <w:szCs w:val="18"/>
                <w:color w:val="auto"/>
              </w:rPr>
              <w:t>40,835</w:t>
            </w:r>
          </w:p>
        </w:tc>
        <w:tc>
          <w:tcPr>
            <w:tcW w:w="0" w:type="dxa"/>
            <w:vAlign w:val="bottom"/>
          </w:tcPr>
          <w:p>
            <w:pPr>
              <w:spacing w:after="0"/>
              <w:rPr>
                <w:sz w:val="1"/>
                <w:szCs w:val="1"/>
                <w:color w:val="auto"/>
              </w:rPr>
            </w:pPr>
          </w:p>
        </w:tc>
      </w:tr>
      <w:tr>
        <w:trPr>
          <w:trHeight w:val="243"/>
        </w:trPr>
        <w:tc>
          <w:tcPr>
            <w:tcW w:w="4520" w:type="dxa"/>
            <w:vAlign w:val="bottom"/>
          </w:tcPr>
          <w:p>
            <w:pPr>
              <w:ind w:left="160"/>
              <w:spacing w:after="0"/>
              <w:rPr>
                <w:sz w:val="20"/>
                <w:szCs w:val="20"/>
                <w:color w:val="auto"/>
              </w:rPr>
            </w:pPr>
            <w:r>
              <w:rPr>
                <w:rFonts w:ascii="Arial" w:cs="Arial" w:eastAsia="Arial" w:hAnsi="Arial"/>
                <w:sz w:val="18"/>
                <w:szCs w:val="18"/>
                <w:color w:val="auto"/>
              </w:rPr>
              <w:t>Total reserves for loan losses</w:t>
            </w:r>
          </w:p>
        </w:tc>
        <w:tc>
          <w:tcPr>
            <w:tcW w:w="1340" w:type="dxa"/>
            <w:vAlign w:val="bottom"/>
          </w:tcPr>
          <w:p>
            <w:pPr>
              <w:jc w:val="right"/>
              <w:spacing w:after="0"/>
              <w:rPr>
                <w:sz w:val="20"/>
                <w:szCs w:val="20"/>
                <w:color w:val="auto"/>
              </w:rPr>
            </w:pPr>
            <w:r>
              <w:rPr>
                <w:rFonts w:ascii="Arial" w:cs="Arial" w:eastAsia="Arial" w:hAnsi="Arial"/>
                <w:sz w:val="18"/>
                <w:szCs w:val="18"/>
                <w:color w:val="auto"/>
              </w:rPr>
              <w:t>307,343</w:t>
            </w:r>
          </w:p>
        </w:tc>
        <w:tc>
          <w:tcPr>
            <w:tcW w:w="40" w:type="dxa"/>
            <w:vAlign w:val="bottom"/>
          </w:tcPr>
          <w:p>
            <w:pPr>
              <w:spacing w:after="0"/>
              <w:rPr>
                <w:sz w:val="21"/>
                <w:szCs w:val="21"/>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US$341,487</w:t>
            </w:r>
          </w:p>
        </w:tc>
        <w:tc>
          <w:tcPr>
            <w:tcW w:w="1720" w:type="dxa"/>
            <w:vAlign w:val="bottom"/>
            <w:gridSpan w:val="3"/>
          </w:tcPr>
          <w:p>
            <w:pPr>
              <w:jc w:val="right"/>
              <w:ind w:right="380"/>
              <w:spacing w:after="0"/>
              <w:rPr>
                <w:sz w:val="20"/>
                <w:szCs w:val="20"/>
                <w:color w:val="auto"/>
              </w:rPr>
            </w:pPr>
            <w:r>
              <w:rPr>
                <w:rFonts w:ascii="Arial" w:cs="Arial" w:eastAsia="Arial" w:hAnsi="Arial"/>
                <w:sz w:val="18"/>
                <w:szCs w:val="18"/>
                <w:color w:val="auto"/>
              </w:rPr>
              <w:t>US$344,433</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US$424,031</w:t>
            </w:r>
          </w:p>
        </w:tc>
        <w:tc>
          <w:tcPr>
            <w:tcW w:w="1340" w:type="dxa"/>
            <w:vAlign w:val="bottom"/>
          </w:tcPr>
          <w:p>
            <w:pPr>
              <w:jc w:val="right"/>
              <w:spacing w:after="0"/>
              <w:rPr>
                <w:sz w:val="20"/>
                <w:szCs w:val="20"/>
                <w:color w:val="auto"/>
              </w:rPr>
            </w:pPr>
            <w:r>
              <w:rPr>
                <w:rFonts w:ascii="Arial" w:cs="Arial" w:eastAsia="Arial" w:hAnsi="Arial"/>
                <w:sz w:val="18"/>
                <w:szCs w:val="18"/>
                <w:color w:val="auto"/>
              </w:rPr>
              <w:t>US$326,677</w:t>
            </w:r>
          </w:p>
        </w:tc>
        <w:tc>
          <w:tcPr>
            <w:tcW w:w="0" w:type="dxa"/>
            <w:vAlign w:val="bottom"/>
          </w:tcPr>
          <w:p>
            <w:pPr>
              <w:spacing w:after="0"/>
              <w:rPr>
                <w:sz w:val="1"/>
                <w:szCs w:val="1"/>
                <w:color w:val="auto"/>
              </w:rPr>
            </w:pPr>
          </w:p>
        </w:tc>
      </w:tr>
      <w:tr>
        <w:trPr>
          <w:trHeight w:val="151"/>
        </w:trPr>
        <w:tc>
          <w:tcPr>
            <w:tcW w:w="4520" w:type="dxa"/>
            <w:vAlign w:val="bottom"/>
            <w:vMerge w:val="restart"/>
          </w:tcPr>
          <w:p>
            <w:pPr>
              <w:spacing w:after="0"/>
              <w:rPr>
                <w:sz w:val="20"/>
                <w:szCs w:val="20"/>
                <w:color w:val="auto"/>
              </w:rPr>
            </w:pPr>
            <w:r>
              <w:rPr>
                <w:rFonts w:ascii="Arial" w:cs="Arial" w:eastAsia="Arial" w:hAnsi="Arial"/>
                <w:sz w:val="18"/>
                <w:szCs w:val="18"/>
                <w:color w:val="auto"/>
              </w:rPr>
              <w:t>Total past due portfolio net of total</w:t>
            </w:r>
          </w:p>
        </w:tc>
        <w:tc>
          <w:tcPr>
            <w:tcW w:w="1340" w:type="dxa"/>
            <w:vAlign w:val="bottom"/>
            <w:tcBorders>
              <w:bottom w:val="single" w:sz="8" w:color="9A9A9A"/>
            </w:tcBorders>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36"/>
        </w:trPr>
        <w:tc>
          <w:tcPr>
            <w:tcW w:w="452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520" w:type="dxa"/>
            <w:vAlign w:val="bottom"/>
          </w:tcPr>
          <w:p>
            <w:pPr>
              <w:spacing w:after="0"/>
              <w:rPr>
                <w:sz w:val="20"/>
                <w:szCs w:val="20"/>
                <w:color w:val="auto"/>
              </w:rPr>
            </w:pPr>
            <w:r>
              <w:rPr>
                <w:rFonts w:ascii="Arial" w:cs="Arial" w:eastAsia="Arial" w:hAnsi="Arial"/>
                <w:sz w:val="18"/>
                <w:szCs w:val="18"/>
                <w:color w:val="auto"/>
              </w:rPr>
              <w:t>reserves</w:t>
            </w:r>
          </w:p>
        </w:tc>
        <w:tc>
          <w:tcPr>
            <w:tcW w:w="1340" w:type="dxa"/>
            <w:vAlign w:val="bottom"/>
          </w:tcPr>
          <w:p>
            <w:pPr>
              <w:jc w:val="right"/>
              <w:spacing w:after="0"/>
              <w:rPr>
                <w:sz w:val="20"/>
                <w:szCs w:val="20"/>
                <w:color w:val="auto"/>
              </w:rPr>
            </w:pPr>
            <w:r>
              <w:rPr>
                <w:rFonts w:ascii="Arial" w:cs="Arial" w:eastAsia="Arial" w:hAnsi="Arial"/>
                <w:sz w:val="18"/>
                <w:szCs w:val="18"/>
                <w:color w:val="auto"/>
              </w:rPr>
              <w:t>US$ 52,451</w:t>
            </w:r>
          </w:p>
        </w:tc>
        <w:tc>
          <w:tcPr>
            <w:tcW w:w="4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US$ 34,614</w:t>
            </w:r>
          </w:p>
        </w:tc>
        <w:tc>
          <w:tcPr>
            <w:tcW w:w="1720" w:type="dxa"/>
            <w:vAlign w:val="bottom"/>
            <w:gridSpan w:val="3"/>
          </w:tcPr>
          <w:p>
            <w:pPr>
              <w:jc w:val="right"/>
              <w:ind w:right="380"/>
              <w:spacing w:after="0"/>
              <w:rPr>
                <w:sz w:val="20"/>
                <w:szCs w:val="20"/>
                <w:color w:val="auto"/>
              </w:rPr>
            </w:pPr>
            <w:r>
              <w:rPr>
                <w:rFonts w:ascii="Arial" w:cs="Arial" w:eastAsia="Arial" w:hAnsi="Arial"/>
                <w:sz w:val="18"/>
                <w:szCs w:val="18"/>
                <w:color w:val="auto"/>
              </w:rPr>
              <w:t>US$ 6,402</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(US$17,896)</w:t>
            </w:r>
          </w:p>
        </w:tc>
        <w:tc>
          <w:tcPr>
            <w:tcW w:w="1340" w:type="dxa"/>
            <w:vAlign w:val="bottom"/>
          </w:tcPr>
          <w:p>
            <w:pPr>
              <w:jc w:val="right"/>
              <w:spacing w:after="0"/>
              <w:rPr>
                <w:sz w:val="20"/>
                <w:szCs w:val="20"/>
                <w:color w:val="auto"/>
              </w:rPr>
            </w:pPr>
            <w:r>
              <w:rPr>
                <w:rFonts w:ascii="Arial" w:cs="Arial" w:eastAsia="Arial" w:hAnsi="Arial"/>
                <w:sz w:val="18"/>
                <w:szCs w:val="18"/>
                <w:color w:val="auto"/>
              </w:rPr>
              <w:t>(US$70,469)</w:t>
            </w:r>
          </w:p>
        </w:tc>
        <w:tc>
          <w:tcPr>
            <w:tcW w:w="0" w:type="dxa"/>
            <w:vAlign w:val="bottom"/>
          </w:tcPr>
          <w:p>
            <w:pPr>
              <w:spacing w:after="0"/>
              <w:rPr>
                <w:sz w:val="1"/>
                <w:szCs w:val="1"/>
                <w:color w:val="auto"/>
              </w:rPr>
            </w:pPr>
          </w:p>
        </w:tc>
      </w:tr>
      <w:tr>
        <w:trPr>
          <w:trHeight w:val="147"/>
        </w:trPr>
        <w:tc>
          <w:tcPr>
            <w:tcW w:w="4520" w:type="dxa"/>
            <w:vAlign w:val="bottom"/>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-3289935</wp:posOffset>
            </wp:positionV>
            <wp:extent cx="34290" cy="342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-2964180</wp:posOffset>
            </wp:positionV>
            <wp:extent cx="34290" cy="342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-2964180</wp:posOffset>
            </wp:positionV>
            <wp:extent cx="34290" cy="342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-2964180</wp:posOffset>
            </wp:positionV>
            <wp:extent cx="34290" cy="342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-2964180</wp:posOffset>
            </wp:positionV>
            <wp:extent cx="34290" cy="342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-2964180</wp:posOffset>
            </wp:positionV>
            <wp:extent cx="34290" cy="342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-1720850</wp:posOffset>
            </wp:positionV>
            <wp:extent cx="34290" cy="342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-1720850</wp:posOffset>
            </wp:positionV>
            <wp:extent cx="34290" cy="342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-1720850</wp:posOffset>
            </wp:positionV>
            <wp:extent cx="34290" cy="342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-1720850</wp:posOffset>
            </wp:positionV>
            <wp:extent cx="34290" cy="342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-1720850</wp:posOffset>
            </wp:positionV>
            <wp:extent cx="34290" cy="342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-1386205</wp:posOffset>
            </wp:positionV>
            <wp:extent cx="127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-1386205</wp:posOffset>
            </wp:positionV>
            <wp:extent cx="127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-1386205</wp:posOffset>
            </wp:positionV>
            <wp:extent cx="127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-1386205</wp:posOffset>
            </wp:positionV>
            <wp:extent cx="127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-1386205</wp:posOffset>
            </wp:positionV>
            <wp:extent cx="127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-1386205</wp:posOffset>
            </wp:positionV>
            <wp:extent cx="127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-1386205</wp:posOffset>
            </wp:positionV>
            <wp:extent cx="127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-1386205</wp:posOffset>
            </wp:positionV>
            <wp:extent cx="127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-1386205</wp:posOffset>
            </wp:positionV>
            <wp:extent cx="127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-1386205</wp:posOffset>
            </wp:positionV>
            <wp:extent cx="127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-485775</wp:posOffset>
            </wp:positionV>
            <wp:extent cx="34290" cy="342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-485775</wp:posOffset>
            </wp:positionV>
            <wp:extent cx="34290" cy="342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-485775</wp:posOffset>
            </wp:positionV>
            <wp:extent cx="34290" cy="342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-485775</wp:posOffset>
            </wp:positionV>
            <wp:extent cx="34290" cy="342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-485775</wp:posOffset>
            </wp:positionV>
            <wp:extent cx="34290" cy="342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-14605</wp:posOffset>
            </wp:positionV>
            <wp:extent cx="127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-14605</wp:posOffset>
            </wp:positionV>
            <wp:extent cx="12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-14605</wp:posOffset>
            </wp:positionV>
            <wp:extent cx="12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-14605</wp:posOffset>
            </wp:positionV>
            <wp:extent cx="127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-14605</wp:posOffset>
            </wp:positionV>
            <wp:extent cx="127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-14605</wp:posOffset>
            </wp:positionV>
            <wp:extent cx="1270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-14605</wp:posOffset>
            </wp:positionV>
            <wp:extent cx="127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-14605</wp:posOffset>
            </wp:positionV>
            <wp:extent cx="127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-14605</wp:posOffset>
            </wp:positionV>
            <wp:extent cx="127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-14605</wp:posOffset>
            </wp:positionV>
            <wp:extent cx="127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20" w:lineRule="exact"/>
        <w:rPr>
          <w:sz w:val="20"/>
          <w:szCs w:val="20"/>
          <w:color w:val="auto"/>
        </w:rPr>
      </w:pPr>
    </w:p>
    <w:p>
      <w:pPr>
        <w:jc w:val="both"/>
        <w:ind w:firstLine="192"/>
        <w:spacing w:after="0" w:line="259" w:lineRule="auto"/>
        <w:rPr>
          <w:sz w:val="20"/>
          <w:szCs w:val="20"/>
          <w:color w:val="auto"/>
        </w:rPr>
      </w:pPr>
      <w:r>
        <w:rPr>
          <w:rFonts w:ascii="Arial" w:cs="Arial" w:eastAsia="Arial" w:hAnsi="Arial"/>
          <w:sz w:val="18"/>
          <w:szCs w:val="18"/>
          <w:color w:val="auto"/>
        </w:rPr>
        <w:t>The amount of interest income from loans classified as past due during fiscal years 2002 and 2003 was US$28.3 million and US$14.0 million, respectively. In accordance with Credicorp's accounting policies, interest income is estimated together with recoverable principal amounts as part of discounted future cash flows expected for these credits.</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Loan Loss Reserves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shows the changes in Credicorp's reserves for loan losses and movements at the dates indicated:</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45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100" w:type="dxa"/>
            <w:vAlign w:val="bottom"/>
            <w:gridSpan w:val="5"/>
          </w:tcPr>
          <w:p>
            <w:pPr>
              <w:jc w:val="center"/>
              <w:ind w:left="892"/>
              <w:spacing w:after="0"/>
              <w:rPr>
                <w:sz w:val="20"/>
                <w:szCs w:val="20"/>
                <w:color w:val="auto"/>
              </w:rPr>
            </w:pPr>
            <w:r>
              <w:rPr>
                <w:rFonts w:ascii="Arial" w:cs="Arial" w:eastAsia="Arial" w:hAnsi="Arial"/>
                <w:sz w:val="18"/>
                <w:szCs w:val="18"/>
                <w:b w:val="1"/>
                <w:bCs w:val="1"/>
                <w:color w:val="auto"/>
                <w:w w:val="87"/>
              </w:rPr>
              <w:t>Year ended December 31,</w:t>
            </w: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452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4520" w:type="dxa"/>
            <w:vAlign w:val="bottom"/>
          </w:tcPr>
          <w:p>
            <w:pPr>
              <w:spacing w:after="0"/>
              <w:rPr>
                <w:sz w:val="24"/>
                <w:szCs w:val="24"/>
                <w:color w:val="auto"/>
              </w:rPr>
            </w:pPr>
          </w:p>
        </w:tc>
        <w:tc>
          <w:tcPr>
            <w:tcW w:w="1340" w:type="dxa"/>
            <w:vAlign w:val="bottom"/>
          </w:tcPr>
          <w:p>
            <w:pPr>
              <w:jc w:val="right"/>
              <w:ind w:right="392"/>
              <w:spacing w:after="0"/>
              <w:rPr>
                <w:sz w:val="20"/>
                <w:szCs w:val="20"/>
                <w:color w:val="auto"/>
              </w:rPr>
            </w:pPr>
            <w:r>
              <w:rPr>
                <w:rFonts w:ascii="Arial" w:cs="Arial" w:eastAsia="Arial" w:hAnsi="Arial"/>
                <w:sz w:val="18"/>
                <w:szCs w:val="18"/>
                <w:b w:val="1"/>
                <w:bCs w:val="1"/>
                <w:color w:val="auto"/>
              </w:rPr>
              <w:t>1999</w:t>
            </w:r>
          </w:p>
        </w:tc>
        <w:tc>
          <w:tcPr>
            <w:tcW w:w="1380" w:type="dxa"/>
            <w:vAlign w:val="bottom"/>
            <w:gridSpan w:val="2"/>
          </w:tcPr>
          <w:p>
            <w:pPr>
              <w:jc w:val="right"/>
              <w:ind w:right="412"/>
              <w:spacing w:after="0"/>
              <w:rPr>
                <w:sz w:val="20"/>
                <w:szCs w:val="20"/>
                <w:color w:val="auto"/>
              </w:rPr>
            </w:pPr>
            <w:r>
              <w:rPr>
                <w:rFonts w:ascii="Arial" w:cs="Arial" w:eastAsia="Arial" w:hAnsi="Arial"/>
                <w:sz w:val="18"/>
                <w:szCs w:val="18"/>
                <w:b w:val="1"/>
                <w:bCs w:val="1"/>
                <w:color w:val="auto"/>
              </w:rPr>
              <w:t>2000</w:t>
            </w:r>
          </w:p>
        </w:tc>
        <w:tc>
          <w:tcPr>
            <w:tcW w:w="4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4"/>
              </w:rPr>
              <w:t>2001</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392"/>
              <w:spacing w:after="0"/>
              <w:rPr>
                <w:sz w:val="20"/>
                <w:szCs w:val="20"/>
                <w:color w:val="auto"/>
              </w:rPr>
            </w:pPr>
            <w:r>
              <w:rPr>
                <w:rFonts w:ascii="Arial" w:cs="Arial" w:eastAsia="Arial" w:hAnsi="Arial"/>
                <w:sz w:val="18"/>
                <w:szCs w:val="18"/>
                <w:b w:val="1"/>
                <w:bCs w:val="1"/>
                <w:color w:val="auto"/>
              </w:rPr>
              <w:t>2002</w:t>
            </w:r>
          </w:p>
        </w:tc>
        <w:tc>
          <w:tcPr>
            <w:tcW w:w="40" w:type="dxa"/>
            <w:vAlign w:val="bottom"/>
          </w:tcPr>
          <w:p>
            <w:pPr>
              <w:spacing w:after="0"/>
              <w:rPr>
                <w:sz w:val="24"/>
                <w:szCs w:val="24"/>
                <w:color w:val="auto"/>
              </w:rPr>
            </w:pPr>
          </w:p>
        </w:tc>
        <w:tc>
          <w:tcPr>
            <w:tcW w:w="1340" w:type="dxa"/>
            <w:vAlign w:val="bottom"/>
          </w:tcPr>
          <w:p>
            <w:pPr>
              <w:jc w:val="right"/>
              <w:ind w:right="412"/>
              <w:spacing w:after="0"/>
              <w:rPr>
                <w:sz w:val="20"/>
                <w:szCs w:val="20"/>
                <w:color w:val="auto"/>
              </w:rPr>
            </w:pPr>
            <w:r>
              <w:rPr>
                <w:rFonts w:ascii="Arial" w:cs="Arial" w:eastAsia="Arial" w:hAnsi="Arial"/>
                <w:sz w:val="18"/>
                <w:szCs w:val="18"/>
                <w:b w:val="1"/>
                <w:bCs w:val="1"/>
                <w:color w:val="auto"/>
              </w:rPr>
              <w:t>2003</w:t>
            </w:r>
          </w:p>
        </w:tc>
        <w:tc>
          <w:tcPr>
            <w:tcW w:w="0" w:type="dxa"/>
            <w:vAlign w:val="bottom"/>
          </w:tcPr>
          <w:p>
            <w:pPr>
              <w:spacing w:after="0"/>
              <w:rPr>
                <w:sz w:val="1"/>
                <w:szCs w:val="1"/>
                <w:color w:val="auto"/>
              </w:rPr>
            </w:pPr>
          </w:p>
        </w:tc>
      </w:tr>
      <w:tr>
        <w:trPr>
          <w:trHeight w:val="137"/>
        </w:trPr>
        <w:tc>
          <w:tcPr>
            <w:tcW w:w="452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4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00" w:type="dxa"/>
            <w:vAlign w:val="bottom"/>
            <w:gridSpan w:val="5"/>
          </w:tcPr>
          <w:p>
            <w:pPr>
              <w:jc w:val="center"/>
              <w:ind w:left="872"/>
              <w:spacing w:after="0"/>
              <w:rPr>
                <w:sz w:val="20"/>
                <w:szCs w:val="20"/>
                <w:color w:val="auto"/>
              </w:rPr>
            </w:pPr>
            <w:r>
              <w:rPr>
                <w:rFonts w:ascii="Arial" w:cs="Arial" w:eastAsia="Arial" w:hAnsi="Arial"/>
                <w:sz w:val="18"/>
                <w:szCs w:val="18"/>
                <w:i w:val="1"/>
                <w:iCs w:val="1"/>
                <w:color w:val="auto"/>
                <w:w w:val="90"/>
              </w:rPr>
              <w:t>(U.S. Dollars in thousands)</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520" w:type="dxa"/>
            <w:vAlign w:val="bottom"/>
          </w:tcPr>
          <w:p>
            <w:pPr>
              <w:spacing w:after="0"/>
              <w:rPr>
                <w:sz w:val="20"/>
                <w:szCs w:val="20"/>
                <w:color w:val="auto"/>
              </w:rPr>
            </w:pPr>
            <w:r>
              <w:rPr>
                <w:rFonts w:ascii="Arial" w:cs="Arial" w:eastAsia="Arial" w:hAnsi="Arial"/>
                <w:sz w:val="18"/>
                <w:szCs w:val="18"/>
                <w:color w:val="auto"/>
              </w:rPr>
              <w:t>Reserves for loan losses at</w:t>
            </w:r>
          </w:p>
        </w:tc>
        <w:tc>
          <w:tcPr>
            <w:tcW w:w="1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520" w:type="dxa"/>
            <w:vAlign w:val="bottom"/>
          </w:tcPr>
          <w:p>
            <w:pPr>
              <w:ind w:left="180"/>
              <w:spacing w:after="0"/>
              <w:rPr>
                <w:sz w:val="20"/>
                <w:szCs w:val="20"/>
                <w:color w:val="auto"/>
              </w:rPr>
            </w:pPr>
            <w:r>
              <w:rPr>
                <w:rFonts w:ascii="Arial" w:cs="Arial" w:eastAsia="Arial" w:hAnsi="Arial"/>
                <w:sz w:val="18"/>
                <w:szCs w:val="18"/>
                <w:color w:val="auto"/>
              </w:rPr>
              <w:t>the beginning of the year</w:t>
            </w:r>
          </w:p>
        </w:tc>
        <w:tc>
          <w:tcPr>
            <w:tcW w:w="1340" w:type="dxa"/>
            <w:vAlign w:val="bottom"/>
          </w:tcPr>
          <w:p>
            <w:pPr>
              <w:jc w:val="right"/>
              <w:spacing w:after="0"/>
              <w:rPr>
                <w:sz w:val="20"/>
                <w:szCs w:val="20"/>
                <w:color w:val="auto"/>
              </w:rPr>
            </w:pPr>
            <w:r>
              <w:rPr>
                <w:rFonts w:ascii="Arial" w:cs="Arial" w:eastAsia="Arial" w:hAnsi="Arial"/>
                <w:sz w:val="18"/>
                <w:szCs w:val="18"/>
                <w:color w:val="auto"/>
              </w:rPr>
              <w:t>US$270,082</w:t>
            </w:r>
          </w:p>
        </w:tc>
        <w:tc>
          <w:tcPr>
            <w:tcW w:w="4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US$307,343</w:t>
            </w:r>
          </w:p>
        </w:tc>
        <w:tc>
          <w:tcPr>
            <w:tcW w:w="1720" w:type="dxa"/>
            <w:vAlign w:val="bottom"/>
            <w:gridSpan w:val="3"/>
          </w:tcPr>
          <w:p>
            <w:pPr>
              <w:ind w:left="460"/>
              <w:spacing w:after="0"/>
              <w:rPr>
                <w:sz w:val="20"/>
                <w:szCs w:val="20"/>
                <w:color w:val="auto"/>
              </w:rPr>
            </w:pPr>
            <w:r>
              <w:rPr>
                <w:rFonts w:ascii="Arial" w:cs="Arial" w:eastAsia="Arial" w:hAnsi="Arial"/>
                <w:sz w:val="18"/>
                <w:szCs w:val="18"/>
                <w:color w:val="auto"/>
              </w:rPr>
              <w:t>US$341,487</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US$344,433</w:t>
            </w:r>
          </w:p>
        </w:tc>
        <w:tc>
          <w:tcPr>
            <w:tcW w:w="1340" w:type="dxa"/>
            <w:vAlign w:val="bottom"/>
          </w:tcPr>
          <w:p>
            <w:pPr>
              <w:jc w:val="right"/>
              <w:spacing w:after="0"/>
              <w:rPr>
                <w:sz w:val="20"/>
                <w:szCs w:val="20"/>
                <w:color w:val="auto"/>
              </w:rPr>
            </w:pPr>
            <w:r>
              <w:rPr>
                <w:rFonts w:ascii="Arial" w:cs="Arial" w:eastAsia="Arial" w:hAnsi="Arial"/>
                <w:sz w:val="18"/>
                <w:szCs w:val="18"/>
                <w:color w:val="auto"/>
              </w:rPr>
              <w:t>US$424,031</w:t>
            </w:r>
          </w:p>
        </w:tc>
        <w:tc>
          <w:tcPr>
            <w:tcW w:w="0" w:type="dxa"/>
            <w:vAlign w:val="bottom"/>
          </w:tcPr>
          <w:p>
            <w:pPr>
              <w:spacing w:after="0"/>
              <w:rPr>
                <w:sz w:val="1"/>
                <w:szCs w:val="1"/>
                <w:color w:val="auto"/>
              </w:rPr>
            </w:pP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Additional provisions</w:t>
            </w:r>
          </w:p>
        </w:tc>
        <w:tc>
          <w:tcPr>
            <w:tcW w:w="1340" w:type="dxa"/>
            <w:vAlign w:val="bottom"/>
          </w:tcPr>
          <w:p>
            <w:pPr>
              <w:jc w:val="right"/>
              <w:spacing w:after="0"/>
              <w:rPr>
                <w:sz w:val="20"/>
                <w:szCs w:val="20"/>
                <w:color w:val="auto"/>
              </w:rPr>
            </w:pPr>
            <w:r>
              <w:rPr>
                <w:rFonts w:ascii="Arial" w:cs="Arial" w:eastAsia="Arial" w:hAnsi="Arial"/>
                <w:sz w:val="18"/>
                <w:szCs w:val="18"/>
                <w:color w:val="auto"/>
              </w:rPr>
              <w:t>181,220</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170,102</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119,422</w:t>
            </w:r>
          </w:p>
        </w:tc>
        <w:tc>
          <w:tcPr>
            <w:tcW w:w="34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99,596</w:t>
            </w:r>
          </w:p>
        </w:tc>
        <w:tc>
          <w:tcPr>
            <w:tcW w:w="1340" w:type="dxa"/>
            <w:vAlign w:val="bottom"/>
          </w:tcPr>
          <w:p>
            <w:pPr>
              <w:jc w:val="right"/>
              <w:spacing w:after="0"/>
              <w:rPr>
                <w:sz w:val="20"/>
                <w:szCs w:val="20"/>
                <w:color w:val="auto"/>
              </w:rPr>
            </w:pPr>
            <w:r>
              <w:rPr>
                <w:rFonts w:ascii="Arial" w:cs="Arial" w:eastAsia="Arial" w:hAnsi="Arial"/>
                <w:sz w:val="18"/>
                <w:szCs w:val="18"/>
                <w:color w:val="auto"/>
              </w:rPr>
              <w:t>66,421</w:t>
            </w:r>
          </w:p>
        </w:tc>
        <w:tc>
          <w:tcPr>
            <w:tcW w:w="0" w:type="dxa"/>
            <w:vAlign w:val="bottom"/>
          </w:tcPr>
          <w:p>
            <w:pPr>
              <w:spacing w:after="0"/>
              <w:rPr>
                <w:sz w:val="1"/>
                <w:szCs w:val="1"/>
                <w:color w:val="auto"/>
              </w:rPr>
            </w:pP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Acquisitions and transfers</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122,841</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Recoveries of write-offs</w:t>
            </w:r>
          </w:p>
        </w:tc>
        <w:tc>
          <w:tcPr>
            <w:tcW w:w="1340" w:type="dxa"/>
            <w:vAlign w:val="bottom"/>
          </w:tcPr>
          <w:p>
            <w:pPr>
              <w:jc w:val="right"/>
              <w:spacing w:after="0"/>
              <w:rPr>
                <w:sz w:val="20"/>
                <w:szCs w:val="20"/>
                <w:color w:val="auto"/>
              </w:rPr>
            </w:pPr>
            <w:r>
              <w:rPr>
                <w:rFonts w:ascii="Arial" w:cs="Arial" w:eastAsia="Arial" w:hAnsi="Arial"/>
                <w:sz w:val="18"/>
                <w:szCs w:val="18"/>
                <w:color w:val="auto"/>
              </w:rPr>
              <w:t>5,903</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7,825</w:t>
            </w:r>
          </w:p>
        </w:tc>
        <w:tc>
          <w:tcPr>
            <w:tcW w:w="1340" w:type="dxa"/>
            <w:vAlign w:val="bottom"/>
          </w:tcPr>
          <w:p>
            <w:pPr>
              <w:jc w:val="right"/>
              <w:spacing w:after="0"/>
              <w:rPr>
                <w:sz w:val="20"/>
                <w:szCs w:val="20"/>
                <w:color w:val="auto"/>
              </w:rPr>
            </w:pPr>
            <w:r>
              <w:rPr>
                <w:rFonts w:ascii="Arial" w:cs="Arial" w:eastAsia="Arial" w:hAnsi="Arial"/>
                <w:sz w:val="18"/>
                <w:szCs w:val="18"/>
                <w:color w:val="auto"/>
              </w:rPr>
              <w:t>14,935</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12,050</w:t>
            </w:r>
          </w:p>
        </w:tc>
        <w:tc>
          <w:tcPr>
            <w:tcW w:w="1340" w:type="dxa"/>
            <w:vAlign w:val="bottom"/>
          </w:tcPr>
          <w:p>
            <w:pPr>
              <w:jc w:val="right"/>
              <w:spacing w:after="0"/>
              <w:rPr>
                <w:sz w:val="20"/>
                <w:szCs w:val="20"/>
                <w:color w:val="auto"/>
              </w:rPr>
            </w:pPr>
            <w:r>
              <w:rPr>
                <w:rFonts w:ascii="Arial" w:cs="Arial" w:eastAsia="Arial" w:hAnsi="Arial"/>
                <w:sz w:val="18"/>
                <w:szCs w:val="18"/>
                <w:color w:val="auto"/>
              </w:rPr>
              <w:t>17,416</w:t>
            </w:r>
          </w:p>
        </w:tc>
        <w:tc>
          <w:tcPr>
            <w:tcW w:w="0" w:type="dxa"/>
            <w:vAlign w:val="bottom"/>
          </w:tcPr>
          <w:p>
            <w:pPr>
              <w:spacing w:after="0"/>
              <w:rPr>
                <w:sz w:val="1"/>
                <w:szCs w:val="1"/>
                <w:color w:val="auto"/>
              </w:rPr>
            </w:pP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Write-offs</w:t>
            </w:r>
          </w:p>
        </w:tc>
        <w:tc>
          <w:tcPr>
            <w:tcW w:w="1340" w:type="dxa"/>
            <w:vAlign w:val="bottom"/>
          </w:tcPr>
          <w:p>
            <w:pPr>
              <w:jc w:val="right"/>
              <w:spacing w:after="0"/>
              <w:rPr>
                <w:sz w:val="20"/>
                <w:szCs w:val="20"/>
                <w:color w:val="auto"/>
              </w:rPr>
            </w:pPr>
            <w:r>
              <w:rPr>
                <w:rFonts w:ascii="Arial" w:cs="Arial" w:eastAsia="Arial" w:hAnsi="Arial"/>
                <w:sz w:val="18"/>
                <w:szCs w:val="18"/>
                <w:color w:val="auto"/>
              </w:rPr>
              <w:t>(156,976)</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(135,320)</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(124,690)</w:t>
            </w:r>
          </w:p>
        </w:tc>
        <w:tc>
          <w:tcPr>
            <w:tcW w:w="34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(150,102)</w:t>
            </w:r>
          </w:p>
        </w:tc>
        <w:tc>
          <w:tcPr>
            <w:tcW w:w="1340" w:type="dxa"/>
            <w:vAlign w:val="bottom"/>
          </w:tcPr>
          <w:p>
            <w:pPr>
              <w:jc w:val="right"/>
              <w:spacing w:after="0"/>
              <w:rPr>
                <w:sz w:val="20"/>
                <w:szCs w:val="20"/>
                <w:color w:val="auto"/>
              </w:rPr>
            </w:pPr>
            <w:r>
              <w:rPr>
                <w:rFonts w:ascii="Arial" w:cs="Arial" w:eastAsia="Arial" w:hAnsi="Arial"/>
                <w:sz w:val="18"/>
                <w:szCs w:val="18"/>
                <w:color w:val="auto"/>
              </w:rPr>
              <w:t>(185,688)</w:t>
            </w:r>
          </w:p>
        </w:tc>
        <w:tc>
          <w:tcPr>
            <w:tcW w:w="0" w:type="dxa"/>
            <w:vAlign w:val="bottom"/>
          </w:tcPr>
          <w:p>
            <w:pPr>
              <w:spacing w:after="0"/>
              <w:rPr>
                <w:sz w:val="1"/>
                <w:szCs w:val="1"/>
                <w:color w:val="auto"/>
              </w:rPr>
            </w:pPr>
          </w:p>
        </w:tc>
      </w:tr>
      <w:tr>
        <w:trPr>
          <w:trHeight w:val="237"/>
        </w:trPr>
        <w:tc>
          <w:tcPr>
            <w:tcW w:w="4520" w:type="dxa"/>
            <w:vAlign w:val="bottom"/>
          </w:tcPr>
          <w:p>
            <w:pPr>
              <w:spacing w:after="0"/>
              <w:rPr>
                <w:sz w:val="20"/>
                <w:szCs w:val="20"/>
                <w:color w:val="auto"/>
              </w:rPr>
            </w:pPr>
            <w:r>
              <w:rPr>
                <w:rFonts w:ascii="Arial" w:cs="Arial" w:eastAsia="Arial" w:hAnsi="Arial"/>
                <w:sz w:val="18"/>
                <w:szCs w:val="18"/>
                <w:color w:val="auto"/>
              </w:rPr>
              <w:t>Monetary correction and</w:t>
            </w:r>
          </w:p>
        </w:tc>
        <w:tc>
          <w:tcPr>
            <w:tcW w:w="1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520" w:type="dxa"/>
            <w:vAlign w:val="bottom"/>
          </w:tcPr>
          <w:p>
            <w:pPr>
              <w:ind w:left="220"/>
              <w:spacing w:after="0"/>
              <w:rPr>
                <w:sz w:val="20"/>
                <w:szCs w:val="20"/>
                <w:color w:val="auto"/>
              </w:rPr>
            </w:pPr>
            <w:r>
              <w:rPr>
                <w:rFonts w:ascii="Arial" w:cs="Arial" w:eastAsia="Arial" w:hAnsi="Arial"/>
                <w:sz w:val="18"/>
                <w:szCs w:val="18"/>
                <w:color w:val="auto"/>
              </w:rPr>
              <w:t>other</w:t>
            </w:r>
          </w:p>
        </w:tc>
        <w:tc>
          <w:tcPr>
            <w:tcW w:w="1340" w:type="dxa"/>
            <w:vAlign w:val="bottom"/>
          </w:tcPr>
          <w:p>
            <w:pPr>
              <w:jc w:val="right"/>
              <w:spacing w:after="0"/>
              <w:rPr>
                <w:sz w:val="20"/>
                <w:szCs w:val="20"/>
                <w:color w:val="auto"/>
              </w:rPr>
            </w:pPr>
            <w:r>
              <w:rPr>
                <w:rFonts w:ascii="Arial" w:cs="Arial" w:eastAsia="Arial" w:hAnsi="Arial"/>
                <w:sz w:val="18"/>
                <w:szCs w:val="18"/>
                <w:color w:val="auto"/>
              </w:rPr>
              <w:t>7,114</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(8,463)</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(6,721)</w:t>
            </w:r>
          </w:p>
        </w:tc>
        <w:tc>
          <w:tcPr>
            <w:tcW w:w="3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(4,787)</w:t>
            </w:r>
          </w:p>
        </w:tc>
        <w:tc>
          <w:tcPr>
            <w:tcW w:w="1340" w:type="dxa"/>
            <w:vAlign w:val="bottom"/>
          </w:tcPr>
          <w:p>
            <w:pPr>
              <w:jc w:val="right"/>
              <w:spacing w:after="0"/>
              <w:rPr>
                <w:sz w:val="20"/>
                <w:szCs w:val="20"/>
                <w:color w:val="auto"/>
              </w:rPr>
            </w:pPr>
            <w:r>
              <w:rPr>
                <w:rFonts w:ascii="Arial" w:cs="Arial" w:eastAsia="Arial" w:hAnsi="Arial"/>
                <w:sz w:val="18"/>
                <w:szCs w:val="18"/>
                <w:color w:val="auto"/>
              </w:rPr>
              <w:t>4,497</w:t>
            </w:r>
          </w:p>
        </w:tc>
        <w:tc>
          <w:tcPr>
            <w:tcW w:w="0" w:type="dxa"/>
            <w:vAlign w:val="bottom"/>
          </w:tcPr>
          <w:p>
            <w:pPr>
              <w:spacing w:after="0"/>
              <w:rPr>
                <w:sz w:val="1"/>
                <w:szCs w:val="1"/>
                <w:color w:val="auto"/>
              </w:rPr>
            </w:pPr>
          </w:p>
        </w:tc>
      </w:tr>
      <w:tr>
        <w:trPr>
          <w:trHeight w:val="151"/>
        </w:trPr>
        <w:tc>
          <w:tcPr>
            <w:tcW w:w="4520" w:type="dxa"/>
            <w:vAlign w:val="bottom"/>
            <w:vMerge w:val="restart"/>
          </w:tcPr>
          <w:p>
            <w:pPr>
              <w:spacing w:after="0"/>
              <w:rPr>
                <w:sz w:val="20"/>
                <w:szCs w:val="20"/>
                <w:color w:val="auto"/>
              </w:rPr>
            </w:pPr>
            <w:r>
              <w:rPr>
                <w:rFonts w:ascii="Arial" w:cs="Arial" w:eastAsia="Arial" w:hAnsi="Arial"/>
                <w:sz w:val="18"/>
                <w:szCs w:val="18"/>
                <w:color w:val="auto"/>
              </w:rPr>
              <w:t>Reserves for loan losses at the</w:t>
            </w:r>
          </w:p>
        </w:tc>
        <w:tc>
          <w:tcPr>
            <w:tcW w:w="1340" w:type="dxa"/>
            <w:vAlign w:val="bottom"/>
            <w:tcBorders>
              <w:bottom w:val="single" w:sz="8" w:color="9A9A9A"/>
            </w:tcBorders>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36"/>
        </w:trPr>
        <w:tc>
          <w:tcPr>
            <w:tcW w:w="452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520" w:type="dxa"/>
            <w:vAlign w:val="bottom"/>
          </w:tcPr>
          <w:p>
            <w:pPr>
              <w:ind w:left="180"/>
              <w:spacing w:after="0"/>
              <w:rPr>
                <w:sz w:val="20"/>
                <w:szCs w:val="20"/>
                <w:color w:val="auto"/>
              </w:rPr>
            </w:pPr>
            <w:r>
              <w:rPr>
                <w:rFonts w:ascii="Arial" w:cs="Arial" w:eastAsia="Arial" w:hAnsi="Arial"/>
                <w:sz w:val="18"/>
                <w:szCs w:val="18"/>
                <w:color w:val="auto"/>
              </w:rPr>
              <w:t>End of the year</w:t>
            </w:r>
          </w:p>
        </w:tc>
        <w:tc>
          <w:tcPr>
            <w:tcW w:w="1340" w:type="dxa"/>
            <w:vAlign w:val="bottom"/>
          </w:tcPr>
          <w:p>
            <w:pPr>
              <w:jc w:val="right"/>
              <w:spacing w:after="0"/>
              <w:rPr>
                <w:sz w:val="20"/>
                <w:szCs w:val="20"/>
                <w:color w:val="auto"/>
              </w:rPr>
            </w:pPr>
            <w:r>
              <w:rPr>
                <w:rFonts w:ascii="Arial" w:cs="Arial" w:eastAsia="Arial" w:hAnsi="Arial"/>
                <w:sz w:val="18"/>
                <w:szCs w:val="18"/>
                <w:color w:val="auto"/>
              </w:rPr>
              <w:t>US$307,343</w:t>
            </w:r>
          </w:p>
        </w:tc>
        <w:tc>
          <w:tcPr>
            <w:tcW w:w="4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US$341,487</w:t>
            </w:r>
          </w:p>
        </w:tc>
        <w:tc>
          <w:tcPr>
            <w:tcW w:w="1720" w:type="dxa"/>
            <w:vAlign w:val="bottom"/>
            <w:gridSpan w:val="3"/>
          </w:tcPr>
          <w:p>
            <w:pPr>
              <w:ind w:left="460"/>
              <w:spacing w:after="0"/>
              <w:rPr>
                <w:sz w:val="20"/>
                <w:szCs w:val="20"/>
                <w:color w:val="auto"/>
              </w:rPr>
            </w:pPr>
            <w:r>
              <w:rPr>
                <w:rFonts w:ascii="Arial" w:cs="Arial" w:eastAsia="Arial" w:hAnsi="Arial"/>
                <w:sz w:val="18"/>
                <w:szCs w:val="18"/>
                <w:color w:val="auto"/>
              </w:rPr>
              <w:t>US$344,433</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US$424,031</w:t>
            </w:r>
          </w:p>
        </w:tc>
        <w:tc>
          <w:tcPr>
            <w:tcW w:w="1340" w:type="dxa"/>
            <w:vAlign w:val="bottom"/>
          </w:tcPr>
          <w:p>
            <w:pPr>
              <w:jc w:val="right"/>
              <w:spacing w:after="0"/>
              <w:rPr>
                <w:sz w:val="20"/>
                <w:szCs w:val="20"/>
                <w:color w:val="auto"/>
              </w:rPr>
            </w:pPr>
            <w:r>
              <w:rPr>
                <w:rFonts w:ascii="Arial" w:cs="Arial" w:eastAsia="Arial" w:hAnsi="Arial"/>
                <w:sz w:val="18"/>
                <w:szCs w:val="18"/>
                <w:color w:val="auto"/>
              </w:rPr>
              <w:t>US$326,677</w:t>
            </w:r>
          </w:p>
        </w:tc>
        <w:tc>
          <w:tcPr>
            <w:tcW w:w="0" w:type="dxa"/>
            <w:vAlign w:val="bottom"/>
          </w:tcPr>
          <w:p>
            <w:pPr>
              <w:spacing w:after="0"/>
              <w:rPr>
                <w:sz w:val="1"/>
                <w:szCs w:val="1"/>
                <w:color w:val="auto"/>
              </w:rPr>
            </w:pPr>
          </w:p>
        </w:tc>
      </w:tr>
      <w:tr>
        <w:trPr>
          <w:trHeight w:val="147"/>
        </w:trPr>
        <w:tc>
          <w:tcPr>
            <w:tcW w:w="4520" w:type="dxa"/>
            <w:vAlign w:val="bottom"/>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-2346960</wp:posOffset>
            </wp:positionV>
            <wp:extent cx="34290" cy="342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-2020570</wp:posOffset>
            </wp:positionV>
            <wp:extent cx="34290" cy="342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-2020570</wp:posOffset>
            </wp:positionV>
            <wp:extent cx="34290" cy="342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-2020570</wp:posOffset>
            </wp:positionV>
            <wp:extent cx="34290" cy="342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-2020570</wp:posOffset>
            </wp:positionV>
            <wp:extent cx="34290" cy="342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-2020570</wp:posOffset>
            </wp:positionV>
            <wp:extent cx="34290" cy="342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-485775</wp:posOffset>
            </wp:positionV>
            <wp:extent cx="34290" cy="342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-485775</wp:posOffset>
            </wp:positionV>
            <wp:extent cx="34290" cy="342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-485775</wp:posOffset>
            </wp:positionV>
            <wp:extent cx="34290" cy="342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-485775</wp:posOffset>
            </wp:positionV>
            <wp:extent cx="34290" cy="342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-485775</wp:posOffset>
            </wp:positionV>
            <wp:extent cx="34290" cy="342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-14605</wp:posOffset>
            </wp:positionV>
            <wp:extent cx="127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-14605</wp:posOffset>
            </wp:positionV>
            <wp:extent cx="12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-14605</wp:posOffset>
            </wp:positionV>
            <wp:extent cx="127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-14605</wp:posOffset>
            </wp:positionV>
            <wp:extent cx="1270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-14605</wp:posOffset>
            </wp:positionV>
            <wp:extent cx="127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-14605</wp:posOffset>
            </wp:positionV>
            <wp:extent cx="127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-14605</wp:posOffset>
            </wp:positionV>
            <wp:extent cx="127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-14605</wp:posOffset>
            </wp:positionV>
            <wp:extent cx="127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-14605</wp:posOffset>
            </wp:positionV>
            <wp:extent cx="127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-14605</wp:posOffset>
            </wp:positionV>
            <wp:extent cx="127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20" w:lineRule="exact"/>
        <w:rPr>
          <w:sz w:val="20"/>
          <w:szCs w:val="20"/>
          <w:color w:val="auto"/>
        </w:rPr>
      </w:pPr>
    </w:p>
    <w:p>
      <w:pPr>
        <w:jc w:val="both"/>
        <w:ind w:firstLine="176"/>
        <w:spacing w:after="0" w:line="259" w:lineRule="auto"/>
        <w:rPr>
          <w:sz w:val="20"/>
          <w:szCs w:val="20"/>
          <w:color w:val="auto"/>
        </w:rPr>
      </w:pPr>
      <w:r>
        <w:rPr>
          <w:rFonts w:ascii="Arial" w:cs="Arial" w:eastAsia="Arial" w:hAnsi="Arial"/>
          <w:sz w:val="18"/>
          <w:szCs w:val="18"/>
          <w:color w:val="auto"/>
        </w:rPr>
        <w:t>For a discussion of the risk elements in the loan portfolio and the factors considered in determining the amount of specific reserves, see “—Classification of the Loan Portfolio.” As required under SBS regulations, discretionary charges of reserves for not specifically identified loan losses were based on Management's assessment of the general risk posed to the loan portfolio by the economic conditions existing in Perú.</w:t>
      </w:r>
    </w:p>
    <w:p>
      <w:pPr>
        <w:spacing w:after="0" w:line="194" w:lineRule="exact"/>
        <w:rPr>
          <w:sz w:val="20"/>
          <w:szCs w:val="20"/>
          <w:color w:val="auto"/>
        </w:rPr>
      </w:pPr>
    </w:p>
    <w:p>
      <w:pPr>
        <w:jc w:val="both"/>
        <w:ind w:right="20" w:firstLine="208"/>
        <w:spacing w:after="0" w:line="259" w:lineRule="auto"/>
        <w:rPr>
          <w:sz w:val="20"/>
          <w:szCs w:val="20"/>
          <w:color w:val="auto"/>
        </w:rPr>
      </w:pPr>
      <w:r>
        <w:rPr>
          <w:rFonts w:ascii="Arial" w:cs="Arial" w:eastAsia="Arial" w:hAnsi="Arial"/>
          <w:sz w:val="18"/>
          <w:szCs w:val="18"/>
          <w:color w:val="auto"/>
        </w:rPr>
        <w:t>Under Peruvian banking regulations, there is a substantial delay between the identification of a loan as non-performing and the partial or full charging-off of such loan. This delay may span years, as banks are required to exhaust legal remedies and demonstrate the absolute non-collectibility of a loan (generally through liquidation or bankruptcy of the borrower). SBS regulations in effect since January</w:t>
      </w:r>
    </w:p>
    <w:p>
      <w:pPr>
        <w:sectPr>
          <w:pgSz w:w="11900" w:h="16838" w:orient="portrait"/>
          <w:cols w:equalWidth="0" w:num="1">
            <w:col w:w="11420"/>
          </w:cols>
          <w:pgMar w:left="240" w:top="131" w:right="239" w:bottom="144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131" w:right="239" w:bottom="1440" w:gutter="0" w:footer="0" w:header="0"/>
          <w:type w:val="continuous"/>
        </w:sectPr>
      </w:pPr>
    </w:p>
    <w:bookmarkStart w:id="76" w:name="page77"/>
    <w:bookmarkEnd w:id="76"/>
    <w:p>
      <w:pPr>
        <w:jc w:val="both"/>
        <w:spacing w:after="0" w:line="268" w:lineRule="auto"/>
        <w:rPr>
          <w:sz w:val="20"/>
          <w:szCs w:val="20"/>
          <w:color w:val="auto"/>
        </w:rPr>
      </w:pPr>
      <w:r>
        <w:rPr>
          <w:rFonts w:ascii="Arial" w:cs="Arial" w:eastAsia="Arial" w:hAnsi="Arial"/>
          <w:sz w:val="18"/>
          <w:szCs w:val="18"/>
          <w:color w:val="auto"/>
        </w:rPr>
        <w:t>2000, facilitate the charge-off process by reducing the period required for loans to be past-due. The new regulations require a case-by-case prior approval by the Board of Directors and by the SBS.</w:t>
      </w:r>
    </w:p>
    <w:p>
      <w:pPr>
        <w:spacing w:after="0" w:line="186" w:lineRule="exact"/>
        <w:rPr>
          <w:sz w:val="20"/>
          <w:szCs w:val="20"/>
          <w:color w:val="auto"/>
        </w:rPr>
      </w:pPr>
    </w:p>
    <w:p>
      <w:pPr>
        <w:jc w:val="both"/>
        <w:ind w:firstLine="191"/>
        <w:spacing w:after="0" w:line="259" w:lineRule="auto"/>
        <w:rPr>
          <w:sz w:val="20"/>
          <w:szCs w:val="20"/>
          <w:color w:val="auto"/>
        </w:rPr>
      </w:pPr>
      <w:r>
        <w:rPr>
          <w:rFonts w:ascii="Arial" w:cs="Arial" w:eastAsia="Arial" w:hAnsi="Arial"/>
          <w:sz w:val="18"/>
          <w:szCs w:val="18"/>
          <w:color w:val="auto"/>
        </w:rPr>
        <w:t>Credicorp sells certain of its fully provisioned past due loans to a wholly-owned subsidiary for a nominal amount with the same effect as if the loans had been charged-off. Accordingly, Credicorp believes that its past due loan amounts are not materially different from what they would be were it permitted to charge-off loans prior to demonstrating the absolute non-collectibility of the loan.</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Allocation of Loan Loss Reserves</w:t>
      </w:r>
    </w:p>
    <w:p>
      <w:pPr>
        <w:spacing w:after="0" w:line="225" w:lineRule="exact"/>
        <w:rPr>
          <w:sz w:val="20"/>
          <w:szCs w:val="20"/>
          <w:color w:val="auto"/>
        </w:rPr>
      </w:pPr>
    </w:p>
    <w:p>
      <w:pPr>
        <w:jc w:val="both"/>
        <w:ind w:firstLine="280"/>
        <w:spacing w:after="0" w:line="268" w:lineRule="auto"/>
        <w:rPr>
          <w:sz w:val="20"/>
          <w:szCs w:val="20"/>
          <w:color w:val="auto"/>
        </w:rPr>
      </w:pPr>
      <w:r>
        <w:rPr>
          <w:rFonts w:ascii="Arial" w:cs="Arial" w:eastAsia="Arial" w:hAnsi="Arial"/>
          <w:sz w:val="18"/>
          <w:szCs w:val="18"/>
          <w:color w:val="auto"/>
        </w:rPr>
        <w:t>The following table sets forth the amounts of reserves for loan losses attributable to commercial, consumer and residential mortgage loans at the dates indicated:</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45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0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89"/>
              </w:rPr>
              <w:t>At December 31,</w:t>
            </w: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137"/>
        </w:trPr>
        <w:tc>
          <w:tcPr>
            <w:tcW w:w="452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r>
      <w:tr>
        <w:trPr>
          <w:trHeight w:val="356"/>
        </w:trPr>
        <w:tc>
          <w:tcPr>
            <w:tcW w:w="4520" w:type="dxa"/>
            <w:vAlign w:val="bottom"/>
          </w:tcPr>
          <w:p>
            <w:pPr>
              <w:spacing w:after="0"/>
              <w:rPr>
                <w:sz w:val="24"/>
                <w:szCs w:val="24"/>
                <w:color w:val="auto"/>
              </w:rPr>
            </w:pPr>
          </w:p>
        </w:tc>
        <w:tc>
          <w:tcPr>
            <w:tcW w:w="1340" w:type="dxa"/>
            <w:vAlign w:val="bottom"/>
          </w:tcPr>
          <w:p>
            <w:pPr>
              <w:jc w:val="right"/>
              <w:ind w:right="392"/>
              <w:spacing w:after="0"/>
              <w:rPr>
                <w:sz w:val="20"/>
                <w:szCs w:val="20"/>
                <w:color w:val="auto"/>
              </w:rPr>
            </w:pPr>
            <w:r>
              <w:rPr>
                <w:rFonts w:ascii="Arial" w:cs="Arial" w:eastAsia="Arial" w:hAnsi="Arial"/>
                <w:sz w:val="18"/>
                <w:szCs w:val="18"/>
                <w:b w:val="1"/>
                <w:bCs w:val="1"/>
                <w:color w:val="auto"/>
              </w:rPr>
              <w:t>1999</w:t>
            </w:r>
          </w:p>
        </w:tc>
        <w:tc>
          <w:tcPr>
            <w:tcW w:w="1380" w:type="dxa"/>
            <w:vAlign w:val="bottom"/>
            <w:gridSpan w:val="2"/>
          </w:tcPr>
          <w:p>
            <w:pPr>
              <w:jc w:val="right"/>
              <w:ind w:right="412"/>
              <w:spacing w:after="0"/>
              <w:rPr>
                <w:sz w:val="20"/>
                <w:szCs w:val="20"/>
                <w:color w:val="auto"/>
              </w:rPr>
            </w:pPr>
            <w:r>
              <w:rPr>
                <w:rFonts w:ascii="Arial" w:cs="Arial" w:eastAsia="Arial" w:hAnsi="Arial"/>
                <w:sz w:val="18"/>
                <w:szCs w:val="18"/>
                <w:b w:val="1"/>
                <w:bCs w:val="1"/>
                <w:color w:val="auto"/>
              </w:rPr>
              <w:t>2000</w:t>
            </w:r>
          </w:p>
        </w:tc>
        <w:tc>
          <w:tcPr>
            <w:tcW w:w="4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4"/>
              </w:rPr>
              <w:t>2001</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392"/>
              <w:spacing w:after="0"/>
              <w:rPr>
                <w:sz w:val="20"/>
                <w:szCs w:val="20"/>
                <w:color w:val="auto"/>
              </w:rPr>
            </w:pPr>
            <w:r>
              <w:rPr>
                <w:rFonts w:ascii="Arial" w:cs="Arial" w:eastAsia="Arial" w:hAnsi="Arial"/>
                <w:sz w:val="18"/>
                <w:szCs w:val="18"/>
                <w:b w:val="1"/>
                <w:bCs w:val="1"/>
                <w:color w:val="auto"/>
              </w:rPr>
              <w:t>2002</w:t>
            </w:r>
          </w:p>
        </w:tc>
        <w:tc>
          <w:tcPr>
            <w:tcW w:w="40" w:type="dxa"/>
            <w:vAlign w:val="bottom"/>
          </w:tcPr>
          <w:p>
            <w:pPr>
              <w:spacing w:after="0"/>
              <w:rPr>
                <w:sz w:val="24"/>
                <w:szCs w:val="24"/>
                <w:color w:val="auto"/>
              </w:rPr>
            </w:pPr>
          </w:p>
        </w:tc>
        <w:tc>
          <w:tcPr>
            <w:tcW w:w="1340" w:type="dxa"/>
            <w:vAlign w:val="bottom"/>
          </w:tcPr>
          <w:p>
            <w:pPr>
              <w:jc w:val="right"/>
              <w:ind w:right="412"/>
              <w:spacing w:after="0"/>
              <w:rPr>
                <w:sz w:val="20"/>
                <w:szCs w:val="20"/>
                <w:color w:val="auto"/>
              </w:rPr>
            </w:pPr>
            <w:r>
              <w:rPr>
                <w:rFonts w:ascii="Arial" w:cs="Arial" w:eastAsia="Arial" w:hAnsi="Arial"/>
                <w:sz w:val="18"/>
                <w:szCs w:val="18"/>
                <w:b w:val="1"/>
                <w:bCs w:val="1"/>
                <w:color w:val="auto"/>
              </w:rPr>
              <w:t>2003</w:t>
            </w:r>
          </w:p>
        </w:tc>
      </w:tr>
      <w:tr>
        <w:trPr>
          <w:trHeight w:val="137"/>
        </w:trPr>
        <w:tc>
          <w:tcPr>
            <w:tcW w:w="452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r>
      <w:tr>
        <w:trPr>
          <w:trHeight w:val="356"/>
        </w:trPr>
        <w:tc>
          <w:tcPr>
            <w:tcW w:w="4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80" w:type="dxa"/>
            <w:vAlign w:val="bottom"/>
            <w:gridSpan w:val="5"/>
          </w:tcPr>
          <w:p>
            <w:pPr>
              <w:jc w:val="center"/>
              <w:ind w:left="892"/>
              <w:spacing w:after="0"/>
              <w:rPr>
                <w:sz w:val="20"/>
                <w:szCs w:val="20"/>
                <w:color w:val="auto"/>
              </w:rPr>
            </w:pPr>
            <w:r>
              <w:rPr>
                <w:rFonts w:ascii="Arial" w:cs="Arial" w:eastAsia="Arial" w:hAnsi="Arial"/>
                <w:sz w:val="18"/>
                <w:szCs w:val="18"/>
                <w:i w:val="1"/>
                <w:iCs w:val="1"/>
                <w:color w:val="auto"/>
                <w:w w:val="90"/>
              </w:rPr>
              <w:t>(U.S. Dollars in thousands)</w:t>
            </w: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Commercial loans</w:t>
            </w:r>
          </w:p>
        </w:tc>
        <w:tc>
          <w:tcPr>
            <w:tcW w:w="1340" w:type="dxa"/>
            <w:vAlign w:val="bottom"/>
          </w:tcPr>
          <w:p>
            <w:pPr>
              <w:jc w:val="right"/>
              <w:spacing w:after="0"/>
              <w:rPr>
                <w:sz w:val="20"/>
                <w:szCs w:val="20"/>
                <w:color w:val="auto"/>
              </w:rPr>
            </w:pPr>
            <w:r>
              <w:rPr>
                <w:rFonts w:ascii="Arial" w:cs="Arial" w:eastAsia="Arial" w:hAnsi="Arial"/>
                <w:sz w:val="18"/>
                <w:szCs w:val="18"/>
                <w:color w:val="auto"/>
              </w:rPr>
              <w:t>US$ 264,395</w:t>
            </w:r>
          </w:p>
        </w:tc>
        <w:tc>
          <w:tcPr>
            <w:tcW w:w="40" w:type="dxa"/>
            <w:vAlign w:val="bottom"/>
          </w:tcPr>
          <w:p>
            <w:pPr>
              <w:spacing w:after="0"/>
              <w:rPr>
                <w:sz w:val="21"/>
                <w:szCs w:val="21"/>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US$297,026</w:t>
            </w:r>
          </w:p>
        </w:tc>
        <w:tc>
          <w:tcPr>
            <w:tcW w:w="1700" w:type="dxa"/>
            <w:vAlign w:val="bottom"/>
            <w:gridSpan w:val="3"/>
          </w:tcPr>
          <w:p>
            <w:pPr>
              <w:jc w:val="right"/>
              <w:ind w:right="360"/>
              <w:spacing w:after="0"/>
              <w:rPr>
                <w:sz w:val="20"/>
                <w:szCs w:val="20"/>
                <w:color w:val="auto"/>
              </w:rPr>
            </w:pPr>
            <w:r>
              <w:rPr>
                <w:rFonts w:ascii="Arial" w:cs="Arial" w:eastAsia="Arial" w:hAnsi="Arial"/>
                <w:sz w:val="18"/>
                <w:szCs w:val="18"/>
                <w:color w:val="auto"/>
              </w:rPr>
              <w:t>US$301,267</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US$388,808</w:t>
            </w:r>
          </w:p>
        </w:tc>
        <w:tc>
          <w:tcPr>
            <w:tcW w:w="1340" w:type="dxa"/>
            <w:vAlign w:val="bottom"/>
          </w:tcPr>
          <w:p>
            <w:pPr>
              <w:jc w:val="right"/>
              <w:spacing w:after="0"/>
              <w:rPr>
                <w:sz w:val="20"/>
                <w:szCs w:val="20"/>
                <w:color w:val="auto"/>
              </w:rPr>
            </w:pPr>
            <w:r>
              <w:rPr>
                <w:rFonts w:ascii="Arial" w:cs="Arial" w:eastAsia="Arial" w:hAnsi="Arial"/>
                <w:sz w:val="18"/>
                <w:szCs w:val="18"/>
                <w:color w:val="auto"/>
              </w:rPr>
              <w:t>US$283,470</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Consumer loans</w:t>
            </w:r>
          </w:p>
        </w:tc>
        <w:tc>
          <w:tcPr>
            <w:tcW w:w="1340" w:type="dxa"/>
            <w:vAlign w:val="bottom"/>
          </w:tcPr>
          <w:p>
            <w:pPr>
              <w:jc w:val="right"/>
              <w:spacing w:after="0"/>
              <w:rPr>
                <w:sz w:val="20"/>
                <w:szCs w:val="20"/>
                <w:color w:val="auto"/>
              </w:rPr>
            </w:pPr>
            <w:r>
              <w:rPr>
                <w:rFonts w:ascii="Arial" w:cs="Arial" w:eastAsia="Arial" w:hAnsi="Arial"/>
                <w:sz w:val="18"/>
                <w:szCs w:val="18"/>
                <w:color w:val="auto"/>
              </w:rPr>
              <w:t>21,561</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17,272</w:t>
            </w:r>
          </w:p>
        </w:tc>
        <w:tc>
          <w:tcPr>
            <w:tcW w:w="1340" w:type="dxa"/>
            <w:vAlign w:val="bottom"/>
          </w:tcPr>
          <w:p>
            <w:pPr>
              <w:jc w:val="right"/>
              <w:spacing w:after="0"/>
              <w:rPr>
                <w:sz w:val="20"/>
                <w:szCs w:val="20"/>
                <w:color w:val="auto"/>
              </w:rPr>
            </w:pPr>
            <w:r>
              <w:rPr>
                <w:rFonts w:ascii="Arial" w:cs="Arial" w:eastAsia="Arial" w:hAnsi="Arial"/>
                <w:sz w:val="18"/>
                <w:szCs w:val="18"/>
                <w:color w:val="auto"/>
              </w:rPr>
              <w:t>18,714</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14,879</w:t>
            </w:r>
          </w:p>
        </w:tc>
        <w:tc>
          <w:tcPr>
            <w:tcW w:w="1340" w:type="dxa"/>
            <w:vAlign w:val="bottom"/>
          </w:tcPr>
          <w:p>
            <w:pPr>
              <w:jc w:val="right"/>
              <w:spacing w:after="0"/>
              <w:rPr>
                <w:sz w:val="20"/>
                <w:szCs w:val="20"/>
                <w:color w:val="auto"/>
              </w:rPr>
            </w:pPr>
            <w:r>
              <w:rPr>
                <w:rFonts w:ascii="Arial" w:cs="Arial" w:eastAsia="Arial" w:hAnsi="Arial"/>
                <w:sz w:val="18"/>
                <w:szCs w:val="18"/>
                <w:color w:val="auto"/>
              </w:rPr>
              <w:t>14,479</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Residential mortgage loans</w:t>
            </w:r>
          </w:p>
        </w:tc>
        <w:tc>
          <w:tcPr>
            <w:tcW w:w="1340" w:type="dxa"/>
            <w:vAlign w:val="bottom"/>
          </w:tcPr>
          <w:p>
            <w:pPr>
              <w:jc w:val="right"/>
              <w:spacing w:after="0"/>
              <w:rPr>
                <w:sz w:val="20"/>
                <w:szCs w:val="20"/>
                <w:color w:val="auto"/>
              </w:rPr>
            </w:pPr>
            <w:r>
              <w:rPr>
                <w:rFonts w:ascii="Arial" w:cs="Arial" w:eastAsia="Arial" w:hAnsi="Arial"/>
                <w:sz w:val="18"/>
                <w:szCs w:val="18"/>
                <w:color w:val="auto"/>
              </w:rPr>
              <w:t>14,956</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16,778</w:t>
            </w:r>
          </w:p>
        </w:tc>
        <w:tc>
          <w:tcPr>
            <w:tcW w:w="1340" w:type="dxa"/>
            <w:vAlign w:val="bottom"/>
          </w:tcPr>
          <w:p>
            <w:pPr>
              <w:jc w:val="right"/>
              <w:spacing w:after="0"/>
              <w:rPr>
                <w:sz w:val="20"/>
                <w:szCs w:val="20"/>
                <w:color w:val="auto"/>
              </w:rPr>
            </w:pPr>
            <w:r>
              <w:rPr>
                <w:rFonts w:ascii="Arial" w:cs="Arial" w:eastAsia="Arial" w:hAnsi="Arial"/>
                <w:sz w:val="18"/>
                <w:szCs w:val="18"/>
                <w:color w:val="auto"/>
              </w:rPr>
              <w:t>17,814</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13,521</w:t>
            </w:r>
          </w:p>
        </w:tc>
        <w:tc>
          <w:tcPr>
            <w:tcW w:w="1340" w:type="dxa"/>
            <w:vAlign w:val="bottom"/>
          </w:tcPr>
          <w:p>
            <w:pPr>
              <w:jc w:val="right"/>
              <w:spacing w:after="0"/>
              <w:rPr>
                <w:sz w:val="20"/>
                <w:szCs w:val="20"/>
                <w:color w:val="auto"/>
              </w:rPr>
            </w:pPr>
            <w:r>
              <w:rPr>
                <w:rFonts w:ascii="Arial" w:cs="Arial" w:eastAsia="Arial" w:hAnsi="Arial"/>
                <w:sz w:val="18"/>
                <w:szCs w:val="18"/>
                <w:color w:val="auto"/>
              </w:rPr>
              <w:t>24,414</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Leasing transactions</w:t>
            </w:r>
          </w:p>
        </w:tc>
        <w:tc>
          <w:tcPr>
            <w:tcW w:w="1340" w:type="dxa"/>
            <w:vAlign w:val="bottom"/>
          </w:tcPr>
          <w:p>
            <w:pPr>
              <w:jc w:val="right"/>
              <w:spacing w:after="0"/>
              <w:rPr>
                <w:sz w:val="20"/>
                <w:szCs w:val="20"/>
                <w:color w:val="auto"/>
              </w:rPr>
            </w:pPr>
            <w:r>
              <w:rPr>
                <w:rFonts w:ascii="Arial" w:cs="Arial" w:eastAsia="Arial" w:hAnsi="Arial"/>
                <w:sz w:val="18"/>
                <w:szCs w:val="18"/>
                <w:color w:val="auto"/>
              </w:rPr>
              <w:t>6,431</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10,411</w:t>
            </w:r>
          </w:p>
        </w:tc>
        <w:tc>
          <w:tcPr>
            <w:tcW w:w="1340" w:type="dxa"/>
            <w:vAlign w:val="bottom"/>
          </w:tcPr>
          <w:p>
            <w:pPr>
              <w:jc w:val="right"/>
              <w:spacing w:after="0"/>
              <w:rPr>
                <w:sz w:val="20"/>
                <w:szCs w:val="20"/>
                <w:color w:val="auto"/>
              </w:rPr>
            </w:pPr>
            <w:r>
              <w:rPr>
                <w:rFonts w:ascii="Arial" w:cs="Arial" w:eastAsia="Arial" w:hAnsi="Arial"/>
                <w:sz w:val="18"/>
                <w:szCs w:val="18"/>
                <w:color w:val="auto"/>
              </w:rPr>
              <w:t>6,638</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6,822</w:t>
            </w:r>
          </w:p>
        </w:tc>
        <w:tc>
          <w:tcPr>
            <w:tcW w:w="1340" w:type="dxa"/>
            <w:vAlign w:val="bottom"/>
          </w:tcPr>
          <w:p>
            <w:pPr>
              <w:jc w:val="right"/>
              <w:spacing w:after="0"/>
              <w:rPr>
                <w:sz w:val="20"/>
                <w:szCs w:val="20"/>
                <w:color w:val="auto"/>
              </w:rPr>
            </w:pPr>
            <w:r>
              <w:rPr>
                <w:rFonts w:ascii="Arial" w:cs="Arial" w:eastAsia="Arial" w:hAnsi="Arial"/>
                <w:sz w:val="18"/>
                <w:szCs w:val="18"/>
                <w:color w:val="auto"/>
              </w:rPr>
              <w:t>4,314</w:t>
            </w:r>
          </w:p>
        </w:tc>
      </w:tr>
      <w:tr>
        <w:trPr>
          <w:trHeight w:val="137"/>
        </w:trPr>
        <w:tc>
          <w:tcPr>
            <w:tcW w:w="452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r>
      <w:tr>
        <w:trPr>
          <w:trHeight w:val="343"/>
        </w:trPr>
        <w:tc>
          <w:tcPr>
            <w:tcW w:w="4520" w:type="dxa"/>
            <w:vAlign w:val="bottom"/>
          </w:tcPr>
          <w:p>
            <w:pPr>
              <w:spacing w:after="0"/>
              <w:rPr>
                <w:sz w:val="20"/>
                <w:szCs w:val="20"/>
                <w:color w:val="auto"/>
              </w:rPr>
            </w:pPr>
            <w:r>
              <w:rPr>
                <w:rFonts w:ascii="Arial" w:cs="Arial" w:eastAsia="Arial" w:hAnsi="Arial"/>
                <w:sz w:val="18"/>
                <w:szCs w:val="18"/>
                <w:color w:val="auto"/>
              </w:rPr>
              <w:t>Total reserves</w:t>
            </w:r>
          </w:p>
        </w:tc>
        <w:tc>
          <w:tcPr>
            <w:tcW w:w="1340" w:type="dxa"/>
            <w:vAlign w:val="bottom"/>
          </w:tcPr>
          <w:p>
            <w:pPr>
              <w:jc w:val="right"/>
              <w:spacing w:after="0"/>
              <w:rPr>
                <w:sz w:val="20"/>
                <w:szCs w:val="20"/>
                <w:color w:val="auto"/>
              </w:rPr>
            </w:pPr>
            <w:r>
              <w:rPr>
                <w:rFonts w:ascii="Arial" w:cs="Arial" w:eastAsia="Arial" w:hAnsi="Arial"/>
                <w:sz w:val="18"/>
                <w:szCs w:val="18"/>
                <w:color w:val="auto"/>
              </w:rPr>
              <w:t>US$ 307,343</w:t>
            </w:r>
          </w:p>
        </w:tc>
        <w:tc>
          <w:tcPr>
            <w:tcW w:w="40" w:type="dxa"/>
            <w:vAlign w:val="bottom"/>
          </w:tcPr>
          <w:p>
            <w:pPr>
              <w:spacing w:after="0"/>
              <w:rPr>
                <w:sz w:val="24"/>
                <w:szCs w:val="24"/>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US$ 341,487</w:t>
            </w:r>
          </w:p>
        </w:tc>
        <w:tc>
          <w:tcPr>
            <w:tcW w:w="1700" w:type="dxa"/>
            <w:vAlign w:val="bottom"/>
            <w:gridSpan w:val="3"/>
          </w:tcPr>
          <w:p>
            <w:pPr>
              <w:jc w:val="right"/>
              <w:ind w:right="360"/>
              <w:spacing w:after="0"/>
              <w:rPr>
                <w:sz w:val="20"/>
                <w:szCs w:val="20"/>
                <w:color w:val="auto"/>
              </w:rPr>
            </w:pPr>
            <w:r>
              <w:rPr>
                <w:rFonts w:ascii="Arial" w:cs="Arial" w:eastAsia="Arial" w:hAnsi="Arial"/>
                <w:sz w:val="18"/>
                <w:szCs w:val="18"/>
                <w:color w:val="auto"/>
              </w:rPr>
              <w:t>US$ 344,433</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US$ 424,031</w:t>
            </w:r>
          </w:p>
        </w:tc>
        <w:tc>
          <w:tcPr>
            <w:tcW w:w="1340" w:type="dxa"/>
            <w:vAlign w:val="bottom"/>
          </w:tcPr>
          <w:p>
            <w:pPr>
              <w:jc w:val="right"/>
              <w:spacing w:after="0"/>
              <w:rPr>
                <w:sz w:val="20"/>
                <w:szCs w:val="20"/>
                <w:color w:val="auto"/>
              </w:rPr>
            </w:pPr>
            <w:r>
              <w:rPr>
                <w:rFonts w:ascii="Arial" w:cs="Arial" w:eastAsia="Arial" w:hAnsi="Arial"/>
                <w:sz w:val="18"/>
                <w:szCs w:val="18"/>
                <w:color w:val="auto"/>
              </w:rPr>
              <w:t>US$ 326,677</w:t>
            </w:r>
          </w:p>
        </w:tc>
      </w:tr>
      <w:tr>
        <w:trPr>
          <w:trHeight w:val="147"/>
        </w:trPr>
        <w:tc>
          <w:tcPr>
            <w:tcW w:w="4520" w:type="dxa"/>
            <w:vAlign w:val="bottom"/>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-1617980</wp:posOffset>
            </wp:positionV>
            <wp:extent cx="34290" cy="342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-1292225</wp:posOffset>
            </wp:positionV>
            <wp:extent cx="34290" cy="342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-1292225</wp:posOffset>
            </wp:positionV>
            <wp:extent cx="34290" cy="342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-1292225</wp:posOffset>
            </wp:positionV>
            <wp:extent cx="34290" cy="342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-1292225</wp:posOffset>
            </wp:positionV>
            <wp:extent cx="34290" cy="342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-1292225</wp:posOffset>
            </wp:positionV>
            <wp:extent cx="34290" cy="342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-348615</wp:posOffset>
            </wp:positionV>
            <wp:extent cx="34290" cy="342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-348615</wp:posOffset>
            </wp:positionV>
            <wp:extent cx="34290" cy="342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-348615</wp:posOffset>
            </wp:positionV>
            <wp:extent cx="34290" cy="342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-348615</wp:posOffset>
            </wp:positionV>
            <wp:extent cx="34290" cy="342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-348615</wp:posOffset>
            </wp:positionV>
            <wp:extent cx="34290" cy="342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-14605</wp:posOffset>
            </wp:positionV>
            <wp:extent cx="127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-14605</wp:posOffset>
            </wp:positionV>
            <wp:extent cx="127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-14605</wp:posOffset>
            </wp:positionV>
            <wp:extent cx="127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-14605</wp:posOffset>
            </wp:positionV>
            <wp:extent cx="1270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-14605</wp:posOffset>
            </wp:positionV>
            <wp:extent cx="127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-14605</wp:posOffset>
            </wp:positionV>
            <wp:extent cx="127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-14605</wp:posOffset>
            </wp:positionV>
            <wp:extent cx="1270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-14605</wp:posOffset>
            </wp:positionV>
            <wp:extent cx="127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-14605</wp:posOffset>
            </wp:positionV>
            <wp:extent cx="127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-14605</wp:posOffset>
            </wp:positionV>
            <wp:extent cx="127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2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(iv) Deposits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presents the components of Credicorp's deposit base at the dates indicated:</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6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0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89"/>
              </w:rPr>
              <w:t>At December 31,</w:t>
            </w:r>
          </w:p>
        </w:tc>
        <w:tc>
          <w:tcPr>
            <w:tcW w:w="1320" w:type="dxa"/>
            <w:vAlign w:val="bottom"/>
          </w:tcPr>
          <w:p>
            <w:pPr>
              <w:spacing w:after="0"/>
              <w:rPr>
                <w:sz w:val="19"/>
                <w:szCs w:val="19"/>
                <w:color w:val="auto"/>
              </w:rPr>
            </w:pPr>
          </w:p>
        </w:tc>
      </w:tr>
      <w:tr>
        <w:trPr>
          <w:trHeight w:val="137"/>
        </w:trPr>
        <w:tc>
          <w:tcPr>
            <w:tcW w:w="6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r>
      <w:tr>
        <w:trPr>
          <w:trHeight w:val="356"/>
        </w:trPr>
        <w:tc>
          <w:tcPr>
            <w:tcW w:w="6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80" w:type="dxa"/>
            <w:vAlign w:val="bottom"/>
          </w:tcPr>
          <w:p>
            <w:pPr>
              <w:jc w:val="right"/>
              <w:ind w:right="572"/>
              <w:spacing w:after="0"/>
              <w:rPr>
                <w:sz w:val="20"/>
                <w:szCs w:val="20"/>
                <w:color w:val="auto"/>
              </w:rPr>
            </w:pPr>
            <w:r>
              <w:rPr>
                <w:rFonts w:ascii="Arial" w:cs="Arial" w:eastAsia="Arial" w:hAnsi="Arial"/>
                <w:sz w:val="18"/>
                <w:szCs w:val="18"/>
                <w:b w:val="1"/>
                <w:bCs w:val="1"/>
                <w:color w:val="auto"/>
              </w:rPr>
              <w:t>2001</w:t>
            </w:r>
          </w:p>
        </w:tc>
        <w:tc>
          <w:tcPr>
            <w:tcW w:w="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4"/>
              </w:rPr>
              <w:t>2002</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jc w:val="right"/>
              <w:ind w:right="592"/>
              <w:spacing w:after="0"/>
              <w:rPr>
                <w:sz w:val="20"/>
                <w:szCs w:val="20"/>
                <w:color w:val="auto"/>
              </w:rPr>
            </w:pPr>
            <w:r>
              <w:rPr>
                <w:rFonts w:ascii="Arial" w:cs="Arial" w:eastAsia="Arial" w:hAnsi="Arial"/>
                <w:sz w:val="18"/>
                <w:szCs w:val="18"/>
                <w:b w:val="1"/>
                <w:bCs w:val="1"/>
                <w:color w:val="auto"/>
              </w:rPr>
              <w:t>2003</w:t>
            </w:r>
          </w:p>
        </w:tc>
      </w:tr>
      <w:tr>
        <w:trPr>
          <w:trHeight w:val="137"/>
        </w:trPr>
        <w:tc>
          <w:tcPr>
            <w:tcW w:w="6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r>
      <w:tr>
        <w:trPr>
          <w:trHeight w:val="356"/>
        </w:trPr>
        <w:tc>
          <w:tcPr>
            <w:tcW w:w="6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0" w:type="dxa"/>
            <w:vAlign w:val="bottom"/>
            <w:gridSpan w:val="5"/>
          </w:tcPr>
          <w:p>
            <w:pPr>
              <w:jc w:val="center"/>
              <w:ind w:left="1212"/>
              <w:spacing w:after="0"/>
              <w:rPr>
                <w:sz w:val="20"/>
                <w:szCs w:val="20"/>
                <w:color w:val="auto"/>
              </w:rPr>
            </w:pPr>
            <w:r>
              <w:rPr>
                <w:rFonts w:ascii="Arial" w:cs="Arial" w:eastAsia="Arial" w:hAnsi="Arial"/>
                <w:sz w:val="18"/>
                <w:szCs w:val="18"/>
                <w:i w:val="1"/>
                <w:iCs w:val="1"/>
                <w:color w:val="auto"/>
                <w:w w:val="90"/>
              </w:rPr>
              <w:t>(U.S. Dollars in thousands)</w:t>
            </w:r>
          </w:p>
        </w:tc>
        <w:tc>
          <w:tcPr>
            <w:tcW w:w="1320" w:type="dxa"/>
            <w:vAlign w:val="bottom"/>
          </w:tcPr>
          <w:p>
            <w:pPr>
              <w:spacing w:after="0"/>
              <w:rPr>
                <w:sz w:val="24"/>
                <w:szCs w:val="24"/>
                <w:color w:val="auto"/>
              </w:rPr>
            </w:pPr>
          </w:p>
        </w:tc>
      </w:tr>
      <w:tr>
        <w:trPr>
          <w:trHeight w:val="243"/>
        </w:trPr>
        <w:tc>
          <w:tcPr>
            <w:tcW w:w="6240" w:type="dxa"/>
            <w:vAlign w:val="bottom"/>
            <w:gridSpan w:val="2"/>
          </w:tcPr>
          <w:p>
            <w:pPr>
              <w:spacing w:after="0"/>
              <w:rPr>
                <w:sz w:val="20"/>
                <w:szCs w:val="20"/>
                <w:color w:val="auto"/>
              </w:rPr>
            </w:pPr>
            <w:r>
              <w:rPr>
                <w:rFonts w:ascii="Arial" w:cs="Arial" w:eastAsia="Arial" w:hAnsi="Arial"/>
                <w:sz w:val="18"/>
                <w:szCs w:val="18"/>
                <w:color w:val="auto"/>
              </w:rPr>
              <w:t>Demand deposits:</w:t>
            </w: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43"/>
        </w:trPr>
        <w:tc>
          <w:tcPr>
            <w:tcW w:w="6240" w:type="dxa"/>
            <w:vAlign w:val="bottom"/>
            <w:gridSpan w:val="2"/>
          </w:tcPr>
          <w:p>
            <w:pPr>
              <w:ind w:left="180"/>
              <w:spacing w:after="0"/>
              <w:rPr>
                <w:sz w:val="20"/>
                <w:szCs w:val="20"/>
                <w:color w:val="auto"/>
              </w:rPr>
            </w:pPr>
            <w:r>
              <w:rPr>
                <w:rFonts w:ascii="Arial" w:cs="Arial" w:eastAsia="Arial" w:hAnsi="Arial"/>
                <w:sz w:val="18"/>
                <w:szCs w:val="18"/>
                <w:color w:val="auto"/>
              </w:rPr>
              <w:t>Nuevo Sol-denominated</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US$ 288,999</w:t>
            </w:r>
          </w:p>
        </w:tc>
        <w:tc>
          <w:tcPr>
            <w:tcW w:w="2100" w:type="dxa"/>
            <w:vAlign w:val="bottom"/>
            <w:gridSpan w:val="3"/>
          </w:tcPr>
          <w:p>
            <w:pPr>
              <w:jc w:val="right"/>
              <w:ind w:right="400"/>
              <w:spacing w:after="0"/>
              <w:rPr>
                <w:sz w:val="20"/>
                <w:szCs w:val="20"/>
                <w:color w:val="auto"/>
              </w:rPr>
            </w:pPr>
            <w:r>
              <w:rPr>
                <w:rFonts w:ascii="Arial" w:cs="Arial" w:eastAsia="Arial" w:hAnsi="Arial"/>
                <w:sz w:val="18"/>
                <w:szCs w:val="18"/>
                <w:color w:val="auto"/>
              </w:rPr>
              <w:t>US$ 335,069</w:t>
            </w:r>
          </w:p>
        </w:tc>
        <w:tc>
          <w:tcPr>
            <w:tcW w:w="1320" w:type="dxa"/>
            <w:vAlign w:val="bottom"/>
          </w:tcPr>
          <w:p>
            <w:pPr>
              <w:jc w:val="right"/>
              <w:spacing w:after="0"/>
              <w:rPr>
                <w:sz w:val="20"/>
                <w:szCs w:val="20"/>
                <w:color w:val="auto"/>
              </w:rPr>
            </w:pPr>
            <w:r>
              <w:rPr>
                <w:rFonts w:ascii="Arial" w:cs="Arial" w:eastAsia="Arial" w:hAnsi="Arial"/>
                <w:sz w:val="18"/>
                <w:szCs w:val="18"/>
                <w:color w:val="auto"/>
              </w:rPr>
              <w:t>US$394,556</w:t>
            </w:r>
          </w:p>
        </w:tc>
      </w:tr>
      <w:tr>
        <w:trPr>
          <w:trHeight w:val="243"/>
        </w:trPr>
        <w:tc>
          <w:tcPr>
            <w:tcW w:w="6240" w:type="dxa"/>
            <w:vAlign w:val="bottom"/>
            <w:gridSpan w:val="2"/>
          </w:tcPr>
          <w:p>
            <w:pPr>
              <w:ind w:left="180"/>
              <w:spacing w:after="0"/>
              <w:rPr>
                <w:sz w:val="20"/>
                <w:szCs w:val="20"/>
                <w:color w:val="auto"/>
              </w:rPr>
            </w:pPr>
            <w:r>
              <w:rPr>
                <w:rFonts w:ascii="Arial" w:cs="Arial" w:eastAsia="Arial" w:hAnsi="Arial"/>
                <w:sz w:val="18"/>
                <w:szCs w:val="18"/>
                <w:color w:val="auto"/>
              </w:rPr>
              <w:t>Foreign Currency-denominated</w:t>
            </w:r>
          </w:p>
        </w:tc>
        <w:tc>
          <w:tcPr>
            <w:tcW w:w="1680" w:type="dxa"/>
            <w:vAlign w:val="bottom"/>
          </w:tcPr>
          <w:p>
            <w:pPr>
              <w:jc w:val="right"/>
              <w:spacing w:after="0"/>
              <w:rPr>
                <w:sz w:val="20"/>
                <w:szCs w:val="20"/>
                <w:color w:val="auto"/>
              </w:rPr>
            </w:pPr>
            <w:r>
              <w:rPr>
                <w:rFonts w:ascii="Arial" w:cs="Arial" w:eastAsia="Arial" w:hAnsi="Arial"/>
                <w:sz w:val="18"/>
                <w:szCs w:val="18"/>
                <w:color w:val="auto"/>
              </w:rPr>
              <w:t>753,144</w:t>
            </w:r>
          </w:p>
        </w:tc>
        <w:tc>
          <w:tcPr>
            <w:tcW w:w="20" w:type="dxa"/>
            <w:vAlign w:val="bottom"/>
          </w:tcPr>
          <w:p>
            <w:pPr>
              <w:spacing w:after="0"/>
              <w:rPr>
                <w:sz w:val="21"/>
                <w:szCs w:val="21"/>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1,120,539</w:t>
            </w: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1,097,123</w:t>
            </w:r>
          </w:p>
        </w:tc>
      </w:tr>
      <w:tr>
        <w:trPr>
          <w:trHeight w:val="137"/>
        </w:trPr>
        <w:tc>
          <w:tcPr>
            <w:tcW w:w="6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r>
      <w:tr>
        <w:trPr>
          <w:trHeight w:val="356"/>
        </w:trPr>
        <w:tc>
          <w:tcPr>
            <w:tcW w:w="6240" w:type="dxa"/>
            <w:vAlign w:val="bottom"/>
            <w:gridSpan w:val="2"/>
          </w:tcPr>
          <w:p>
            <w:pPr>
              <w:jc w:val="center"/>
              <w:ind w:right="5200"/>
              <w:spacing w:after="0"/>
              <w:rPr>
                <w:sz w:val="20"/>
                <w:szCs w:val="20"/>
                <w:color w:val="auto"/>
              </w:rPr>
            </w:pPr>
            <w:r>
              <w:rPr>
                <w:rFonts w:ascii="Arial" w:cs="Arial" w:eastAsia="Arial" w:hAnsi="Arial"/>
                <w:sz w:val="18"/>
                <w:szCs w:val="18"/>
                <w:color w:val="auto"/>
                <w:w w:val="89"/>
              </w:rPr>
              <w:t>Total</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US$ 1,042,143</w:t>
            </w:r>
          </w:p>
        </w:tc>
        <w:tc>
          <w:tcPr>
            <w:tcW w:w="2100" w:type="dxa"/>
            <w:vAlign w:val="bottom"/>
            <w:gridSpan w:val="3"/>
          </w:tcPr>
          <w:p>
            <w:pPr>
              <w:jc w:val="right"/>
              <w:ind w:right="400"/>
              <w:spacing w:after="0"/>
              <w:rPr>
                <w:sz w:val="20"/>
                <w:szCs w:val="20"/>
                <w:color w:val="auto"/>
              </w:rPr>
            </w:pPr>
            <w:r>
              <w:rPr>
                <w:rFonts w:ascii="Arial" w:cs="Arial" w:eastAsia="Arial" w:hAnsi="Arial"/>
                <w:sz w:val="18"/>
                <w:szCs w:val="18"/>
                <w:color w:val="auto"/>
              </w:rPr>
              <w:t>US$1,455,608</w:t>
            </w:r>
          </w:p>
        </w:tc>
        <w:tc>
          <w:tcPr>
            <w:tcW w:w="1320" w:type="dxa"/>
            <w:vAlign w:val="bottom"/>
          </w:tcPr>
          <w:p>
            <w:pPr>
              <w:jc w:val="right"/>
              <w:spacing w:after="0"/>
              <w:rPr>
                <w:sz w:val="20"/>
                <w:szCs w:val="20"/>
                <w:color w:val="auto"/>
              </w:rPr>
            </w:pPr>
            <w:r>
              <w:rPr>
                <w:rFonts w:ascii="Arial" w:cs="Arial" w:eastAsia="Arial" w:hAnsi="Arial"/>
                <w:sz w:val="18"/>
                <w:szCs w:val="18"/>
                <w:color w:val="auto"/>
              </w:rPr>
              <w:t>US$1,491,679</w:t>
            </w:r>
          </w:p>
        </w:tc>
      </w:tr>
      <w:tr>
        <w:trPr>
          <w:trHeight w:val="243"/>
        </w:trPr>
        <w:tc>
          <w:tcPr>
            <w:tcW w:w="6240" w:type="dxa"/>
            <w:vAlign w:val="bottom"/>
            <w:gridSpan w:val="2"/>
          </w:tcPr>
          <w:p>
            <w:pPr>
              <w:spacing w:after="0"/>
              <w:rPr>
                <w:sz w:val="20"/>
                <w:szCs w:val="20"/>
                <w:color w:val="auto"/>
              </w:rPr>
            </w:pPr>
            <w:r>
              <w:rPr>
                <w:rFonts w:ascii="Arial" w:cs="Arial" w:eastAsia="Arial" w:hAnsi="Arial"/>
                <w:sz w:val="18"/>
                <w:szCs w:val="18"/>
                <w:color w:val="auto"/>
              </w:rPr>
              <w:t>Savings deposits:</w:t>
            </w: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43"/>
        </w:trPr>
        <w:tc>
          <w:tcPr>
            <w:tcW w:w="6240" w:type="dxa"/>
            <w:vAlign w:val="bottom"/>
            <w:gridSpan w:val="2"/>
          </w:tcPr>
          <w:p>
            <w:pPr>
              <w:ind w:left="180"/>
              <w:spacing w:after="0"/>
              <w:rPr>
                <w:sz w:val="20"/>
                <w:szCs w:val="20"/>
                <w:color w:val="auto"/>
              </w:rPr>
            </w:pPr>
            <w:r>
              <w:rPr>
                <w:rFonts w:ascii="Arial" w:cs="Arial" w:eastAsia="Arial" w:hAnsi="Arial"/>
                <w:sz w:val="18"/>
                <w:szCs w:val="18"/>
                <w:color w:val="auto"/>
              </w:rPr>
              <w:t>Nuevo Sol-denominated</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US$ 281,549</w:t>
            </w:r>
          </w:p>
        </w:tc>
        <w:tc>
          <w:tcPr>
            <w:tcW w:w="2100" w:type="dxa"/>
            <w:vAlign w:val="bottom"/>
            <w:gridSpan w:val="3"/>
          </w:tcPr>
          <w:p>
            <w:pPr>
              <w:jc w:val="right"/>
              <w:ind w:right="400"/>
              <w:spacing w:after="0"/>
              <w:rPr>
                <w:sz w:val="20"/>
                <w:szCs w:val="20"/>
                <w:color w:val="auto"/>
              </w:rPr>
            </w:pPr>
            <w:r>
              <w:rPr>
                <w:rFonts w:ascii="Arial" w:cs="Arial" w:eastAsia="Arial" w:hAnsi="Arial"/>
                <w:sz w:val="18"/>
                <w:szCs w:val="18"/>
                <w:color w:val="auto"/>
              </w:rPr>
              <w:t>US$ 284,283</w:t>
            </w:r>
          </w:p>
        </w:tc>
        <w:tc>
          <w:tcPr>
            <w:tcW w:w="1320" w:type="dxa"/>
            <w:vAlign w:val="bottom"/>
          </w:tcPr>
          <w:p>
            <w:pPr>
              <w:jc w:val="right"/>
              <w:spacing w:after="0"/>
              <w:rPr>
                <w:sz w:val="20"/>
                <w:szCs w:val="20"/>
                <w:color w:val="auto"/>
              </w:rPr>
            </w:pPr>
            <w:r>
              <w:rPr>
                <w:rFonts w:ascii="Arial" w:cs="Arial" w:eastAsia="Arial" w:hAnsi="Arial"/>
                <w:sz w:val="18"/>
                <w:szCs w:val="18"/>
                <w:color w:val="auto"/>
              </w:rPr>
              <w:t>US$324,853</w:t>
            </w:r>
          </w:p>
        </w:tc>
      </w:tr>
      <w:tr>
        <w:trPr>
          <w:trHeight w:val="243"/>
        </w:trPr>
        <w:tc>
          <w:tcPr>
            <w:tcW w:w="6240" w:type="dxa"/>
            <w:vAlign w:val="bottom"/>
            <w:gridSpan w:val="2"/>
          </w:tcPr>
          <w:p>
            <w:pPr>
              <w:ind w:left="180"/>
              <w:spacing w:after="0"/>
              <w:rPr>
                <w:sz w:val="20"/>
                <w:szCs w:val="20"/>
                <w:color w:val="auto"/>
              </w:rPr>
            </w:pPr>
            <w:r>
              <w:rPr>
                <w:rFonts w:ascii="Arial" w:cs="Arial" w:eastAsia="Arial" w:hAnsi="Arial"/>
                <w:sz w:val="18"/>
                <w:szCs w:val="18"/>
                <w:color w:val="auto"/>
              </w:rPr>
              <w:t>Foreign Currency-denominated</w:t>
            </w:r>
          </w:p>
        </w:tc>
        <w:tc>
          <w:tcPr>
            <w:tcW w:w="1680" w:type="dxa"/>
            <w:vAlign w:val="bottom"/>
          </w:tcPr>
          <w:p>
            <w:pPr>
              <w:jc w:val="right"/>
              <w:spacing w:after="0"/>
              <w:rPr>
                <w:sz w:val="20"/>
                <w:szCs w:val="20"/>
                <w:color w:val="auto"/>
              </w:rPr>
            </w:pPr>
            <w:r>
              <w:rPr>
                <w:rFonts w:ascii="Arial" w:cs="Arial" w:eastAsia="Arial" w:hAnsi="Arial"/>
                <w:sz w:val="18"/>
                <w:szCs w:val="18"/>
                <w:color w:val="auto"/>
              </w:rPr>
              <w:t>1,269,426</w:t>
            </w:r>
          </w:p>
        </w:tc>
        <w:tc>
          <w:tcPr>
            <w:tcW w:w="20" w:type="dxa"/>
            <w:vAlign w:val="bottom"/>
          </w:tcPr>
          <w:p>
            <w:pPr>
              <w:spacing w:after="0"/>
              <w:rPr>
                <w:sz w:val="21"/>
                <w:szCs w:val="21"/>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1,416,595</w:t>
            </w: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1,157,757</w:t>
            </w:r>
          </w:p>
        </w:tc>
      </w:tr>
      <w:tr>
        <w:trPr>
          <w:trHeight w:val="137"/>
        </w:trPr>
        <w:tc>
          <w:tcPr>
            <w:tcW w:w="6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r>
      <w:tr>
        <w:trPr>
          <w:trHeight w:val="356"/>
        </w:trPr>
        <w:tc>
          <w:tcPr>
            <w:tcW w:w="6240" w:type="dxa"/>
            <w:vAlign w:val="bottom"/>
            <w:gridSpan w:val="2"/>
          </w:tcPr>
          <w:p>
            <w:pPr>
              <w:jc w:val="center"/>
              <w:ind w:right="5200"/>
              <w:spacing w:after="0"/>
              <w:rPr>
                <w:sz w:val="20"/>
                <w:szCs w:val="20"/>
                <w:color w:val="auto"/>
              </w:rPr>
            </w:pPr>
            <w:r>
              <w:rPr>
                <w:rFonts w:ascii="Arial" w:cs="Arial" w:eastAsia="Arial" w:hAnsi="Arial"/>
                <w:sz w:val="18"/>
                <w:szCs w:val="18"/>
                <w:color w:val="auto"/>
                <w:w w:val="89"/>
              </w:rPr>
              <w:t>Total</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US$1,550,975</w:t>
            </w:r>
          </w:p>
        </w:tc>
        <w:tc>
          <w:tcPr>
            <w:tcW w:w="2100" w:type="dxa"/>
            <w:vAlign w:val="bottom"/>
            <w:gridSpan w:val="3"/>
          </w:tcPr>
          <w:p>
            <w:pPr>
              <w:jc w:val="right"/>
              <w:ind w:right="400"/>
              <w:spacing w:after="0"/>
              <w:rPr>
                <w:sz w:val="20"/>
                <w:szCs w:val="20"/>
                <w:color w:val="auto"/>
              </w:rPr>
            </w:pPr>
            <w:r>
              <w:rPr>
                <w:rFonts w:ascii="Arial" w:cs="Arial" w:eastAsia="Arial" w:hAnsi="Arial"/>
                <w:sz w:val="18"/>
                <w:szCs w:val="18"/>
                <w:color w:val="auto"/>
              </w:rPr>
              <w:t>US$1,700,878</w:t>
            </w:r>
          </w:p>
        </w:tc>
        <w:tc>
          <w:tcPr>
            <w:tcW w:w="1320" w:type="dxa"/>
            <w:vAlign w:val="bottom"/>
          </w:tcPr>
          <w:p>
            <w:pPr>
              <w:jc w:val="right"/>
              <w:spacing w:after="0"/>
              <w:rPr>
                <w:sz w:val="20"/>
                <w:szCs w:val="20"/>
                <w:color w:val="auto"/>
              </w:rPr>
            </w:pPr>
            <w:r>
              <w:rPr>
                <w:rFonts w:ascii="Arial" w:cs="Arial" w:eastAsia="Arial" w:hAnsi="Arial"/>
                <w:sz w:val="18"/>
                <w:szCs w:val="18"/>
                <w:color w:val="auto"/>
              </w:rPr>
              <w:t>US$1,482,610</w:t>
            </w:r>
          </w:p>
        </w:tc>
      </w:tr>
      <w:tr>
        <w:trPr>
          <w:trHeight w:val="243"/>
        </w:trPr>
        <w:tc>
          <w:tcPr>
            <w:tcW w:w="6240" w:type="dxa"/>
            <w:vAlign w:val="bottom"/>
            <w:gridSpan w:val="2"/>
          </w:tcPr>
          <w:p>
            <w:pPr>
              <w:jc w:val="center"/>
              <w:ind w:right="5220"/>
              <w:spacing w:after="0"/>
              <w:rPr>
                <w:sz w:val="20"/>
                <w:szCs w:val="20"/>
                <w:color w:val="auto"/>
              </w:rPr>
            </w:pPr>
            <w:r>
              <w:rPr>
                <w:rFonts w:ascii="Arial" w:cs="Arial" w:eastAsia="Arial" w:hAnsi="Arial"/>
                <w:sz w:val="18"/>
                <w:szCs w:val="18"/>
                <w:color w:val="auto"/>
                <w:w w:val="87"/>
              </w:rPr>
              <w:t>Time deposits:</w:t>
            </w: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43"/>
        </w:trPr>
        <w:tc>
          <w:tcPr>
            <w:tcW w:w="6240" w:type="dxa"/>
            <w:vAlign w:val="bottom"/>
            <w:gridSpan w:val="2"/>
          </w:tcPr>
          <w:p>
            <w:pPr>
              <w:ind w:left="180"/>
              <w:spacing w:after="0"/>
              <w:rPr>
                <w:sz w:val="20"/>
                <w:szCs w:val="20"/>
                <w:color w:val="auto"/>
              </w:rPr>
            </w:pPr>
            <w:r>
              <w:rPr>
                <w:rFonts w:ascii="Arial" w:cs="Arial" w:eastAsia="Arial" w:hAnsi="Arial"/>
                <w:sz w:val="18"/>
                <w:szCs w:val="18"/>
                <w:color w:val="auto"/>
              </w:rPr>
              <w:t>Severance Indemnity Deposits (CTS)</w:t>
            </w: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43"/>
        </w:trPr>
        <w:tc>
          <w:tcPr>
            <w:tcW w:w="6240" w:type="dxa"/>
            <w:vAlign w:val="bottom"/>
            <w:gridSpan w:val="2"/>
          </w:tcPr>
          <w:p>
            <w:pPr>
              <w:ind w:left="340"/>
              <w:spacing w:after="0"/>
              <w:rPr>
                <w:sz w:val="20"/>
                <w:szCs w:val="20"/>
                <w:color w:val="auto"/>
              </w:rPr>
            </w:pPr>
            <w:r>
              <w:rPr>
                <w:rFonts w:ascii="Arial" w:cs="Arial" w:eastAsia="Arial" w:hAnsi="Arial"/>
                <w:sz w:val="18"/>
                <w:szCs w:val="18"/>
                <w:color w:val="auto"/>
              </w:rPr>
              <w:t>Nuevo Sol-denominated</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US$ 40,849</w:t>
            </w:r>
          </w:p>
        </w:tc>
        <w:tc>
          <w:tcPr>
            <w:tcW w:w="2100" w:type="dxa"/>
            <w:vAlign w:val="bottom"/>
            <w:gridSpan w:val="3"/>
          </w:tcPr>
          <w:p>
            <w:pPr>
              <w:jc w:val="right"/>
              <w:ind w:right="400"/>
              <w:spacing w:after="0"/>
              <w:rPr>
                <w:sz w:val="20"/>
                <w:szCs w:val="20"/>
                <w:color w:val="auto"/>
              </w:rPr>
            </w:pPr>
            <w:r>
              <w:rPr>
                <w:rFonts w:ascii="Arial" w:cs="Arial" w:eastAsia="Arial" w:hAnsi="Arial"/>
                <w:sz w:val="18"/>
                <w:szCs w:val="18"/>
                <w:color w:val="auto"/>
              </w:rPr>
              <w:t>US$ 38,570</w:t>
            </w:r>
          </w:p>
        </w:tc>
        <w:tc>
          <w:tcPr>
            <w:tcW w:w="1320" w:type="dxa"/>
            <w:vAlign w:val="bottom"/>
          </w:tcPr>
          <w:p>
            <w:pPr>
              <w:jc w:val="right"/>
              <w:spacing w:after="0"/>
              <w:rPr>
                <w:sz w:val="20"/>
                <w:szCs w:val="20"/>
                <w:color w:val="auto"/>
              </w:rPr>
            </w:pPr>
            <w:r>
              <w:rPr>
                <w:rFonts w:ascii="Arial" w:cs="Arial" w:eastAsia="Arial" w:hAnsi="Arial"/>
                <w:sz w:val="18"/>
                <w:szCs w:val="18"/>
                <w:color w:val="auto"/>
              </w:rPr>
              <w:t>US$ 40,603</w:t>
            </w:r>
          </w:p>
        </w:tc>
      </w:tr>
      <w:tr>
        <w:trPr>
          <w:trHeight w:val="243"/>
        </w:trPr>
        <w:tc>
          <w:tcPr>
            <w:tcW w:w="6240" w:type="dxa"/>
            <w:vAlign w:val="bottom"/>
            <w:gridSpan w:val="2"/>
          </w:tcPr>
          <w:p>
            <w:pPr>
              <w:ind w:left="340"/>
              <w:spacing w:after="0"/>
              <w:rPr>
                <w:sz w:val="20"/>
                <w:szCs w:val="20"/>
                <w:color w:val="auto"/>
              </w:rPr>
            </w:pPr>
            <w:r>
              <w:rPr>
                <w:rFonts w:ascii="Arial" w:cs="Arial" w:eastAsia="Arial" w:hAnsi="Arial"/>
                <w:sz w:val="18"/>
                <w:szCs w:val="18"/>
                <w:color w:val="auto"/>
              </w:rPr>
              <w:t>Foreign Currency-denominated</w:t>
            </w:r>
          </w:p>
        </w:tc>
        <w:tc>
          <w:tcPr>
            <w:tcW w:w="1680" w:type="dxa"/>
            <w:vAlign w:val="bottom"/>
          </w:tcPr>
          <w:p>
            <w:pPr>
              <w:jc w:val="right"/>
              <w:spacing w:after="0"/>
              <w:rPr>
                <w:sz w:val="20"/>
                <w:szCs w:val="20"/>
                <w:color w:val="auto"/>
              </w:rPr>
            </w:pPr>
            <w:r>
              <w:rPr>
                <w:rFonts w:ascii="Arial" w:cs="Arial" w:eastAsia="Arial" w:hAnsi="Arial"/>
                <w:sz w:val="18"/>
                <w:szCs w:val="18"/>
                <w:color w:val="auto"/>
              </w:rPr>
              <w:t>487,319</w:t>
            </w:r>
          </w:p>
        </w:tc>
        <w:tc>
          <w:tcPr>
            <w:tcW w:w="20" w:type="dxa"/>
            <w:vAlign w:val="bottom"/>
          </w:tcPr>
          <w:p>
            <w:pPr>
              <w:spacing w:after="0"/>
              <w:rPr>
                <w:sz w:val="21"/>
                <w:szCs w:val="21"/>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513,604</w:t>
            </w: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486,831</w:t>
            </w:r>
          </w:p>
        </w:tc>
      </w:tr>
      <w:tr>
        <w:trPr>
          <w:trHeight w:val="137"/>
        </w:trPr>
        <w:tc>
          <w:tcPr>
            <w:tcW w:w="6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r>
      <w:tr>
        <w:trPr>
          <w:trHeight w:val="356"/>
        </w:trPr>
        <w:tc>
          <w:tcPr>
            <w:tcW w:w="6240" w:type="dxa"/>
            <w:vAlign w:val="bottom"/>
            <w:gridSpan w:val="2"/>
          </w:tcPr>
          <w:p>
            <w:pPr>
              <w:jc w:val="center"/>
              <w:ind w:right="5200"/>
              <w:spacing w:after="0"/>
              <w:rPr>
                <w:sz w:val="20"/>
                <w:szCs w:val="20"/>
                <w:color w:val="auto"/>
              </w:rPr>
            </w:pPr>
            <w:r>
              <w:rPr>
                <w:rFonts w:ascii="Arial" w:cs="Arial" w:eastAsia="Arial" w:hAnsi="Arial"/>
                <w:sz w:val="18"/>
                <w:szCs w:val="18"/>
                <w:color w:val="auto"/>
                <w:w w:val="89"/>
              </w:rPr>
              <w:t>Total</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US$ 528,168</w:t>
            </w:r>
          </w:p>
        </w:tc>
        <w:tc>
          <w:tcPr>
            <w:tcW w:w="2100" w:type="dxa"/>
            <w:vAlign w:val="bottom"/>
            <w:gridSpan w:val="3"/>
          </w:tcPr>
          <w:p>
            <w:pPr>
              <w:jc w:val="right"/>
              <w:ind w:right="400"/>
              <w:spacing w:after="0"/>
              <w:rPr>
                <w:sz w:val="20"/>
                <w:szCs w:val="20"/>
                <w:color w:val="auto"/>
              </w:rPr>
            </w:pPr>
            <w:r>
              <w:rPr>
                <w:rFonts w:ascii="Arial" w:cs="Arial" w:eastAsia="Arial" w:hAnsi="Arial"/>
                <w:sz w:val="18"/>
                <w:szCs w:val="18"/>
                <w:color w:val="auto"/>
              </w:rPr>
              <w:t>US$ 552,174</w:t>
            </w:r>
          </w:p>
        </w:tc>
        <w:tc>
          <w:tcPr>
            <w:tcW w:w="1320" w:type="dxa"/>
            <w:vAlign w:val="bottom"/>
          </w:tcPr>
          <w:p>
            <w:pPr>
              <w:jc w:val="right"/>
              <w:spacing w:after="0"/>
              <w:rPr>
                <w:sz w:val="20"/>
                <w:szCs w:val="20"/>
                <w:color w:val="auto"/>
              </w:rPr>
            </w:pPr>
            <w:r>
              <w:rPr>
                <w:rFonts w:ascii="Arial" w:cs="Arial" w:eastAsia="Arial" w:hAnsi="Arial"/>
                <w:sz w:val="18"/>
                <w:szCs w:val="18"/>
                <w:color w:val="auto"/>
              </w:rPr>
              <w:t>US$527,434</w:t>
            </w:r>
          </w:p>
        </w:tc>
      </w:tr>
      <w:tr>
        <w:trPr>
          <w:trHeight w:val="243"/>
        </w:trPr>
        <w:tc>
          <w:tcPr>
            <w:tcW w:w="6240" w:type="dxa"/>
            <w:vAlign w:val="bottom"/>
            <w:gridSpan w:val="2"/>
          </w:tcPr>
          <w:p>
            <w:pPr>
              <w:spacing w:after="0"/>
              <w:rPr>
                <w:sz w:val="20"/>
                <w:szCs w:val="20"/>
                <w:color w:val="auto"/>
              </w:rPr>
            </w:pPr>
            <w:r>
              <w:rPr>
                <w:rFonts w:ascii="Arial" w:cs="Arial" w:eastAsia="Arial" w:hAnsi="Arial"/>
                <w:sz w:val="18"/>
                <w:szCs w:val="18"/>
                <w:color w:val="auto"/>
              </w:rPr>
              <w:t>Foreign Currency Bank Certificates</w:t>
            </w: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43"/>
        </w:trPr>
        <w:tc>
          <w:tcPr>
            <w:tcW w:w="6240" w:type="dxa"/>
            <w:vAlign w:val="bottom"/>
            <w:gridSpan w:val="2"/>
          </w:tcPr>
          <w:p>
            <w:pPr>
              <w:ind w:left="180"/>
              <w:spacing w:after="0"/>
              <w:rPr>
                <w:sz w:val="20"/>
                <w:szCs w:val="20"/>
                <w:color w:val="auto"/>
              </w:rPr>
            </w:pPr>
            <w:r>
              <w:rPr>
                <w:rFonts w:ascii="Arial" w:cs="Arial" w:eastAsia="Arial" w:hAnsi="Arial"/>
                <w:sz w:val="18"/>
                <w:szCs w:val="18"/>
                <w:color w:val="auto"/>
              </w:rPr>
              <w:t>Foreign Currency-denominated</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US$ 110,654</w:t>
            </w:r>
          </w:p>
        </w:tc>
        <w:tc>
          <w:tcPr>
            <w:tcW w:w="2100" w:type="dxa"/>
            <w:vAlign w:val="bottom"/>
            <w:gridSpan w:val="3"/>
          </w:tcPr>
          <w:p>
            <w:pPr>
              <w:jc w:val="right"/>
              <w:ind w:right="400"/>
              <w:spacing w:after="0"/>
              <w:rPr>
                <w:sz w:val="20"/>
                <w:szCs w:val="20"/>
                <w:color w:val="auto"/>
              </w:rPr>
            </w:pPr>
            <w:r>
              <w:rPr>
                <w:rFonts w:ascii="Arial" w:cs="Arial" w:eastAsia="Arial" w:hAnsi="Arial"/>
                <w:sz w:val="18"/>
                <w:szCs w:val="18"/>
                <w:color w:val="auto"/>
              </w:rPr>
              <w:t>US$ 83,319</w:t>
            </w:r>
          </w:p>
        </w:tc>
        <w:tc>
          <w:tcPr>
            <w:tcW w:w="1320" w:type="dxa"/>
            <w:vAlign w:val="bottom"/>
          </w:tcPr>
          <w:p>
            <w:pPr>
              <w:jc w:val="right"/>
              <w:spacing w:after="0"/>
              <w:rPr>
                <w:sz w:val="20"/>
                <w:szCs w:val="20"/>
                <w:color w:val="auto"/>
              </w:rPr>
            </w:pPr>
            <w:r>
              <w:rPr>
                <w:rFonts w:ascii="Arial" w:cs="Arial" w:eastAsia="Arial" w:hAnsi="Arial"/>
                <w:sz w:val="18"/>
                <w:szCs w:val="18"/>
                <w:color w:val="auto"/>
              </w:rPr>
              <w:t>US$57,725</w:t>
            </w:r>
          </w:p>
        </w:tc>
      </w:tr>
      <w:tr>
        <w:trPr>
          <w:trHeight w:val="243"/>
        </w:trPr>
        <w:tc>
          <w:tcPr>
            <w:tcW w:w="6240" w:type="dxa"/>
            <w:vAlign w:val="bottom"/>
            <w:gridSpan w:val="2"/>
          </w:tcPr>
          <w:p>
            <w:pPr>
              <w:jc w:val="center"/>
              <w:ind w:right="5180"/>
              <w:spacing w:after="0"/>
              <w:rPr>
                <w:sz w:val="20"/>
                <w:szCs w:val="20"/>
                <w:color w:val="auto"/>
              </w:rPr>
            </w:pPr>
            <w:r>
              <w:rPr>
                <w:rFonts w:ascii="Arial" w:cs="Arial" w:eastAsia="Arial" w:hAnsi="Arial"/>
                <w:sz w:val="18"/>
                <w:szCs w:val="18"/>
                <w:color w:val="auto"/>
                <w:w w:val="86"/>
              </w:rPr>
              <w:t>Other deposits:</w:t>
            </w: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43"/>
        </w:trPr>
        <w:tc>
          <w:tcPr>
            <w:tcW w:w="6240" w:type="dxa"/>
            <w:vAlign w:val="bottom"/>
            <w:gridSpan w:val="2"/>
          </w:tcPr>
          <w:p>
            <w:pPr>
              <w:ind w:left="180"/>
              <w:spacing w:after="0"/>
              <w:rPr>
                <w:sz w:val="20"/>
                <w:szCs w:val="20"/>
                <w:color w:val="auto"/>
              </w:rPr>
            </w:pPr>
            <w:r>
              <w:rPr>
                <w:rFonts w:ascii="Arial" w:cs="Arial" w:eastAsia="Arial" w:hAnsi="Arial"/>
                <w:sz w:val="18"/>
                <w:szCs w:val="18"/>
                <w:color w:val="auto"/>
              </w:rPr>
              <w:t>Nuevo Sol-denominated</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US$ 383,559</w:t>
            </w:r>
          </w:p>
        </w:tc>
        <w:tc>
          <w:tcPr>
            <w:tcW w:w="2100" w:type="dxa"/>
            <w:vAlign w:val="bottom"/>
            <w:gridSpan w:val="3"/>
          </w:tcPr>
          <w:p>
            <w:pPr>
              <w:jc w:val="right"/>
              <w:ind w:right="400"/>
              <w:spacing w:after="0"/>
              <w:rPr>
                <w:sz w:val="20"/>
                <w:szCs w:val="20"/>
                <w:color w:val="auto"/>
              </w:rPr>
            </w:pPr>
            <w:r>
              <w:rPr>
                <w:rFonts w:ascii="Arial" w:cs="Arial" w:eastAsia="Arial" w:hAnsi="Arial"/>
                <w:sz w:val="18"/>
                <w:szCs w:val="18"/>
                <w:color w:val="auto"/>
              </w:rPr>
              <w:t>US$ 510,463</w:t>
            </w:r>
          </w:p>
        </w:tc>
        <w:tc>
          <w:tcPr>
            <w:tcW w:w="1320" w:type="dxa"/>
            <w:vAlign w:val="bottom"/>
          </w:tcPr>
          <w:p>
            <w:pPr>
              <w:jc w:val="right"/>
              <w:spacing w:after="0"/>
              <w:rPr>
                <w:sz w:val="20"/>
                <w:szCs w:val="20"/>
                <w:color w:val="auto"/>
              </w:rPr>
            </w:pPr>
            <w:r>
              <w:rPr>
                <w:rFonts w:ascii="Arial" w:cs="Arial" w:eastAsia="Arial" w:hAnsi="Arial"/>
                <w:sz w:val="18"/>
                <w:szCs w:val="18"/>
                <w:color w:val="auto"/>
              </w:rPr>
              <w:t>US$546,450</w:t>
            </w:r>
          </w:p>
        </w:tc>
      </w:tr>
      <w:tr>
        <w:trPr>
          <w:trHeight w:val="243"/>
        </w:trPr>
        <w:tc>
          <w:tcPr>
            <w:tcW w:w="6240" w:type="dxa"/>
            <w:vAlign w:val="bottom"/>
            <w:gridSpan w:val="2"/>
          </w:tcPr>
          <w:p>
            <w:pPr>
              <w:ind w:left="180"/>
              <w:spacing w:after="0"/>
              <w:rPr>
                <w:sz w:val="20"/>
                <w:szCs w:val="20"/>
                <w:color w:val="auto"/>
              </w:rPr>
            </w:pPr>
            <w:r>
              <w:rPr>
                <w:rFonts w:ascii="Arial" w:cs="Arial" w:eastAsia="Arial" w:hAnsi="Arial"/>
                <w:sz w:val="18"/>
                <w:szCs w:val="18"/>
                <w:color w:val="auto"/>
              </w:rPr>
              <w:t>Foreign Currency-denominated</w:t>
            </w:r>
          </w:p>
        </w:tc>
        <w:tc>
          <w:tcPr>
            <w:tcW w:w="1680" w:type="dxa"/>
            <w:vAlign w:val="bottom"/>
          </w:tcPr>
          <w:p>
            <w:pPr>
              <w:jc w:val="right"/>
              <w:spacing w:after="0"/>
              <w:rPr>
                <w:sz w:val="20"/>
                <w:szCs w:val="20"/>
                <w:color w:val="auto"/>
              </w:rPr>
            </w:pPr>
            <w:r>
              <w:rPr>
                <w:rFonts w:ascii="Arial" w:cs="Arial" w:eastAsia="Arial" w:hAnsi="Arial"/>
                <w:sz w:val="18"/>
                <w:szCs w:val="18"/>
                <w:color w:val="auto"/>
              </w:rPr>
              <w:t>1,927,859</w:t>
            </w:r>
          </w:p>
        </w:tc>
        <w:tc>
          <w:tcPr>
            <w:tcW w:w="20" w:type="dxa"/>
            <w:vAlign w:val="bottom"/>
          </w:tcPr>
          <w:p>
            <w:pPr>
              <w:spacing w:after="0"/>
              <w:rPr>
                <w:sz w:val="21"/>
                <w:szCs w:val="21"/>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2,078,758</w:t>
            </w: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1,880,332</w:t>
            </w:r>
          </w:p>
        </w:tc>
      </w:tr>
      <w:tr>
        <w:trPr>
          <w:trHeight w:val="137"/>
        </w:trPr>
        <w:tc>
          <w:tcPr>
            <w:tcW w:w="6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r>
      <w:tr>
        <w:trPr>
          <w:trHeight w:val="356"/>
        </w:trPr>
        <w:tc>
          <w:tcPr>
            <w:tcW w:w="6240" w:type="dxa"/>
            <w:vAlign w:val="bottom"/>
            <w:gridSpan w:val="2"/>
          </w:tcPr>
          <w:p>
            <w:pPr>
              <w:jc w:val="center"/>
              <w:ind w:right="5200"/>
              <w:spacing w:after="0"/>
              <w:rPr>
                <w:sz w:val="20"/>
                <w:szCs w:val="20"/>
                <w:color w:val="auto"/>
              </w:rPr>
            </w:pPr>
            <w:r>
              <w:rPr>
                <w:rFonts w:ascii="Arial" w:cs="Arial" w:eastAsia="Arial" w:hAnsi="Arial"/>
                <w:sz w:val="18"/>
                <w:szCs w:val="18"/>
                <w:color w:val="auto"/>
                <w:w w:val="89"/>
              </w:rPr>
              <w:t>Total</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US$2,311,418</w:t>
            </w:r>
          </w:p>
        </w:tc>
        <w:tc>
          <w:tcPr>
            <w:tcW w:w="2100" w:type="dxa"/>
            <w:vAlign w:val="bottom"/>
            <w:gridSpan w:val="3"/>
          </w:tcPr>
          <w:p>
            <w:pPr>
              <w:jc w:val="right"/>
              <w:ind w:right="400"/>
              <w:spacing w:after="0"/>
              <w:rPr>
                <w:sz w:val="20"/>
                <w:szCs w:val="20"/>
                <w:color w:val="auto"/>
              </w:rPr>
            </w:pPr>
            <w:r>
              <w:rPr>
                <w:rFonts w:ascii="Arial" w:cs="Arial" w:eastAsia="Arial" w:hAnsi="Arial"/>
                <w:sz w:val="18"/>
                <w:szCs w:val="18"/>
                <w:color w:val="auto"/>
              </w:rPr>
              <w:t>US$2,589,221</w:t>
            </w:r>
          </w:p>
        </w:tc>
        <w:tc>
          <w:tcPr>
            <w:tcW w:w="1320" w:type="dxa"/>
            <w:vAlign w:val="bottom"/>
          </w:tcPr>
          <w:p>
            <w:pPr>
              <w:jc w:val="right"/>
              <w:spacing w:after="0"/>
              <w:rPr>
                <w:sz w:val="20"/>
                <w:szCs w:val="20"/>
                <w:color w:val="auto"/>
              </w:rPr>
            </w:pPr>
            <w:r>
              <w:rPr>
                <w:rFonts w:ascii="Arial" w:cs="Arial" w:eastAsia="Arial" w:hAnsi="Arial"/>
                <w:sz w:val="18"/>
                <w:szCs w:val="18"/>
                <w:color w:val="auto"/>
              </w:rPr>
              <w:t>US$2,426,782</w:t>
            </w:r>
          </w:p>
        </w:tc>
      </w:tr>
      <w:tr>
        <w:trPr>
          <w:trHeight w:val="243"/>
        </w:trPr>
        <w:tc>
          <w:tcPr>
            <w:tcW w:w="6240" w:type="dxa"/>
            <w:vAlign w:val="bottom"/>
            <w:gridSpan w:val="2"/>
          </w:tcPr>
          <w:p>
            <w:pPr>
              <w:jc w:val="center"/>
              <w:ind w:right="5220"/>
              <w:spacing w:after="0"/>
              <w:rPr>
                <w:sz w:val="20"/>
                <w:szCs w:val="20"/>
                <w:color w:val="auto"/>
              </w:rPr>
            </w:pPr>
            <w:r>
              <w:rPr>
                <w:rFonts w:ascii="Arial" w:cs="Arial" w:eastAsia="Arial" w:hAnsi="Arial"/>
                <w:sz w:val="18"/>
                <w:szCs w:val="18"/>
                <w:color w:val="auto"/>
                <w:w w:val="87"/>
              </w:rPr>
              <w:t>Total deposits:</w:t>
            </w: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43"/>
        </w:trPr>
        <w:tc>
          <w:tcPr>
            <w:tcW w:w="6240" w:type="dxa"/>
            <w:vAlign w:val="bottom"/>
            <w:gridSpan w:val="2"/>
          </w:tcPr>
          <w:p>
            <w:pPr>
              <w:ind w:left="180"/>
              <w:spacing w:after="0"/>
              <w:rPr>
                <w:sz w:val="20"/>
                <w:szCs w:val="20"/>
                <w:color w:val="auto"/>
              </w:rPr>
            </w:pPr>
            <w:r>
              <w:rPr>
                <w:rFonts w:ascii="Arial" w:cs="Arial" w:eastAsia="Arial" w:hAnsi="Arial"/>
                <w:sz w:val="18"/>
                <w:szCs w:val="18"/>
                <w:color w:val="auto"/>
              </w:rPr>
              <w:t>Nuevo Sol-denominated</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US$ 994,956</w:t>
            </w:r>
          </w:p>
        </w:tc>
        <w:tc>
          <w:tcPr>
            <w:tcW w:w="2100" w:type="dxa"/>
            <w:vAlign w:val="bottom"/>
            <w:gridSpan w:val="3"/>
          </w:tcPr>
          <w:p>
            <w:pPr>
              <w:jc w:val="right"/>
              <w:ind w:right="400"/>
              <w:spacing w:after="0"/>
              <w:rPr>
                <w:sz w:val="20"/>
                <w:szCs w:val="20"/>
                <w:color w:val="auto"/>
              </w:rPr>
            </w:pPr>
            <w:r>
              <w:rPr>
                <w:rFonts w:ascii="Arial" w:cs="Arial" w:eastAsia="Arial" w:hAnsi="Arial"/>
                <w:sz w:val="18"/>
                <w:szCs w:val="18"/>
                <w:color w:val="auto"/>
              </w:rPr>
              <w:t>US$1,168,385</w:t>
            </w:r>
          </w:p>
        </w:tc>
        <w:tc>
          <w:tcPr>
            <w:tcW w:w="1320" w:type="dxa"/>
            <w:vAlign w:val="bottom"/>
          </w:tcPr>
          <w:p>
            <w:pPr>
              <w:jc w:val="right"/>
              <w:spacing w:after="0"/>
              <w:rPr>
                <w:sz w:val="20"/>
                <w:szCs w:val="20"/>
                <w:color w:val="auto"/>
              </w:rPr>
            </w:pPr>
            <w:r>
              <w:rPr>
                <w:rFonts w:ascii="Arial" w:cs="Arial" w:eastAsia="Arial" w:hAnsi="Arial"/>
                <w:sz w:val="18"/>
                <w:szCs w:val="18"/>
                <w:color w:val="auto"/>
              </w:rPr>
              <w:t>US$1,306,463</w:t>
            </w:r>
          </w:p>
        </w:tc>
      </w:tr>
      <w:tr>
        <w:trPr>
          <w:trHeight w:val="243"/>
        </w:trPr>
        <w:tc>
          <w:tcPr>
            <w:tcW w:w="6240" w:type="dxa"/>
            <w:vAlign w:val="bottom"/>
            <w:gridSpan w:val="2"/>
          </w:tcPr>
          <w:p>
            <w:pPr>
              <w:ind w:left="180"/>
              <w:spacing w:after="0"/>
              <w:rPr>
                <w:sz w:val="20"/>
                <w:szCs w:val="20"/>
                <w:color w:val="auto"/>
              </w:rPr>
            </w:pPr>
            <w:r>
              <w:rPr>
                <w:rFonts w:ascii="Arial" w:cs="Arial" w:eastAsia="Arial" w:hAnsi="Arial"/>
                <w:sz w:val="18"/>
                <w:szCs w:val="18"/>
                <w:color w:val="auto"/>
              </w:rPr>
              <w:t>Foreign Currency-denominated</w:t>
            </w:r>
          </w:p>
        </w:tc>
        <w:tc>
          <w:tcPr>
            <w:tcW w:w="1680" w:type="dxa"/>
            <w:vAlign w:val="bottom"/>
          </w:tcPr>
          <w:p>
            <w:pPr>
              <w:jc w:val="right"/>
              <w:spacing w:after="0"/>
              <w:rPr>
                <w:sz w:val="20"/>
                <w:szCs w:val="20"/>
                <w:color w:val="auto"/>
              </w:rPr>
            </w:pPr>
            <w:r>
              <w:rPr>
                <w:rFonts w:ascii="Arial" w:cs="Arial" w:eastAsia="Arial" w:hAnsi="Arial"/>
                <w:sz w:val="18"/>
                <w:szCs w:val="18"/>
                <w:color w:val="auto"/>
              </w:rPr>
              <w:t>4,548,402</w:t>
            </w:r>
          </w:p>
        </w:tc>
        <w:tc>
          <w:tcPr>
            <w:tcW w:w="20" w:type="dxa"/>
            <w:vAlign w:val="bottom"/>
          </w:tcPr>
          <w:p>
            <w:pPr>
              <w:spacing w:after="0"/>
              <w:rPr>
                <w:sz w:val="21"/>
                <w:szCs w:val="21"/>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5,212,815</w:t>
            </w: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4,679,767</w:t>
            </w:r>
          </w:p>
        </w:tc>
      </w:tr>
      <w:tr>
        <w:trPr>
          <w:trHeight w:val="137"/>
        </w:trPr>
        <w:tc>
          <w:tcPr>
            <w:tcW w:w="6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r>
      <w:tr>
        <w:trPr>
          <w:trHeight w:val="356"/>
        </w:trPr>
        <w:tc>
          <w:tcPr>
            <w:tcW w:w="6240" w:type="dxa"/>
            <w:vAlign w:val="bottom"/>
            <w:gridSpan w:val="2"/>
          </w:tcPr>
          <w:p>
            <w:pPr>
              <w:jc w:val="center"/>
              <w:ind w:right="5200"/>
              <w:spacing w:after="0"/>
              <w:rPr>
                <w:sz w:val="20"/>
                <w:szCs w:val="20"/>
                <w:color w:val="auto"/>
              </w:rPr>
            </w:pPr>
            <w:r>
              <w:rPr>
                <w:rFonts w:ascii="Arial" w:cs="Arial" w:eastAsia="Arial" w:hAnsi="Arial"/>
                <w:sz w:val="18"/>
                <w:szCs w:val="18"/>
                <w:color w:val="auto"/>
                <w:w w:val="89"/>
              </w:rPr>
              <w:t>Total</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US$5,543,358</w:t>
            </w:r>
          </w:p>
        </w:tc>
        <w:tc>
          <w:tcPr>
            <w:tcW w:w="2100" w:type="dxa"/>
            <w:vAlign w:val="bottom"/>
            <w:gridSpan w:val="3"/>
          </w:tcPr>
          <w:p>
            <w:pPr>
              <w:jc w:val="right"/>
              <w:ind w:right="400"/>
              <w:spacing w:after="0"/>
              <w:rPr>
                <w:sz w:val="20"/>
                <w:szCs w:val="20"/>
                <w:color w:val="auto"/>
              </w:rPr>
            </w:pPr>
            <w:r>
              <w:rPr>
                <w:rFonts w:ascii="Arial" w:cs="Arial" w:eastAsia="Arial" w:hAnsi="Arial"/>
                <w:sz w:val="18"/>
                <w:szCs w:val="18"/>
                <w:color w:val="auto"/>
              </w:rPr>
              <w:t>US$6,381,200</w:t>
            </w:r>
          </w:p>
        </w:tc>
        <w:tc>
          <w:tcPr>
            <w:tcW w:w="1320" w:type="dxa"/>
            <w:vAlign w:val="bottom"/>
          </w:tcPr>
          <w:p>
            <w:pPr>
              <w:jc w:val="right"/>
              <w:spacing w:after="0"/>
              <w:rPr>
                <w:sz w:val="20"/>
                <w:szCs w:val="20"/>
                <w:color w:val="auto"/>
              </w:rPr>
            </w:pPr>
            <w:r>
              <w:rPr>
                <w:rFonts w:ascii="Arial" w:cs="Arial" w:eastAsia="Arial" w:hAnsi="Arial"/>
                <w:sz w:val="18"/>
                <w:szCs w:val="18"/>
                <w:color w:val="auto"/>
              </w:rPr>
              <w:t>US$5,986,230</w:t>
            </w:r>
          </w:p>
        </w:tc>
      </w:tr>
      <w:tr>
        <w:trPr>
          <w:trHeight w:val="147"/>
        </w:trPr>
        <w:tc>
          <w:tcPr>
            <w:tcW w:w="62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-5090795</wp:posOffset>
            </wp:positionV>
            <wp:extent cx="34290" cy="342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-4765040</wp:posOffset>
            </wp:positionV>
            <wp:extent cx="34290" cy="342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-4765040</wp:posOffset>
            </wp:positionV>
            <wp:extent cx="34290" cy="342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-4765040</wp:posOffset>
            </wp:positionV>
            <wp:extent cx="34290" cy="342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-3976370</wp:posOffset>
            </wp:positionV>
            <wp:extent cx="34290" cy="342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-3976370</wp:posOffset>
            </wp:positionV>
            <wp:extent cx="34290" cy="342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-3976370</wp:posOffset>
            </wp:positionV>
            <wp:extent cx="34290" cy="342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-3187065</wp:posOffset>
            </wp:positionV>
            <wp:extent cx="34290" cy="342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-3187065</wp:posOffset>
            </wp:positionV>
            <wp:extent cx="34290" cy="342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-3187065</wp:posOffset>
            </wp:positionV>
            <wp:extent cx="34290" cy="342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-2244090</wp:posOffset>
            </wp:positionV>
            <wp:extent cx="34290" cy="342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-2244090</wp:posOffset>
            </wp:positionV>
            <wp:extent cx="34290" cy="342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-2244090</wp:posOffset>
            </wp:positionV>
            <wp:extent cx="34290" cy="342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-1146175</wp:posOffset>
            </wp:positionV>
            <wp:extent cx="34290" cy="342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-1146175</wp:posOffset>
            </wp:positionV>
            <wp:extent cx="34290" cy="342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-1146175</wp:posOffset>
            </wp:positionV>
            <wp:extent cx="34290" cy="342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-356870</wp:posOffset>
            </wp:positionV>
            <wp:extent cx="34290" cy="342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-356870</wp:posOffset>
            </wp:positionV>
            <wp:extent cx="34290" cy="342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-356870</wp:posOffset>
            </wp:positionV>
            <wp:extent cx="34290" cy="342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-14605</wp:posOffset>
            </wp:positionV>
            <wp:extent cx="127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-14605</wp:posOffset>
            </wp:positionV>
            <wp:extent cx="1270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-14605</wp:posOffset>
            </wp:positionV>
            <wp:extent cx="127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-14605</wp:posOffset>
            </wp:positionV>
            <wp:extent cx="12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-14605</wp:posOffset>
            </wp:positionV>
            <wp:extent cx="12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-14605</wp:posOffset>
            </wp:positionV>
            <wp:extent cx="127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-14605</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-14605</wp:posOffset>
            </wp:positionV>
            <wp:extent cx="12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7" w:right="239" w:bottom="306"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347" w:right="239" w:bottom="306" w:gutter="0" w:footer="0" w:header="0"/>
          <w:type w:val="continuous"/>
        </w:sectPr>
      </w:pPr>
    </w:p>
    <w:bookmarkStart w:id="77" w:name="page78"/>
    <w:bookmarkEnd w:id="77"/>
    <w:p>
      <w:pPr>
        <w:ind w:left="180"/>
        <w:spacing w:after="0"/>
        <w:rPr>
          <w:sz w:val="20"/>
          <w:szCs w:val="20"/>
          <w:color w:val="auto"/>
        </w:rPr>
      </w:pPr>
      <w:r>
        <w:rPr>
          <w:rFonts w:ascii="Arial" w:cs="Arial" w:eastAsia="Arial" w:hAnsi="Arial"/>
          <w:sz w:val="16"/>
          <w:szCs w:val="16"/>
          <w:color w:val="auto"/>
        </w:rPr>
        <w:t>The following table sets forth information regarding the maturity of Credicorp's time deposits in denominations of US$100,000 or more at December 31, 2003:</w:t>
      </w:r>
    </w:p>
    <w:p>
      <w:pPr>
        <w:sectPr>
          <w:pgSz w:w="11900" w:h="16838" w:orient="portrait"/>
          <w:cols w:equalWidth="0" w:num="1">
            <w:col w:w="11420"/>
          </w:cols>
          <w:pgMar w:left="240" w:top="34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Certificates of deposit:</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Maturing within 30 days</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Maturing after 30 but within 60 days</w:t>
      </w:r>
    </w:p>
    <w:p>
      <w:pPr>
        <w:spacing w:after="0" w:line="5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Maturing after 60 but within 90 days</w:t>
      </w:r>
    </w:p>
    <w:p>
      <w:pPr>
        <w:spacing w:after="0" w:line="5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Maturing after 90 but within 180 days</w:t>
      </w:r>
    </w:p>
    <w:p>
      <w:pPr>
        <w:spacing w:after="0" w:line="5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Maturing after 180 but within 360 days</w:t>
      </w:r>
    </w:p>
    <w:p>
      <w:pPr>
        <w:spacing w:after="0" w:line="5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Maturing after 360 days</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certificates of deposits</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Time deposits:</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Maturing within 30 days</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Maturing after 30 but within 60 days</w:t>
      </w:r>
    </w:p>
    <w:p>
      <w:pPr>
        <w:spacing w:after="0" w:line="5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Maturing after 60 but within 90 days</w:t>
      </w:r>
    </w:p>
    <w:p>
      <w:pPr>
        <w:spacing w:after="0" w:line="5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Maturing after 90 but within 180 days</w:t>
      </w:r>
    </w:p>
    <w:p>
      <w:pPr>
        <w:spacing w:after="0" w:line="5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Maturing after 180 but within 360 days</w:t>
      </w:r>
    </w:p>
    <w:p>
      <w:pPr>
        <w:spacing w:after="0" w:line="5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Maturing after 360 days</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time deposits</w:t>
      </w:r>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At December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88265</wp:posOffset>
            </wp:positionV>
            <wp:extent cx="1805305" cy="342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805305" cy="34290"/>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Dollars in thousands)</w:t>
      </w:r>
    </w:p>
    <w:p>
      <w:pPr>
        <w:spacing w:after="0" w:line="27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US$ 5,688</w:t>
      </w:r>
    </w:p>
    <w:p>
      <w:pPr>
        <w:spacing w:after="0" w:line="36"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2,067</w:t>
      </w:r>
    </w:p>
    <w:p>
      <w:pPr>
        <w:spacing w:after="0" w:line="36"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1,409</w:t>
      </w:r>
    </w:p>
    <w:p>
      <w:pPr>
        <w:spacing w:after="0" w:line="36"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2,073</w:t>
      </w:r>
    </w:p>
    <w:p>
      <w:pPr>
        <w:spacing w:after="0" w:line="36"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435</w:t>
      </w:r>
    </w:p>
    <w:p>
      <w:pPr>
        <w:spacing w:after="0" w:line="36"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84455</wp:posOffset>
            </wp:positionV>
            <wp:extent cx="1805305" cy="342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805305" cy="34290"/>
                    </a:xfrm>
                    <a:prstGeom prst="rect">
                      <a:avLst/>
                    </a:prstGeom>
                    <a:noFill/>
                  </pic:spPr>
                </pic:pic>
              </a:graphicData>
            </a:graphic>
          </wp:anchor>
        </w:drawing>
      </w:r>
    </w:p>
    <w:p>
      <w:pPr>
        <w:spacing w:after="0" w:line="286"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US$ 11,724</w:t>
      </w:r>
    </w:p>
    <w:p>
      <w:pPr>
        <w:spacing w:after="0" w:line="279"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US$ 1,233,526</w:t>
      </w:r>
    </w:p>
    <w:p>
      <w:pPr>
        <w:spacing w:after="0" w:line="71" w:lineRule="exact"/>
        <w:rPr>
          <w:sz w:val="20"/>
          <w:szCs w:val="20"/>
          <w:color w:val="auto"/>
        </w:rPr>
      </w:pPr>
    </w:p>
    <w:p>
      <w:pPr>
        <w:ind w:left="1800"/>
        <w:spacing w:after="0"/>
        <w:rPr>
          <w:sz w:val="20"/>
          <w:szCs w:val="20"/>
          <w:color w:val="auto"/>
        </w:rPr>
      </w:pPr>
      <w:r>
        <w:rPr>
          <w:rFonts w:ascii="Arial" w:cs="Arial" w:eastAsia="Arial" w:hAnsi="Arial"/>
          <w:sz w:val="16"/>
          <w:szCs w:val="16"/>
          <w:color w:val="auto"/>
        </w:rPr>
        <w:t>253,833</w:t>
      </w:r>
    </w:p>
    <w:p>
      <w:pPr>
        <w:spacing w:after="0" w:line="59" w:lineRule="exact"/>
        <w:rPr>
          <w:sz w:val="20"/>
          <w:szCs w:val="20"/>
          <w:color w:val="auto"/>
        </w:rPr>
      </w:pPr>
    </w:p>
    <w:p>
      <w:pPr>
        <w:ind w:left="1800"/>
        <w:spacing w:after="0"/>
        <w:rPr>
          <w:sz w:val="20"/>
          <w:szCs w:val="20"/>
          <w:color w:val="auto"/>
        </w:rPr>
      </w:pPr>
      <w:r>
        <w:rPr>
          <w:rFonts w:ascii="Arial" w:cs="Arial" w:eastAsia="Arial" w:hAnsi="Arial"/>
          <w:sz w:val="16"/>
          <w:szCs w:val="16"/>
          <w:color w:val="auto"/>
        </w:rPr>
        <w:t>250,132</w:t>
      </w:r>
    </w:p>
    <w:p>
      <w:pPr>
        <w:spacing w:after="0" w:line="59" w:lineRule="exact"/>
        <w:rPr>
          <w:sz w:val="20"/>
          <w:szCs w:val="20"/>
          <w:color w:val="auto"/>
        </w:rPr>
      </w:pPr>
    </w:p>
    <w:p>
      <w:pPr>
        <w:ind w:left="1800"/>
        <w:spacing w:after="0"/>
        <w:rPr>
          <w:sz w:val="20"/>
          <w:szCs w:val="20"/>
          <w:color w:val="auto"/>
        </w:rPr>
      </w:pPr>
      <w:r>
        <w:rPr>
          <w:rFonts w:ascii="Arial" w:cs="Arial" w:eastAsia="Arial" w:hAnsi="Arial"/>
          <w:sz w:val="16"/>
          <w:szCs w:val="16"/>
          <w:color w:val="auto"/>
        </w:rPr>
        <w:t>290,338</w:t>
      </w:r>
    </w:p>
    <w:p>
      <w:pPr>
        <w:spacing w:after="0" w:line="59" w:lineRule="exact"/>
        <w:rPr>
          <w:sz w:val="20"/>
          <w:szCs w:val="20"/>
          <w:color w:val="auto"/>
        </w:rPr>
      </w:pPr>
    </w:p>
    <w:p>
      <w:pPr>
        <w:ind w:left="1900"/>
        <w:spacing w:after="0"/>
        <w:rPr>
          <w:sz w:val="20"/>
          <w:szCs w:val="20"/>
          <w:color w:val="auto"/>
        </w:rPr>
      </w:pPr>
      <w:r>
        <w:rPr>
          <w:rFonts w:ascii="Arial" w:cs="Arial" w:eastAsia="Arial" w:hAnsi="Arial"/>
          <w:sz w:val="15"/>
          <w:szCs w:val="15"/>
          <w:color w:val="auto"/>
        </w:rPr>
        <w:t>76,954</w:t>
      </w:r>
    </w:p>
    <w:p>
      <w:pPr>
        <w:spacing w:after="0" w:line="71" w:lineRule="exact"/>
        <w:rPr>
          <w:sz w:val="20"/>
          <w:szCs w:val="20"/>
          <w:color w:val="auto"/>
        </w:rPr>
      </w:pPr>
    </w:p>
    <w:p>
      <w:pPr>
        <w:ind w:left="1900"/>
        <w:spacing w:after="0"/>
        <w:rPr>
          <w:sz w:val="20"/>
          <w:szCs w:val="20"/>
          <w:color w:val="auto"/>
        </w:rPr>
      </w:pPr>
      <w:r>
        <w:rPr>
          <w:rFonts w:ascii="Arial" w:cs="Arial" w:eastAsia="Arial" w:hAnsi="Arial"/>
          <w:sz w:val="15"/>
          <w:szCs w:val="15"/>
          <w:color w:val="auto"/>
        </w:rPr>
        <w:t>19,740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106045</wp:posOffset>
            </wp:positionV>
            <wp:extent cx="1805305" cy="342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805305" cy="34290"/>
                    </a:xfrm>
                    <a:prstGeom prst="rect">
                      <a:avLst/>
                    </a:prstGeom>
                    <a:noFill/>
                  </pic:spPr>
                </pic:pic>
              </a:graphicData>
            </a:graphic>
          </wp:anchor>
        </w:drawing>
      </w:r>
    </w:p>
    <w:p>
      <w:pPr>
        <w:spacing w:after="0" w:line="315"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US</w:t>
      </w:r>
      <w:r>
        <w:rPr>
          <w:rFonts w:ascii="Arial" w:cs="Arial" w:eastAsia="Arial" w:hAnsi="Arial"/>
          <w:sz w:val="18"/>
          <w:szCs w:val="18"/>
          <w:b w:val="1"/>
          <w:bCs w:val="1"/>
          <w:color w:val="auto"/>
        </w:rPr>
        <w:t>$</w:t>
      </w:r>
      <w:r>
        <w:rPr>
          <w:rFonts w:ascii="Arial" w:cs="Arial" w:eastAsia="Arial" w:hAnsi="Arial"/>
          <w:sz w:val="18"/>
          <w:szCs w:val="18"/>
          <w:color w:val="auto"/>
        </w:rPr>
        <w:t xml:space="preserve"> 2,124,524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88265</wp:posOffset>
            </wp:positionV>
            <wp:extent cx="1805305" cy="342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805305" cy="34290"/>
                    </a:xfrm>
                    <a:prstGeom prst="rect">
                      <a:avLst/>
                    </a:prstGeom>
                    <a:noFill/>
                  </pic:spPr>
                </pic:pic>
              </a:graphicData>
            </a:graphic>
          </wp:anchor>
        </w:drawing>
      </w:r>
    </w:p>
    <w:p>
      <w:pPr>
        <w:spacing w:after="0" w:line="292"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US$ 2 ,136,248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84455</wp:posOffset>
            </wp:positionV>
            <wp:extent cx="1805305" cy="342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805305" cy="342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00" w:space="720"/>
            <w:col w:w="2400"/>
          </w:cols>
          <w:pgMar w:left="240" w:top="347" w:right="239" w:bottom="1440" w:gutter="0" w:footer="0" w:header="0"/>
          <w:type w:val="continuous"/>
        </w:sectPr>
      </w:pPr>
    </w:p>
    <w:p>
      <w:pPr>
        <w:spacing w:after="0" w:line="32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 Return on Equity and Assets</w:t>
      </w:r>
    </w:p>
    <w:p>
      <w:pPr>
        <w:spacing w:after="0" w:line="246" w:lineRule="exact"/>
        <w:rPr>
          <w:sz w:val="20"/>
          <w:szCs w:val="20"/>
          <w:color w:val="auto"/>
        </w:rPr>
      </w:pPr>
    </w:p>
    <w:p>
      <w:pPr>
        <w:ind w:left="8200"/>
        <w:spacing w:after="0"/>
        <w:rPr>
          <w:sz w:val="20"/>
          <w:szCs w:val="20"/>
          <w:color w:val="auto"/>
        </w:rPr>
      </w:pPr>
      <w:r>
        <w:rPr>
          <w:rFonts w:ascii="Arial" w:cs="Arial" w:eastAsia="Arial" w:hAnsi="Arial"/>
          <w:sz w:val="18"/>
          <w:szCs w:val="18"/>
          <w:b w:val="1"/>
          <w:bCs w:val="1"/>
          <w:color w:val="auto"/>
        </w:rPr>
        <w:t>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88265</wp:posOffset>
            </wp:positionV>
            <wp:extent cx="3262630" cy="342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3262630" cy="34290"/>
                    </a:xfrm>
                    <a:prstGeom prst="rect">
                      <a:avLst/>
                    </a:prstGeom>
                    <a:noFill/>
                  </pic:spPr>
                </pic:pic>
              </a:graphicData>
            </a:graphic>
          </wp:anchor>
        </w:drawing>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7320" w:type="dxa"/>
            <w:vAlign w:val="bottom"/>
            <w:gridSpan w:val="2"/>
          </w:tcPr>
          <w:p>
            <w:pPr>
              <w:ind w:left="6900"/>
              <w:spacing w:after="0"/>
              <w:rPr>
                <w:sz w:val="20"/>
                <w:szCs w:val="20"/>
                <w:color w:val="auto"/>
              </w:rPr>
            </w:pPr>
            <w:r>
              <w:rPr>
                <w:rFonts w:ascii="Arial" w:cs="Arial" w:eastAsia="Arial" w:hAnsi="Arial"/>
                <w:sz w:val="18"/>
                <w:szCs w:val="18"/>
                <w:b w:val="1"/>
                <w:bCs w:val="1"/>
                <w:color w:val="auto"/>
                <w:w w:val="99"/>
              </w:rPr>
              <w:t>2001</w:t>
            </w:r>
          </w:p>
        </w:tc>
        <w:tc>
          <w:tcPr>
            <w:tcW w:w="17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2002</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Pr>
          <w:p>
            <w:pPr>
              <w:jc w:val="right"/>
              <w:ind w:right="592"/>
              <w:spacing w:after="0"/>
              <w:rPr>
                <w:sz w:val="20"/>
                <w:szCs w:val="20"/>
                <w:color w:val="auto"/>
              </w:rPr>
            </w:pPr>
            <w:r>
              <w:rPr>
                <w:rFonts w:ascii="Arial" w:cs="Arial" w:eastAsia="Arial" w:hAnsi="Arial"/>
                <w:sz w:val="18"/>
                <w:szCs w:val="18"/>
                <w:b w:val="1"/>
                <w:bCs w:val="1"/>
                <w:color w:val="auto"/>
              </w:rPr>
              <w:t>2003</w:t>
            </w:r>
          </w:p>
        </w:tc>
      </w:tr>
      <w:tr>
        <w:trPr>
          <w:trHeight w:val="137"/>
        </w:trPr>
        <w:tc>
          <w:tcPr>
            <w:tcW w:w="6240" w:type="dxa"/>
            <w:vAlign w:val="bottom"/>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r>
      <w:tr>
        <w:trPr>
          <w:trHeight w:val="343"/>
        </w:trPr>
        <w:tc>
          <w:tcPr>
            <w:tcW w:w="7320" w:type="dxa"/>
            <w:vAlign w:val="bottom"/>
            <w:gridSpan w:val="2"/>
          </w:tcPr>
          <w:p>
            <w:pPr>
              <w:spacing w:after="0"/>
              <w:rPr>
                <w:sz w:val="20"/>
                <w:szCs w:val="20"/>
                <w:color w:val="auto"/>
              </w:rPr>
            </w:pPr>
            <w:r>
              <w:rPr>
                <w:rFonts w:ascii="Arial" w:cs="Arial" w:eastAsia="Arial" w:hAnsi="Arial"/>
                <w:sz w:val="18"/>
                <w:szCs w:val="18"/>
                <w:color w:val="auto"/>
              </w:rPr>
              <w:t>Return on assets(1)</w:t>
            </w:r>
          </w:p>
        </w:tc>
        <w:tc>
          <w:tcPr>
            <w:tcW w:w="600" w:type="dxa"/>
            <w:vAlign w:val="bottom"/>
          </w:tcPr>
          <w:p>
            <w:pPr>
              <w:jc w:val="right"/>
              <w:spacing w:after="0"/>
              <w:rPr>
                <w:sz w:val="20"/>
                <w:szCs w:val="20"/>
                <w:color w:val="auto"/>
              </w:rPr>
            </w:pPr>
            <w:r>
              <w:rPr>
                <w:rFonts w:ascii="Arial" w:cs="Arial" w:eastAsia="Arial" w:hAnsi="Arial"/>
                <w:sz w:val="18"/>
                <w:szCs w:val="18"/>
                <w:color w:val="auto"/>
              </w:rPr>
              <w:t>0.72%</w:t>
            </w: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0.52%</w:t>
            </w:r>
          </w:p>
        </w:tc>
        <w:tc>
          <w:tcPr>
            <w:tcW w:w="1700" w:type="dxa"/>
            <w:vAlign w:val="bottom"/>
          </w:tcPr>
          <w:p>
            <w:pPr>
              <w:jc w:val="right"/>
              <w:spacing w:after="0"/>
              <w:rPr>
                <w:sz w:val="20"/>
                <w:szCs w:val="20"/>
                <w:color w:val="auto"/>
              </w:rPr>
            </w:pPr>
            <w:r>
              <w:rPr>
                <w:rFonts w:ascii="Arial" w:cs="Arial" w:eastAsia="Arial" w:hAnsi="Arial"/>
                <w:sz w:val="18"/>
                <w:szCs w:val="18"/>
                <w:color w:val="auto"/>
              </w:rPr>
              <w:t>0.95%</w:t>
            </w:r>
          </w:p>
        </w:tc>
      </w:tr>
      <w:tr>
        <w:trPr>
          <w:trHeight w:val="486"/>
        </w:trPr>
        <w:tc>
          <w:tcPr>
            <w:tcW w:w="7320" w:type="dxa"/>
            <w:vAlign w:val="bottom"/>
            <w:gridSpan w:val="2"/>
          </w:tcPr>
          <w:p>
            <w:pPr>
              <w:spacing w:after="0"/>
              <w:rPr>
                <w:sz w:val="20"/>
                <w:szCs w:val="20"/>
                <w:color w:val="auto"/>
              </w:rPr>
            </w:pPr>
            <w:r>
              <w:rPr>
                <w:rFonts w:ascii="Arial" w:cs="Arial" w:eastAsia="Arial" w:hAnsi="Arial"/>
                <w:sz w:val="18"/>
                <w:szCs w:val="18"/>
                <w:color w:val="auto"/>
              </w:rPr>
              <w:t>Return on equity (2)</w:t>
            </w:r>
          </w:p>
        </w:tc>
        <w:tc>
          <w:tcPr>
            <w:tcW w:w="600" w:type="dxa"/>
            <w:vAlign w:val="bottom"/>
          </w:tcPr>
          <w:p>
            <w:pPr>
              <w:jc w:val="right"/>
              <w:spacing w:after="0"/>
              <w:rPr>
                <w:sz w:val="20"/>
                <w:szCs w:val="20"/>
                <w:color w:val="auto"/>
              </w:rPr>
            </w:pPr>
            <w:r>
              <w:rPr>
                <w:rFonts w:ascii="Arial" w:cs="Arial" w:eastAsia="Arial" w:hAnsi="Arial"/>
                <w:sz w:val="18"/>
                <w:szCs w:val="18"/>
                <w:color w:val="auto"/>
              </w:rPr>
              <w:t>6.90%</w:t>
            </w: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5.23%</w:t>
            </w:r>
          </w:p>
        </w:tc>
        <w:tc>
          <w:tcPr>
            <w:tcW w:w="1700" w:type="dxa"/>
            <w:vAlign w:val="bottom"/>
          </w:tcPr>
          <w:p>
            <w:pPr>
              <w:jc w:val="right"/>
              <w:spacing w:after="0"/>
              <w:rPr>
                <w:sz w:val="20"/>
                <w:szCs w:val="20"/>
                <w:color w:val="auto"/>
              </w:rPr>
            </w:pPr>
            <w:r>
              <w:rPr>
                <w:rFonts w:ascii="Arial" w:cs="Arial" w:eastAsia="Arial" w:hAnsi="Arial"/>
                <w:sz w:val="18"/>
                <w:szCs w:val="18"/>
                <w:color w:val="auto"/>
              </w:rPr>
              <w:t>9.29%</w:t>
            </w:r>
          </w:p>
        </w:tc>
      </w:tr>
      <w:tr>
        <w:trPr>
          <w:trHeight w:val="486"/>
        </w:trPr>
        <w:tc>
          <w:tcPr>
            <w:tcW w:w="7320" w:type="dxa"/>
            <w:vAlign w:val="bottom"/>
            <w:gridSpan w:val="2"/>
          </w:tcPr>
          <w:p>
            <w:pPr>
              <w:spacing w:after="0"/>
              <w:rPr>
                <w:sz w:val="20"/>
                <w:szCs w:val="20"/>
                <w:color w:val="auto"/>
              </w:rPr>
            </w:pPr>
            <w:r>
              <w:rPr>
                <w:rFonts w:ascii="Arial" w:cs="Arial" w:eastAsia="Arial" w:hAnsi="Arial"/>
                <w:sz w:val="18"/>
                <w:szCs w:val="18"/>
                <w:color w:val="auto"/>
              </w:rPr>
              <w:t>Dividend payout ratio(3)</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69.25%</w:t>
            </w: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66.81%</w:t>
            </w:r>
          </w:p>
        </w:tc>
        <w:tc>
          <w:tcPr>
            <w:tcW w:w="1700" w:type="dxa"/>
            <w:vAlign w:val="bottom"/>
          </w:tcPr>
          <w:p>
            <w:pPr>
              <w:jc w:val="right"/>
              <w:spacing w:after="0"/>
              <w:rPr>
                <w:sz w:val="20"/>
                <w:szCs w:val="20"/>
                <w:color w:val="auto"/>
              </w:rPr>
            </w:pPr>
            <w:r>
              <w:rPr>
                <w:rFonts w:ascii="Arial" w:cs="Arial" w:eastAsia="Arial" w:hAnsi="Arial"/>
                <w:sz w:val="18"/>
                <w:szCs w:val="18"/>
                <w:color w:val="auto"/>
              </w:rPr>
              <w:t>46.84%</w:t>
            </w:r>
          </w:p>
        </w:tc>
      </w:tr>
      <w:tr>
        <w:trPr>
          <w:trHeight w:val="486"/>
        </w:trPr>
        <w:tc>
          <w:tcPr>
            <w:tcW w:w="7320" w:type="dxa"/>
            <w:vAlign w:val="bottom"/>
            <w:gridSpan w:val="2"/>
          </w:tcPr>
          <w:p>
            <w:pPr>
              <w:spacing w:after="0"/>
              <w:rPr>
                <w:sz w:val="20"/>
                <w:szCs w:val="20"/>
                <w:color w:val="auto"/>
              </w:rPr>
            </w:pPr>
            <w:r>
              <w:rPr>
                <w:rFonts w:ascii="Arial" w:cs="Arial" w:eastAsia="Arial" w:hAnsi="Arial"/>
                <w:sz w:val="18"/>
                <w:szCs w:val="18"/>
                <w:color w:val="auto"/>
              </w:rPr>
              <w:t>Equity to assets ratio (4)</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10.07%</w:t>
            </w: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10.50%</w:t>
            </w:r>
          </w:p>
        </w:tc>
        <w:tc>
          <w:tcPr>
            <w:tcW w:w="1700" w:type="dxa"/>
            <w:vAlign w:val="bottom"/>
          </w:tcPr>
          <w:p>
            <w:pPr>
              <w:jc w:val="right"/>
              <w:spacing w:after="0"/>
              <w:rPr>
                <w:sz w:val="20"/>
                <w:szCs w:val="20"/>
                <w:color w:val="auto"/>
              </w:rPr>
            </w:pPr>
            <w:r>
              <w:rPr>
                <w:rFonts w:ascii="Arial" w:cs="Arial" w:eastAsia="Arial" w:hAnsi="Arial"/>
                <w:sz w:val="18"/>
                <w:szCs w:val="18"/>
                <w:color w:val="auto"/>
              </w:rPr>
              <w:t>10.23%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5034915</wp:posOffset>
            </wp:positionH>
            <wp:positionV relativeFrom="paragraph">
              <wp:posOffset>-1168400</wp:posOffset>
            </wp:positionV>
            <wp:extent cx="34290" cy="342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-1168400</wp:posOffset>
            </wp:positionV>
            <wp:extent cx="34290" cy="342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-1168400</wp:posOffset>
            </wp:positionV>
            <wp:extent cx="34290" cy="342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245745</wp:posOffset>
            </wp:positionV>
            <wp:extent cx="1839595" cy="342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839595" cy="342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580" w:hanging="572"/>
        <w:spacing w:after="0"/>
        <w:tabs>
          <w:tab w:leader="none" w:pos="5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Net income as a percentage of average total assets, computed as the average of period beginning and period ending balances.</w:t>
      </w:r>
    </w:p>
    <w:p>
      <w:pPr>
        <w:ind w:left="580" w:hanging="572"/>
        <w:spacing w:after="0" w:line="221" w:lineRule="auto"/>
        <w:tabs>
          <w:tab w:leader="none" w:pos="5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Net income as a percentage of average shareholder's equity, computed as the average of period beginning and ending balances.</w:t>
      </w:r>
    </w:p>
    <w:p>
      <w:pPr>
        <w:ind w:left="580" w:hanging="572"/>
        <w:spacing w:after="0" w:line="221" w:lineRule="auto"/>
        <w:tabs>
          <w:tab w:leader="none" w:pos="5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Dividends declared per share divided by net income per share.</w:t>
      </w:r>
    </w:p>
    <w:p>
      <w:pPr>
        <w:ind w:left="580" w:hanging="572"/>
        <w:spacing w:after="0"/>
        <w:tabs>
          <w:tab w:leader="none" w:pos="5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Average equity divided by average total assets, both averages computed as the average of quarter-ending balances.</w:t>
      </w:r>
    </w:p>
    <w:p>
      <w:pPr>
        <w:spacing w:after="0" w:line="194" w:lineRule="exact"/>
        <w:rPr>
          <w:rFonts w:ascii="Arial" w:cs="Arial" w:eastAsia="Arial" w:hAnsi="Arial"/>
          <w:sz w:val="14"/>
          <w:szCs w:val="14"/>
          <w:color w:val="auto"/>
        </w:rPr>
      </w:pPr>
    </w:p>
    <w:p>
      <w:pPr>
        <w:ind w:left="480" w:hanging="296"/>
        <w:spacing w:after="0"/>
        <w:tabs>
          <w:tab w:leader="none" w:pos="480" w:val="left"/>
        </w:tabs>
        <w:numPr>
          <w:ilvl w:val="1"/>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Short-Term Borrowings</w:t>
      </w:r>
    </w:p>
    <w:p>
      <w:pPr>
        <w:spacing w:after="0" w:line="225" w:lineRule="exact"/>
        <w:rPr>
          <w:sz w:val="20"/>
          <w:szCs w:val="20"/>
          <w:color w:val="auto"/>
        </w:rPr>
      </w:pPr>
    </w:p>
    <w:p>
      <w:pPr>
        <w:jc w:val="both"/>
        <w:ind w:firstLine="203"/>
        <w:spacing w:after="0" w:line="256" w:lineRule="auto"/>
        <w:rPr>
          <w:sz w:val="20"/>
          <w:szCs w:val="20"/>
          <w:color w:val="auto"/>
        </w:rPr>
      </w:pPr>
      <w:r>
        <w:rPr>
          <w:rFonts w:ascii="Arial" w:cs="Arial" w:eastAsia="Arial" w:hAnsi="Arial"/>
          <w:sz w:val="18"/>
          <w:szCs w:val="18"/>
          <w:color w:val="auto"/>
        </w:rPr>
        <w:t>Credicorp's short-term borrowings, other than deposits, amounted to US$76.1 million, US$43.3 million and US$62.0 million as of December 31, 2001, 2002 and 2003, respectively. Average balances of borrowed amounts declined during 2001, 2002 and 2003 mostly due to excess liquidity at BCP. Foreign trade lines of credit comprise the most important short-term borrowing category. Trade lines of credit comprised approximately 76%, 64% and 59% of all short-term borrowings during 2001, 2002 and 2003,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347" w:right="239" w:bottom="1440" w:gutter="0" w:footer="0" w:header="0"/>
          <w:type w:val="continuous"/>
        </w:sectPr>
      </w:pPr>
    </w:p>
    <w:bookmarkStart w:id="78" w:name="page79"/>
    <w:bookmarkEnd w:id="78"/>
    <w:tbl>
      <w:tblPr>
        <w:tblLayout w:type="fixed"/>
        <w:tblInd w:w="0" w:type="dxa"/>
        <w:tblCellMar>
          <w:top w:w="0" w:type="dxa"/>
          <w:left w:w="0" w:type="dxa"/>
          <w:bottom w:w="0" w:type="dxa"/>
          <w:right w:w="0" w:type="dxa"/>
        </w:tblCellMar>
      </w:tblPr>
      <w:tr>
        <w:trPr>
          <w:trHeight w:val="222"/>
        </w:trPr>
        <w:tc>
          <w:tcPr>
            <w:tcW w:w="180" w:type="dxa"/>
            <w:vAlign w:val="bottom"/>
          </w:tcPr>
          <w:p>
            <w:pPr>
              <w:spacing w:after="0"/>
              <w:rPr>
                <w:sz w:val="19"/>
                <w:szCs w:val="19"/>
                <w:color w:val="auto"/>
              </w:rPr>
            </w:pPr>
          </w:p>
        </w:tc>
        <w:tc>
          <w:tcPr>
            <w:tcW w:w="6100" w:type="dxa"/>
            <w:vAlign w:val="bottom"/>
            <w:gridSpan w:val="2"/>
          </w:tcPr>
          <w:p>
            <w:pPr>
              <w:spacing w:after="0"/>
              <w:rPr>
                <w:sz w:val="20"/>
                <w:szCs w:val="20"/>
                <w:color w:val="auto"/>
              </w:rPr>
            </w:pPr>
            <w:r>
              <w:rPr>
                <w:rFonts w:ascii="Arial" w:cs="Arial" w:eastAsia="Arial" w:hAnsi="Arial"/>
                <w:sz w:val="18"/>
                <w:szCs w:val="18"/>
                <w:color w:val="auto"/>
              </w:rPr>
              <w:t>The following table presents Credicorp's short-term borrowings:</w:t>
            </w: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459"/>
        </w:trPr>
        <w:tc>
          <w:tcPr>
            <w:tcW w:w="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89"/>
              </w:rPr>
              <w:t>At December 31,</w:t>
            </w:r>
          </w:p>
        </w:tc>
        <w:tc>
          <w:tcPr>
            <w:tcW w:w="1320" w:type="dxa"/>
            <w:vAlign w:val="bottom"/>
          </w:tcPr>
          <w:p>
            <w:pPr>
              <w:spacing w:after="0"/>
              <w:rPr>
                <w:sz w:val="24"/>
                <w:szCs w:val="24"/>
                <w:color w:val="auto"/>
              </w:rPr>
            </w:pPr>
          </w:p>
        </w:tc>
      </w:tr>
      <w:tr>
        <w:trPr>
          <w:trHeight w:val="137"/>
        </w:trPr>
        <w:tc>
          <w:tcPr>
            <w:tcW w:w="18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r>
      <w:tr>
        <w:trPr>
          <w:trHeight w:val="356"/>
        </w:trPr>
        <w:tc>
          <w:tcPr>
            <w:tcW w:w="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680" w:type="dxa"/>
            <w:vAlign w:val="bottom"/>
          </w:tcPr>
          <w:p>
            <w:pPr>
              <w:jc w:val="right"/>
              <w:ind w:right="572"/>
              <w:spacing w:after="0"/>
              <w:rPr>
                <w:sz w:val="20"/>
                <w:szCs w:val="20"/>
                <w:color w:val="auto"/>
              </w:rPr>
            </w:pPr>
            <w:r>
              <w:rPr>
                <w:rFonts w:ascii="Arial" w:cs="Arial" w:eastAsia="Arial" w:hAnsi="Arial"/>
                <w:sz w:val="18"/>
                <w:szCs w:val="18"/>
                <w:b w:val="1"/>
                <w:bCs w:val="1"/>
                <w:color w:val="auto"/>
              </w:rPr>
              <w:t>2001</w:t>
            </w:r>
          </w:p>
        </w:tc>
        <w:tc>
          <w:tcPr>
            <w:tcW w:w="1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4"/>
              </w:rPr>
              <w:t>2002</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jc w:val="right"/>
              <w:ind w:right="592"/>
              <w:spacing w:after="0"/>
              <w:rPr>
                <w:sz w:val="20"/>
                <w:szCs w:val="20"/>
                <w:color w:val="auto"/>
              </w:rPr>
            </w:pPr>
            <w:r>
              <w:rPr>
                <w:rFonts w:ascii="Arial" w:cs="Arial" w:eastAsia="Arial" w:hAnsi="Arial"/>
                <w:sz w:val="18"/>
                <w:szCs w:val="18"/>
                <w:b w:val="1"/>
                <w:bCs w:val="1"/>
                <w:color w:val="auto"/>
              </w:rPr>
              <w:t>2003</w:t>
            </w:r>
          </w:p>
        </w:tc>
      </w:tr>
      <w:tr>
        <w:trPr>
          <w:trHeight w:val="137"/>
        </w:trPr>
        <w:tc>
          <w:tcPr>
            <w:tcW w:w="18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r>
      <w:tr>
        <w:trPr>
          <w:trHeight w:val="356"/>
        </w:trPr>
        <w:tc>
          <w:tcPr>
            <w:tcW w:w="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800" w:type="dxa"/>
            <w:vAlign w:val="bottom"/>
            <w:gridSpan w:val="5"/>
          </w:tcPr>
          <w:p>
            <w:pPr>
              <w:jc w:val="center"/>
              <w:ind w:left="1212"/>
              <w:spacing w:after="0"/>
              <w:rPr>
                <w:sz w:val="20"/>
                <w:szCs w:val="20"/>
                <w:color w:val="auto"/>
              </w:rPr>
            </w:pPr>
            <w:r>
              <w:rPr>
                <w:rFonts w:ascii="Arial" w:cs="Arial" w:eastAsia="Arial" w:hAnsi="Arial"/>
                <w:sz w:val="18"/>
                <w:szCs w:val="18"/>
                <w:i w:val="1"/>
                <w:iCs w:val="1"/>
                <w:color w:val="auto"/>
                <w:w w:val="90"/>
              </w:rPr>
              <w:t>(U.S. Dollars in thousands)</w:t>
            </w:r>
          </w:p>
        </w:tc>
        <w:tc>
          <w:tcPr>
            <w:tcW w:w="1320" w:type="dxa"/>
            <w:vAlign w:val="bottom"/>
          </w:tcPr>
          <w:p>
            <w:pPr>
              <w:spacing w:after="0"/>
              <w:rPr>
                <w:sz w:val="24"/>
                <w:szCs w:val="24"/>
                <w:color w:val="auto"/>
              </w:rPr>
            </w:pPr>
          </w:p>
        </w:tc>
      </w:tr>
      <w:tr>
        <w:trPr>
          <w:trHeight w:val="486"/>
        </w:trPr>
        <w:tc>
          <w:tcPr>
            <w:tcW w:w="6280" w:type="dxa"/>
            <w:vAlign w:val="bottom"/>
            <w:gridSpan w:val="3"/>
          </w:tcPr>
          <w:p>
            <w:pPr>
              <w:ind w:left="40"/>
              <w:spacing w:after="0"/>
              <w:rPr>
                <w:sz w:val="20"/>
                <w:szCs w:val="20"/>
                <w:color w:val="auto"/>
              </w:rPr>
            </w:pPr>
            <w:r>
              <w:rPr>
                <w:rFonts w:ascii="Arial" w:cs="Arial" w:eastAsia="Arial" w:hAnsi="Arial"/>
                <w:sz w:val="18"/>
                <w:szCs w:val="18"/>
                <w:color w:val="auto"/>
              </w:rPr>
              <w:t>Year-end balance</w:t>
            </w:r>
          </w:p>
        </w:tc>
        <w:tc>
          <w:tcPr>
            <w:tcW w:w="1680" w:type="dxa"/>
            <w:vAlign w:val="bottom"/>
          </w:tcPr>
          <w:p>
            <w:pPr>
              <w:jc w:val="right"/>
              <w:spacing w:after="0"/>
              <w:rPr>
                <w:sz w:val="20"/>
                <w:szCs w:val="20"/>
                <w:color w:val="auto"/>
              </w:rPr>
            </w:pPr>
            <w:r>
              <w:rPr>
                <w:rFonts w:ascii="Arial" w:cs="Arial" w:eastAsia="Arial" w:hAnsi="Arial"/>
                <w:sz w:val="18"/>
                <w:szCs w:val="18"/>
                <w:color w:val="auto"/>
              </w:rPr>
              <w:t>US$ 76,135</w:t>
            </w:r>
          </w:p>
        </w:tc>
        <w:tc>
          <w:tcPr>
            <w:tcW w:w="20" w:type="dxa"/>
            <w:vAlign w:val="bottom"/>
          </w:tcPr>
          <w:p>
            <w:pPr>
              <w:spacing w:after="0"/>
              <w:rPr>
                <w:sz w:val="24"/>
                <w:szCs w:val="24"/>
                <w:color w:val="auto"/>
              </w:rPr>
            </w:pPr>
          </w:p>
        </w:tc>
        <w:tc>
          <w:tcPr>
            <w:tcW w:w="2100" w:type="dxa"/>
            <w:vAlign w:val="bottom"/>
            <w:gridSpan w:val="3"/>
          </w:tcPr>
          <w:p>
            <w:pPr>
              <w:jc w:val="right"/>
              <w:ind w:right="400"/>
              <w:spacing w:after="0"/>
              <w:rPr>
                <w:sz w:val="20"/>
                <w:szCs w:val="20"/>
                <w:color w:val="auto"/>
              </w:rPr>
            </w:pPr>
            <w:r>
              <w:rPr>
                <w:rFonts w:ascii="Arial" w:cs="Arial" w:eastAsia="Arial" w:hAnsi="Arial"/>
                <w:sz w:val="18"/>
                <w:szCs w:val="18"/>
                <w:color w:val="auto"/>
              </w:rPr>
              <w:t>US$ 43,277</w:t>
            </w:r>
          </w:p>
        </w:tc>
        <w:tc>
          <w:tcPr>
            <w:tcW w:w="1320" w:type="dxa"/>
            <w:vAlign w:val="bottom"/>
          </w:tcPr>
          <w:p>
            <w:pPr>
              <w:jc w:val="right"/>
              <w:spacing w:after="0"/>
              <w:rPr>
                <w:sz w:val="20"/>
                <w:szCs w:val="20"/>
                <w:color w:val="auto"/>
              </w:rPr>
            </w:pPr>
            <w:r>
              <w:rPr>
                <w:rFonts w:ascii="Arial" w:cs="Arial" w:eastAsia="Arial" w:hAnsi="Arial"/>
                <w:sz w:val="18"/>
                <w:szCs w:val="18"/>
                <w:color w:val="auto"/>
              </w:rPr>
              <w:t>US$ 62,001</w:t>
            </w:r>
          </w:p>
        </w:tc>
      </w:tr>
      <w:tr>
        <w:trPr>
          <w:trHeight w:val="486"/>
        </w:trPr>
        <w:tc>
          <w:tcPr>
            <w:tcW w:w="6280" w:type="dxa"/>
            <w:vAlign w:val="bottom"/>
            <w:gridSpan w:val="3"/>
          </w:tcPr>
          <w:p>
            <w:pPr>
              <w:ind w:left="40"/>
              <w:spacing w:after="0"/>
              <w:rPr>
                <w:sz w:val="20"/>
                <w:szCs w:val="20"/>
                <w:color w:val="auto"/>
              </w:rPr>
            </w:pPr>
            <w:r>
              <w:rPr>
                <w:rFonts w:ascii="Arial" w:cs="Arial" w:eastAsia="Arial" w:hAnsi="Arial"/>
                <w:sz w:val="18"/>
                <w:szCs w:val="18"/>
                <w:color w:val="auto"/>
              </w:rPr>
              <w:t>Average balance (1)</w:t>
            </w:r>
          </w:p>
        </w:tc>
        <w:tc>
          <w:tcPr>
            <w:tcW w:w="1680" w:type="dxa"/>
            <w:vAlign w:val="bottom"/>
          </w:tcPr>
          <w:p>
            <w:pPr>
              <w:jc w:val="right"/>
              <w:spacing w:after="0"/>
              <w:rPr>
                <w:sz w:val="20"/>
                <w:szCs w:val="20"/>
                <w:color w:val="auto"/>
              </w:rPr>
            </w:pPr>
            <w:r>
              <w:rPr>
                <w:rFonts w:ascii="Arial" w:cs="Arial" w:eastAsia="Arial" w:hAnsi="Arial"/>
                <w:sz w:val="18"/>
                <w:szCs w:val="18"/>
                <w:color w:val="auto"/>
              </w:rPr>
              <w:t>US$ 106,673</w:t>
            </w:r>
          </w:p>
        </w:tc>
        <w:tc>
          <w:tcPr>
            <w:tcW w:w="20" w:type="dxa"/>
            <w:vAlign w:val="bottom"/>
          </w:tcPr>
          <w:p>
            <w:pPr>
              <w:spacing w:after="0"/>
              <w:rPr>
                <w:sz w:val="24"/>
                <w:szCs w:val="24"/>
                <w:color w:val="auto"/>
              </w:rPr>
            </w:pPr>
          </w:p>
        </w:tc>
        <w:tc>
          <w:tcPr>
            <w:tcW w:w="2100" w:type="dxa"/>
            <w:vAlign w:val="bottom"/>
            <w:gridSpan w:val="3"/>
          </w:tcPr>
          <w:p>
            <w:pPr>
              <w:jc w:val="right"/>
              <w:ind w:right="400"/>
              <w:spacing w:after="0"/>
              <w:rPr>
                <w:sz w:val="20"/>
                <w:szCs w:val="20"/>
                <w:color w:val="auto"/>
              </w:rPr>
            </w:pPr>
            <w:r>
              <w:rPr>
                <w:rFonts w:ascii="Arial" w:cs="Arial" w:eastAsia="Arial" w:hAnsi="Arial"/>
                <w:sz w:val="18"/>
                <w:szCs w:val="18"/>
                <w:color w:val="auto"/>
              </w:rPr>
              <w:t>US$ 46,047</w:t>
            </w:r>
          </w:p>
        </w:tc>
        <w:tc>
          <w:tcPr>
            <w:tcW w:w="1320" w:type="dxa"/>
            <w:vAlign w:val="bottom"/>
          </w:tcPr>
          <w:p>
            <w:pPr>
              <w:jc w:val="right"/>
              <w:spacing w:after="0"/>
              <w:rPr>
                <w:sz w:val="20"/>
                <w:szCs w:val="20"/>
                <w:color w:val="auto"/>
              </w:rPr>
            </w:pPr>
            <w:r>
              <w:rPr>
                <w:rFonts w:ascii="Arial" w:cs="Arial" w:eastAsia="Arial" w:hAnsi="Arial"/>
                <w:sz w:val="18"/>
                <w:szCs w:val="18"/>
                <w:color w:val="auto"/>
              </w:rPr>
              <w:t>US$ 41,209</w:t>
            </w:r>
          </w:p>
        </w:tc>
      </w:tr>
      <w:tr>
        <w:trPr>
          <w:trHeight w:val="486"/>
        </w:trPr>
        <w:tc>
          <w:tcPr>
            <w:tcW w:w="6280" w:type="dxa"/>
            <w:vAlign w:val="bottom"/>
            <w:gridSpan w:val="3"/>
          </w:tcPr>
          <w:p>
            <w:pPr>
              <w:ind w:left="40"/>
              <w:spacing w:after="0"/>
              <w:rPr>
                <w:sz w:val="20"/>
                <w:szCs w:val="20"/>
                <w:color w:val="auto"/>
              </w:rPr>
            </w:pPr>
            <w:r>
              <w:rPr>
                <w:rFonts w:ascii="Arial" w:cs="Arial" w:eastAsia="Arial" w:hAnsi="Arial"/>
                <w:sz w:val="18"/>
                <w:szCs w:val="18"/>
                <w:color w:val="auto"/>
              </w:rPr>
              <w:t>Maximum quarter-end balance</w:t>
            </w:r>
          </w:p>
        </w:tc>
        <w:tc>
          <w:tcPr>
            <w:tcW w:w="1680" w:type="dxa"/>
            <w:vAlign w:val="bottom"/>
          </w:tcPr>
          <w:p>
            <w:pPr>
              <w:jc w:val="right"/>
              <w:spacing w:after="0"/>
              <w:rPr>
                <w:sz w:val="20"/>
                <w:szCs w:val="20"/>
                <w:color w:val="auto"/>
              </w:rPr>
            </w:pPr>
            <w:r>
              <w:rPr>
                <w:rFonts w:ascii="Arial" w:cs="Arial" w:eastAsia="Arial" w:hAnsi="Arial"/>
                <w:sz w:val="18"/>
                <w:szCs w:val="18"/>
                <w:color w:val="auto"/>
              </w:rPr>
              <w:t>US$ 163,456</w:t>
            </w:r>
          </w:p>
        </w:tc>
        <w:tc>
          <w:tcPr>
            <w:tcW w:w="20" w:type="dxa"/>
            <w:vAlign w:val="bottom"/>
          </w:tcPr>
          <w:p>
            <w:pPr>
              <w:spacing w:after="0"/>
              <w:rPr>
                <w:sz w:val="24"/>
                <w:szCs w:val="24"/>
                <w:color w:val="auto"/>
              </w:rPr>
            </w:pPr>
          </w:p>
        </w:tc>
        <w:tc>
          <w:tcPr>
            <w:tcW w:w="2100" w:type="dxa"/>
            <w:vAlign w:val="bottom"/>
            <w:gridSpan w:val="3"/>
          </w:tcPr>
          <w:p>
            <w:pPr>
              <w:jc w:val="right"/>
              <w:ind w:right="400"/>
              <w:spacing w:after="0"/>
              <w:rPr>
                <w:sz w:val="20"/>
                <w:szCs w:val="20"/>
                <w:color w:val="auto"/>
              </w:rPr>
            </w:pPr>
            <w:r>
              <w:rPr>
                <w:rFonts w:ascii="Arial" w:cs="Arial" w:eastAsia="Arial" w:hAnsi="Arial"/>
                <w:sz w:val="18"/>
                <w:szCs w:val="18"/>
                <w:color w:val="auto"/>
              </w:rPr>
              <w:t>US$ 51,831</w:t>
            </w:r>
          </w:p>
        </w:tc>
        <w:tc>
          <w:tcPr>
            <w:tcW w:w="1320" w:type="dxa"/>
            <w:vAlign w:val="bottom"/>
          </w:tcPr>
          <w:p>
            <w:pPr>
              <w:jc w:val="right"/>
              <w:spacing w:after="0"/>
              <w:rPr>
                <w:sz w:val="20"/>
                <w:szCs w:val="20"/>
                <w:color w:val="auto"/>
              </w:rPr>
            </w:pPr>
            <w:r>
              <w:rPr>
                <w:rFonts w:ascii="Arial" w:cs="Arial" w:eastAsia="Arial" w:hAnsi="Arial"/>
                <w:sz w:val="18"/>
                <w:szCs w:val="18"/>
                <w:color w:val="auto"/>
              </w:rPr>
              <w:t>US$ 62,960</w:t>
            </w:r>
          </w:p>
        </w:tc>
      </w:tr>
      <w:tr>
        <w:trPr>
          <w:trHeight w:val="486"/>
        </w:trPr>
        <w:tc>
          <w:tcPr>
            <w:tcW w:w="6280" w:type="dxa"/>
            <w:vAlign w:val="bottom"/>
            <w:gridSpan w:val="3"/>
          </w:tcPr>
          <w:p>
            <w:pPr>
              <w:ind w:left="40"/>
              <w:spacing w:after="0"/>
              <w:rPr>
                <w:sz w:val="20"/>
                <w:szCs w:val="20"/>
                <w:color w:val="auto"/>
              </w:rPr>
            </w:pPr>
            <w:r>
              <w:rPr>
                <w:rFonts w:ascii="Arial" w:cs="Arial" w:eastAsia="Arial" w:hAnsi="Arial"/>
                <w:sz w:val="18"/>
                <w:szCs w:val="18"/>
                <w:color w:val="auto"/>
              </w:rPr>
              <w:t>Weighted average nominal</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43"/>
        </w:trPr>
        <w:tc>
          <w:tcPr>
            <w:tcW w:w="180" w:type="dxa"/>
            <w:vAlign w:val="bottom"/>
          </w:tcPr>
          <w:p>
            <w:pPr>
              <w:spacing w:after="0"/>
              <w:rPr>
                <w:sz w:val="21"/>
                <w:szCs w:val="21"/>
                <w:color w:val="auto"/>
              </w:rPr>
            </w:pPr>
          </w:p>
        </w:tc>
        <w:tc>
          <w:tcPr>
            <w:tcW w:w="6100" w:type="dxa"/>
            <w:vAlign w:val="bottom"/>
            <w:gridSpan w:val="2"/>
          </w:tcPr>
          <w:p>
            <w:pPr>
              <w:ind w:left="20"/>
              <w:spacing w:after="0"/>
              <w:rPr>
                <w:sz w:val="20"/>
                <w:szCs w:val="20"/>
                <w:color w:val="auto"/>
              </w:rPr>
            </w:pPr>
            <w:r>
              <w:rPr>
                <w:rFonts w:ascii="Arial" w:cs="Arial" w:eastAsia="Arial" w:hAnsi="Arial"/>
                <w:sz w:val="18"/>
                <w:szCs w:val="18"/>
                <w:color w:val="auto"/>
              </w:rPr>
              <w:t>Year-end interest rate</w:t>
            </w:r>
          </w:p>
        </w:tc>
        <w:tc>
          <w:tcPr>
            <w:tcW w:w="1680" w:type="dxa"/>
            <w:vAlign w:val="bottom"/>
          </w:tcPr>
          <w:p>
            <w:pPr>
              <w:jc w:val="right"/>
              <w:spacing w:after="0"/>
              <w:rPr>
                <w:sz w:val="20"/>
                <w:szCs w:val="20"/>
                <w:color w:val="auto"/>
              </w:rPr>
            </w:pPr>
            <w:r>
              <w:rPr>
                <w:rFonts w:ascii="Arial" w:cs="Arial" w:eastAsia="Arial" w:hAnsi="Arial"/>
                <w:sz w:val="18"/>
                <w:szCs w:val="18"/>
                <w:color w:val="auto"/>
              </w:rPr>
              <w:t>4.52%</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4.71%</w:t>
            </w: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486"/>
        </w:trPr>
        <w:tc>
          <w:tcPr>
            <w:tcW w:w="6280" w:type="dxa"/>
            <w:vAlign w:val="bottom"/>
            <w:gridSpan w:val="3"/>
          </w:tcPr>
          <w:p>
            <w:pPr>
              <w:ind w:left="40"/>
              <w:spacing w:after="0"/>
              <w:rPr>
                <w:sz w:val="20"/>
                <w:szCs w:val="20"/>
                <w:color w:val="auto"/>
              </w:rPr>
            </w:pPr>
            <w:r>
              <w:rPr>
                <w:rFonts w:ascii="Arial" w:cs="Arial" w:eastAsia="Arial" w:hAnsi="Arial"/>
                <w:sz w:val="18"/>
                <w:szCs w:val="18"/>
                <w:color w:val="auto"/>
              </w:rPr>
              <w:t>Weighted average nominal</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43"/>
        </w:trPr>
        <w:tc>
          <w:tcPr>
            <w:tcW w:w="180" w:type="dxa"/>
            <w:vAlign w:val="bottom"/>
          </w:tcPr>
          <w:p>
            <w:pPr>
              <w:spacing w:after="0"/>
              <w:rPr>
                <w:sz w:val="21"/>
                <w:szCs w:val="21"/>
                <w:color w:val="auto"/>
              </w:rPr>
            </w:pPr>
          </w:p>
        </w:tc>
        <w:tc>
          <w:tcPr>
            <w:tcW w:w="6100" w:type="dxa"/>
            <w:vAlign w:val="bottom"/>
            <w:gridSpan w:val="2"/>
          </w:tcPr>
          <w:p>
            <w:pPr>
              <w:ind w:left="40"/>
              <w:spacing w:after="0"/>
              <w:rPr>
                <w:sz w:val="20"/>
                <w:szCs w:val="20"/>
                <w:color w:val="auto"/>
              </w:rPr>
            </w:pPr>
            <w:r>
              <w:rPr>
                <w:rFonts w:ascii="Arial" w:cs="Arial" w:eastAsia="Arial" w:hAnsi="Arial"/>
                <w:sz w:val="18"/>
                <w:szCs w:val="18"/>
                <w:color w:val="auto"/>
              </w:rPr>
              <w:t>interest rate (1)</w:t>
            </w:r>
          </w:p>
        </w:tc>
        <w:tc>
          <w:tcPr>
            <w:tcW w:w="1680" w:type="dxa"/>
            <w:vAlign w:val="bottom"/>
          </w:tcPr>
          <w:p>
            <w:pPr>
              <w:jc w:val="right"/>
              <w:spacing w:after="0"/>
              <w:rPr>
                <w:sz w:val="20"/>
                <w:szCs w:val="20"/>
                <w:color w:val="auto"/>
              </w:rPr>
            </w:pPr>
            <w:r>
              <w:rPr>
                <w:rFonts w:ascii="Arial" w:cs="Arial" w:eastAsia="Arial" w:hAnsi="Arial"/>
                <w:sz w:val="18"/>
                <w:szCs w:val="18"/>
                <w:color w:val="auto"/>
              </w:rPr>
              <w:t>7.23%</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5.38%</w:t>
            </w: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2.85%</w:t>
            </w:r>
          </w:p>
        </w:tc>
      </w:tr>
      <w:tr>
        <w:trPr>
          <w:trHeight w:val="380"/>
        </w:trPr>
        <w:tc>
          <w:tcPr>
            <w:tcW w:w="18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34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63"/>
        </w:trPr>
        <w:tc>
          <w:tcPr>
            <w:tcW w:w="180" w:type="dxa"/>
            <w:vAlign w:val="bottom"/>
          </w:tcPr>
          <w:p>
            <w:pPr>
              <w:spacing w:after="0"/>
              <w:rPr>
                <w:sz w:val="20"/>
                <w:szCs w:val="20"/>
                <w:color w:val="auto"/>
              </w:rPr>
            </w:pPr>
            <w:r>
              <w:rPr>
                <w:rFonts w:ascii="Arial" w:cs="Arial" w:eastAsia="Arial" w:hAnsi="Arial"/>
                <w:sz w:val="14"/>
                <w:szCs w:val="14"/>
                <w:color w:val="auto"/>
                <w:w w:val="93"/>
              </w:rPr>
              <w:t>(1)</w:t>
            </w:r>
          </w:p>
        </w:tc>
        <w:tc>
          <w:tcPr>
            <w:tcW w:w="6100" w:type="dxa"/>
            <w:vAlign w:val="bottom"/>
            <w:gridSpan w:val="2"/>
          </w:tcPr>
          <w:p>
            <w:pPr>
              <w:ind w:left="400"/>
              <w:spacing w:after="0"/>
              <w:rPr>
                <w:sz w:val="20"/>
                <w:szCs w:val="20"/>
                <w:color w:val="auto"/>
              </w:rPr>
            </w:pPr>
            <w:r>
              <w:rPr>
                <w:rFonts w:ascii="Arial" w:cs="Arial" w:eastAsia="Arial" w:hAnsi="Arial"/>
                <w:sz w:val="14"/>
                <w:szCs w:val="14"/>
                <w:color w:val="auto"/>
              </w:rPr>
              <w:t>Determined from the average of quarter-end amounts.</w:t>
            </w:r>
          </w:p>
        </w:tc>
        <w:tc>
          <w:tcPr>
            <w:tcW w:w="1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417"/>
        </w:trPr>
        <w:tc>
          <w:tcPr>
            <w:tcW w:w="6280" w:type="dxa"/>
            <w:vAlign w:val="bottom"/>
            <w:gridSpan w:val="3"/>
          </w:tcPr>
          <w:p>
            <w:pPr>
              <w:spacing w:after="0"/>
              <w:rPr>
                <w:sz w:val="20"/>
                <w:szCs w:val="20"/>
                <w:color w:val="auto"/>
              </w:rPr>
            </w:pPr>
            <w:r>
              <w:rPr>
                <w:rFonts w:ascii="Arial" w:cs="Arial" w:eastAsia="Arial" w:hAnsi="Arial"/>
                <w:sz w:val="18"/>
                <w:szCs w:val="18"/>
                <w:b w:val="1"/>
                <w:bCs w:val="1"/>
                <w:color w:val="auto"/>
              </w:rPr>
              <w:t>(C) Organizational Structure</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-3115310</wp:posOffset>
            </wp:positionV>
            <wp:extent cx="34290" cy="342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-2789555</wp:posOffset>
            </wp:positionV>
            <wp:extent cx="34290" cy="342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-2789555</wp:posOffset>
            </wp:positionV>
            <wp:extent cx="34290" cy="342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-2789555</wp:posOffset>
            </wp:positionV>
            <wp:extent cx="34290" cy="342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-456565</wp:posOffset>
            </wp:positionV>
            <wp:extent cx="34290" cy="342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90" w:lineRule="exact"/>
        <w:rPr>
          <w:sz w:val="20"/>
          <w:szCs w:val="20"/>
          <w:color w:val="auto"/>
        </w:rPr>
      </w:pPr>
    </w:p>
    <w:p>
      <w:pPr>
        <w:jc w:val="both"/>
        <w:ind w:firstLine="216"/>
        <w:spacing w:after="0" w:line="290" w:lineRule="auto"/>
        <w:rPr>
          <w:sz w:val="20"/>
          <w:szCs w:val="20"/>
          <w:color w:val="auto"/>
        </w:rPr>
      </w:pPr>
      <w:r>
        <w:rPr>
          <w:rFonts w:ascii="Arial" w:cs="Arial" w:eastAsia="Arial" w:hAnsi="Arial"/>
          <w:sz w:val="16"/>
          <w:szCs w:val="16"/>
          <w:color w:val="auto"/>
        </w:rPr>
        <w:t>Although historically there has been substantial overlap among the shareholders of BCP, ASHC and PPS, for reasons related to the regulatory, political and economic environment in Perú, they have been managed independently from one another. Credicorp was formed in 1995 by the management of BCP for the purpose of acquiring, pursuant to the Exchange Offer, the common shares of BCP, ASHC and PPS. In the October 1995 Exchange Offer, Credicorp acquired 90.1% of BCP (391,973,951 shares), 98.2% of ASHC (39,346,169 shares), and 75.8% of PPS (5,537,474 shares) in exchange for 60,815,152 Common Shares at a ratio of 0.10401, 0.33708 and 1.2249 Common Shares per common share of BCP, ASHC and PPS, respectively. The Common Shares commenced trading on the New York Stock Exchange immediately upon consummation of the Exchange Offer, with a closing price on such day of US$11.61 (adjusted to reflect stock dividends through May 1999) .</w:t>
      </w:r>
    </w:p>
    <w:p>
      <w:pPr>
        <w:spacing w:after="0" w:line="172" w:lineRule="exact"/>
        <w:rPr>
          <w:sz w:val="20"/>
          <w:szCs w:val="20"/>
          <w:color w:val="auto"/>
        </w:rPr>
      </w:pPr>
    </w:p>
    <w:p>
      <w:pPr>
        <w:jc w:val="both"/>
        <w:ind w:firstLine="176"/>
        <w:spacing w:after="0" w:line="323" w:lineRule="auto"/>
        <w:rPr>
          <w:sz w:val="20"/>
          <w:szCs w:val="20"/>
          <w:color w:val="auto"/>
        </w:rPr>
      </w:pPr>
      <w:r>
        <w:rPr>
          <w:rFonts w:ascii="Arial" w:cs="Arial" w:eastAsia="Arial" w:hAnsi="Arial"/>
          <w:sz w:val="15"/>
          <w:szCs w:val="15"/>
          <w:color w:val="auto"/>
        </w:rPr>
        <w:t>On March 19, 1996, Credicorp acquired pursuant to an exchange offer with the same terms as the Exchange Offer the remaining 1.8% of the outstanding shares of ASHC (702,674 shares) in exchange for 237,859 Common Shares at a ratio of 0.33708 Common Shares per common share of ASHC. The closing price of the Common Shares on the New York Stock Exchange on the date of consummation of that exchange offer was US$10.98 (adjusted to reflect stock dividends). See “Item 9. The Offer and Listing—(A) Offer and Listing Details—Price History of Company's Stock” and “Item 8. Financial Information—Dividend Policy.”</w:t>
      </w:r>
    </w:p>
    <w:p>
      <w:pPr>
        <w:spacing w:after="0" w:line="152" w:lineRule="exact"/>
        <w:rPr>
          <w:sz w:val="20"/>
          <w:szCs w:val="20"/>
          <w:color w:val="auto"/>
        </w:rPr>
      </w:pPr>
    </w:p>
    <w:p>
      <w:pPr>
        <w:jc w:val="both"/>
        <w:ind w:firstLine="284"/>
        <w:spacing w:after="0" w:line="256" w:lineRule="auto"/>
        <w:rPr>
          <w:sz w:val="20"/>
          <w:szCs w:val="20"/>
          <w:color w:val="auto"/>
        </w:rPr>
      </w:pPr>
      <w:r>
        <w:rPr>
          <w:rFonts w:ascii="Arial" w:cs="Arial" w:eastAsia="Arial" w:hAnsi="Arial"/>
          <w:sz w:val="18"/>
          <w:szCs w:val="18"/>
          <w:color w:val="auto"/>
        </w:rPr>
        <w:t xml:space="preserve">Credicorp's management, which consists of certain principal executive officers of BCP, ASHC and PPS, believes that a unified financial group with a coordinated strategy is best able to take advantage of growth in the Peruvian economy and deregulation of the financial services sector, and to achieve synergies from the cross-selling of financial services and products ( </w:t>
      </w:r>
      <w:r>
        <w:rPr>
          <w:rFonts w:ascii="Arial" w:cs="Arial" w:eastAsia="Arial" w:hAnsi="Arial"/>
          <w:sz w:val="18"/>
          <w:szCs w:val="18"/>
          <w:i w:val="1"/>
          <w:iCs w:val="1"/>
          <w:color w:val="auto"/>
        </w:rPr>
        <w:t>e</w:t>
      </w:r>
      <w:r>
        <w:rPr>
          <w:rFonts w:ascii="Arial" w:cs="Arial" w:eastAsia="Arial" w:hAnsi="Arial"/>
          <w:sz w:val="18"/>
          <w:szCs w:val="18"/>
          <w:color w:val="auto"/>
        </w:rPr>
        <w:t xml:space="preserve"> . </w:t>
      </w:r>
      <w:r>
        <w:rPr>
          <w:rFonts w:ascii="Arial" w:cs="Arial" w:eastAsia="Arial" w:hAnsi="Arial"/>
          <w:sz w:val="18"/>
          <w:szCs w:val="18"/>
          <w:i w:val="1"/>
          <w:iCs w:val="1"/>
          <w:color w:val="auto"/>
        </w:rPr>
        <w:t>g</w:t>
      </w:r>
      <w:r>
        <w:rPr>
          <w:rFonts w:ascii="Arial" w:cs="Arial" w:eastAsia="Arial" w:hAnsi="Arial"/>
          <w:sz w:val="18"/>
          <w:szCs w:val="18"/>
          <w:color w:val="auto"/>
        </w:rPr>
        <w:t xml:space="preserve"> ., through BCP's extensive branch network). Credicorp, through its subsidiaries, is the largest Peruvian provider of financial services in Perú.</w:t>
      </w:r>
    </w:p>
    <w:p>
      <w:pPr>
        <w:spacing w:after="0" w:line="197" w:lineRule="exact"/>
        <w:rPr>
          <w:sz w:val="20"/>
          <w:szCs w:val="20"/>
          <w:color w:val="auto"/>
        </w:rPr>
      </w:pPr>
    </w:p>
    <w:p>
      <w:pPr>
        <w:jc w:val="both"/>
        <w:ind w:firstLine="258"/>
        <w:spacing w:after="0" w:line="259" w:lineRule="auto"/>
        <w:rPr>
          <w:sz w:val="20"/>
          <w:szCs w:val="20"/>
          <w:color w:val="auto"/>
        </w:rPr>
      </w:pPr>
      <w:r>
        <w:rPr>
          <w:rFonts w:ascii="Arial" w:cs="Arial" w:eastAsia="Arial" w:hAnsi="Arial"/>
          <w:sz w:val="18"/>
          <w:szCs w:val="18"/>
          <w:color w:val="auto"/>
        </w:rPr>
        <w:t>BCP began operations in 1889 as Banco Italiano and changed its name to Banco de Crédito del Perú in 1941. BCP has been the largest commercial bank in Perú since the 1920s. Members of the Romero family have been shareholders of BCP since 1918 and became the controlling shareholders in 1979. Mr. Dionisio Romero, Chairman of the Board and Chief Executive Officer of Credicorp, was a</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347" w:right="239" w:bottom="1440" w:gutter="0" w:footer="0" w:header="0"/>
        </w:sectPr>
      </w:pPr>
    </w:p>
    <w:bookmarkStart w:id="79" w:name="page80"/>
    <w:bookmarkEnd w:id="79"/>
    <w:p>
      <w:pPr>
        <w:jc w:val="both"/>
        <w:spacing w:after="0" w:line="253" w:lineRule="auto"/>
        <w:rPr>
          <w:sz w:val="20"/>
          <w:szCs w:val="20"/>
          <w:color w:val="auto"/>
        </w:rPr>
      </w:pPr>
      <w:r>
        <w:rPr>
          <w:rFonts w:ascii="Arial" w:cs="Arial" w:eastAsia="Arial" w:hAnsi="Arial"/>
          <w:sz w:val="18"/>
          <w:szCs w:val="18"/>
          <w:color w:val="auto"/>
        </w:rPr>
        <w:t>member of the Board of Directors of BCP from 1966 to 1987, becoming Chairman in 1979. In response to then President of Perú, Alan García's 1987 attempt to nationalize the Peruvian banking industry, the majority shareholders at that time, including Mr. Romero, sold a controlling interest in BCP and transferred management to its employees, which prevented the government from gaining control of BCP. Upon the election of Alberto Fujimori as President of Perú in 1990 and the introduction of market reforms, the Romero family reestablished its shareholding in BCP and Mr. Romero and several former key managers of BCP returned to BCP. See “—(9) Peruvian Government and Economy—(i) Peruvian Government.” Members of the Romero family exchanged their BCP shares in the Exchange Offer, and now hold 15.78% of the Common Shares of Credicorp. See “Item 7. Major Shareholders and Related Party Transactions—(A) Major Shareholders.”</w:t>
      </w:r>
    </w:p>
    <w:p>
      <w:pPr>
        <w:spacing w:after="0" w:line="201" w:lineRule="exact"/>
        <w:rPr>
          <w:sz w:val="20"/>
          <w:szCs w:val="20"/>
          <w:color w:val="auto"/>
        </w:rPr>
      </w:pPr>
    </w:p>
    <w:p>
      <w:pPr>
        <w:jc w:val="both"/>
        <w:ind w:firstLine="166"/>
        <w:spacing w:after="0" w:line="289" w:lineRule="auto"/>
        <w:rPr>
          <w:sz w:val="20"/>
          <w:szCs w:val="20"/>
          <w:color w:val="auto"/>
        </w:rPr>
      </w:pPr>
      <w:r>
        <w:rPr>
          <w:rFonts w:ascii="Arial" w:cs="Arial" w:eastAsia="Arial" w:hAnsi="Arial"/>
          <w:sz w:val="16"/>
          <w:szCs w:val="16"/>
          <w:color w:val="auto"/>
        </w:rPr>
        <w:t>ASHC was organized in December 1981 as a wholly-owned subsidiary of BCP, under the name Crédito del Peru Holding Corporation (“BCP International”), in the Cayman Islands and became the first Peruvian bank to establish an offshore banking presence to serve its Peruvian customers. In 1983, BCP dividended the shares of BCP International to the shareholders of BCP to protect its privately held status in the event that BCP was nationalized. BCP International established its first physical presence offshore (previously having been operated through BCP's corporate offices) by opening an office in Panama in 1984, and opening an agency in Miami in 1986. Also in 1986, BCP International changed its name to Atlantic Security Holding Corporation. As a result of the attempted expropriation by the government in 1987, ASHC's operations and management were made independent of BCP. In 2002, ASHC closed its Miami agency at the same time that BCP opened its agency in the same city. Also in Miami , Credicorp Securities was established as a wholly-owned subsidiary of Credicorp and began operating in early 2003 serviced by former ASHC personnel.</w:t>
      </w:r>
    </w:p>
    <w:p>
      <w:pPr>
        <w:spacing w:after="0" w:line="172" w:lineRule="exact"/>
        <w:rPr>
          <w:sz w:val="20"/>
          <w:szCs w:val="20"/>
          <w:color w:val="auto"/>
        </w:rPr>
      </w:pPr>
    </w:p>
    <w:p>
      <w:pPr>
        <w:jc w:val="both"/>
        <w:ind w:firstLine="176"/>
        <w:spacing w:after="0" w:line="335" w:lineRule="auto"/>
        <w:rPr>
          <w:sz w:val="20"/>
          <w:szCs w:val="20"/>
          <w:color w:val="auto"/>
        </w:rPr>
      </w:pPr>
      <w:r>
        <w:rPr>
          <w:rFonts w:ascii="Arial" w:cs="Arial" w:eastAsia="Arial" w:hAnsi="Arial"/>
          <w:sz w:val="15"/>
          <w:szCs w:val="15"/>
          <w:color w:val="auto"/>
        </w:rPr>
        <w:t>Credicorp owns 75.83% of PPS, which was formed in 1992 as a result of a merger between El Pacífico Compañía de Seguros y Reaseguros S.A. and Compañía de Seguros y Reaseguros Peruano-Suiza S.A., and is the largest Peruvian insurance company in terms of premiums sold. PPS's major subsidiaries are Pacífico Vida, which specializes in life and pension fund insurance, and Pacífico Salud, which provides health insurance as an alternative to public social security.</w:t>
      </w:r>
    </w:p>
    <w:p>
      <w:pPr>
        <w:spacing w:after="0" w:line="142" w:lineRule="exact"/>
        <w:rPr>
          <w:sz w:val="20"/>
          <w:szCs w:val="20"/>
          <w:color w:val="auto"/>
        </w:rPr>
      </w:pPr>
    </w:p>
    <w:p>
      <w:pPr>
        <w:jc w:val="both"/>
        <w:ind w:firstLine="206"/>
        <w:spacing w:after="0" w:line="259" w:lineRule="auto"/>
        <w:rPr>
          <w:sz w:val="20"/>
          <w:szCs w:val="20"/>
          <w:color w:val="auto"/>
        </w:rPr>
      </w:pPr>
      <w:r>
        <w:rPr>
          <w:rFonts w:ascii="Arial" w:cs="Arial" w:eastAsia="Arial" w:hAnsi="Arial"/>
          <w:sz w:val="18"/>
          <w:szCs w:val="18"/>
          <w:color w:val="auto"/>
        </w:rPr>
        <w:t xml:space="preserve">Credicorp owns 99.99% of Inversiones Crédito S.A., with holdings of equity shares in Peruvian electric utilities and other non-financial companies. Through Inversiones Crédito del Perú, Credicorp acquired on May 16, 1996, substantially all of the shares of Inversiones El Pacífico-Peruano Suiza S.A </w:t>
      </w:r>
      <w:r>
        <w:rPr>
          <w:rFonts w:ascii="Arial" w:cs="Arial" w:eastAsia="Arial" w:hAnsi="Arial"/>
          <w:sz w:val="18"/>
          <w:szCs w:val="18"/>
          <w:i w:val="1"/>
          <w:iCs w:val="1"/>
          <w:color w:val="auto"/>
        </w:rPr>
        <w:t>.</w:t>
      </w:r>
      <w:r>
        <w:rPr>
          <w:rFonts w:ascii="Arial" w:cs="Arial" w:eastAsia="Arial" w:hAnsi="Arial"/>
          <w:sz w:val="18"/>
          <w:szCs w:val="18"/>
          <w:color w:val="auto"/>
        </w:rPr>
        <w:t xml:space="preserve"> for US$5.5 million.</w:t>
      </w:r>
    </w:p>
    <w:p>
      <w:pPr>
        <w:spacing w:after="0" w:line="194" w:lineRule="exact"/>
        <w:rPr>
          <w:sz w:val="20"/>
          <w:szCs w:val="20"/>
          <w:color w:val="auto"/>
        </w:rPr>
      </w:pPr>
    </w:p>
    <w:p>
      <w:pPr>
        <w:jc w:val="both"/>
        <w:ind w:right="20" w:firstLine="183"/>
        <w:spacing w:after="0" w:line="268" w:lineRule="auto"/>
        <w:rPr>
          <w:sz w:val="20"/>
          <w:szCs w:val="20"/>
          <w:color w:val="auto"/>
        </w:rPr>
      </w:pPr>
      <w:r>
        <w:rPr>
          <w:rFonts w:ascii="Arial" w:cs="Arial" w:eastAsia="Arial" w:hAnsi="Arial"/>
          <w:sz w:val="18"/>
          <w:szCs w:val="18"/>
          <w:color w:val="auto"/>
        </w:rPr>
        <w:t>BCB (formerly Banco Popular S.A., Bolivia ), another Credicorp subsidiary, was acquired by BCP for US$6.2 million in November 1993. After transferring to BCP a 53.1% stake in November 2001, Credicorp holds directly 2.7% of BCB's equity with the rest held through BCP.</w:t>
      </w:r>
    </w:p>
    <w:p>
      <w:pPr>
        <w:spacing w:after="0" w:line="186" w:lineRule="exact"/>
        <w:rPr>
          <w:sz w:val="20"/>
          <w:szCs w:val="20"/>
          <w:color w:val="auto"/>
        </w:rPr>
      </w:pPr>
    </w:p>
    <w:p>
      <w:pPr>
        <w:jc w:val="both"/>
        <w:ind w:firstLine="200"/>
        <w:spacing w:after="0" w:line="259" w:lineRule="auto"/>
        <w:rPr>
          <w:sz w:val="20"/>
          <w:szCs w:val="20"/>
          <w:color w:val="auto"/>
        </w:rPr>
      </w:pPr>
      <w:r>
        <w:rPr>
          <w:rFonts w:ascii="Arial" w:cs="Arial" w:eastAsia="Arial" w:hAnsi="Arial"/>
          <w:sz w:val="18"/>
          <w:szCs w:val="18"/>
          <w:color w:val="auto"/>
        </w:rPr>
        <w:t>During 2003, BCP converted BCOL, its offshore bank in the Bahamas , into a vehicle to conduct investments and sold it to ASHC, which expects to dissolve BCOL's operations during 2004. BCOL's business of taking offshore U.S. Dollar deposits and making U.S. Dollar-denominated loans to large Peruvian customers has been taken over by both BCP's Panama branch and by ASHC.</w:t>
      </w:r>
    </w:p>
    <w:p>
      <w:pPr>
        <w:spacing w:after="0" w:line="194" w:lineRule="exact"/>
        <w:rPr>
          <w:sz w:val="20"/>
          <w:szCs w:val="20"/>
          <w:color w:val="auto"/>
        </w:rPr>
      </w:pPr>
    </w:p>
    <w:p>
      <w:pPr>
        <w:jc w:val="both"/>
        <w:ind w:firstLine="263"/>
        <w:spacing w:after="0" w:line="259" w:lineRule="auto"/>
        <w:rPr>
          <w:sz w:val="20"/>
          <w:szCs w:val="20"/>
          <w:color w:val="auto"/>
        </w:rPr>
      </w:pPr>
      <w:r>
        <w:rPr>
          <w:rFonts w:ascii="Arial" w:cs="Arial" w:eastAsia="Arial" w:hAnsi="Arial"/>
          <w:sz w:val="18"/>
          <w:szCs w:val="18"/>
          <w:color w:val="auto"/>
        </w:rPr>
        <w:t>In December 2002, BCP acquired BSCH-Perú, which was merged into BCP on February 28, 2003. Solución, which specialized in consumer and micro-business lending, was merged into BCP's Peruvian banking operations in March 2004 after becoming a wholly-owned subsidiary of BCP in March 2003 as a result of BCP acquiring the remaining 45% of Solución's equity interests.</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Credileasing conducts lease financing operations and began operating in July 1996.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347" w:right="239" w:bottom="1440" w:gutter="0" w:footer="0" w:header="0"/>
        </w:sectPr>
      </w:pPr>
    </w:p>
    <w:bookmarkStart w:id="80" w:name="page81"/>
    <w:bookmarkEnd w:id="80"/>
    <w:p>
      <w:pPr>
        <w:jc w:val="both"/>
        <w:ind w:firstLine="212"/>
        <w:spacing w:after="0" w:line="290" w:lineRule="auto"/>
        <w:rPr>
          <w:sz w:val="20"/>
          <w:szCs w:val="20"/>
          <w:color w:val="auto"/>
        </w:rPr>
      </w:pPr>
      <w:r>
        <w:rPr>
          <w:rFonts w:ascii="Arial" w:cs="Arial" w:eastAsia="Arial" w:hAnsi="Arial"/>
          <w:sz w:val="16"/>
          <w:szCs w:val="16"/>
          <w:color w:val="auto"/>
        </w:rPr>
        <w:t xml:space="preserve">In January 1997, Credicorp purchased 99.99% of Banco Tequendama, a Colombian bank with US$390 million in assets and a minor presence in Venezuela , for US$48.0 million. In December 2002, Banco Tequendama's branches in Venezuela were sold to local investors. Credicorp purchased Banco Tequendama from the </w:t>
      </w:r>
      <w:r>
        <w:rPr>
          <w:rFonts w:ascii="Arial" w:cs="Arial" w:eastAsia="Arial" w:hAnsi="Arial"/>
          <w:sz w:val="16"/>
          <w:szCs w:val="16"/>
          <w:i w:val="1"/>
          <w:iCs w:val="1"/>
          <w:color w:val="auto"/>
        </w:rPr>
        <w:t>Fondo de Garantía de Depósitos y Protección Bancaria</w:t>
      </w:r>
      <w:r>
        <w:rPr>
          <w:rFonts w:ascii="Arial" w:cs="Arial" w:eastAsia="Arial" w:hAnsi="Arial"/>
          <w:sz w:val="16"/>
          <w:szCs w:val="16"/>
          <w:color w:val="auto"/>
        </w:rPr>
        <w:t xml:space="preserve"> (“FOGADE”), the Venezuelan government entity responsible for the re-privatization of assets seized by that government in connection with the widespread problems faced by the Venezuelan banking sector beginning in 1994. Credicorp, along with FOGADE and FOGADE's financial adviser, have been sued in Aruba by the former owners of Banco Tequendama, who are seeking compensation for damages. The Judge in the Court of first instance in Aruba dismissed the claim and the plaintiff appealed. In April 2004, the Court of Appeals in Aruba rejected all claims from the former owners. The former owners had originally sued unsuccessfully in Colombia .</w:t>
      </w:r>
    </w:p>
    <w:p>
      <w:pPr>
        <w:spacing w:after="0" w:line="172" w:lineRule="exact"/>
        <w:rPr>
          <w:sz w:val="20"/>
          <w:szCs w:val="20"/>
          <w:color w:val="auto"/>
        </w:rPr>
      </w:pPr>
    </w:p>
    <w:p>
      <w:pPr>
        <w:jc w:val="both"/>
        <w:ind w:firstLine="176"/>
        <w:spacing w:after="0" w:line="332" w:lineRule="auto"/>
        <w:rPr>
          <w:sz w:val="20"/>
          <w:szCs w:val="20"/>
          <w:color w:val="auto"/>
        </w:rPr>
      </w:pPr>
      <w:r>
        <w:rPr>
          <w:rFonts w:ascii="Arial" w:cs="Arial" w:eastAsia="Arial" w:hAnsi="Arial"/>
          <w:sz w:val="16"/>
          <w:szCs w:val="16"/>
          <w:color w:val="auto"/>
        </w:rPr>
        <w:t>In December 1997, Credicorp extended its presence into El Salvador through the acquisitions of Banco Capital for US$5.8 million and Casa de Bolsa Capital, a brokerage house, for US$800,000. Credicorp sold its interest in Banco Capital in November 2001 and liquidated the brokerage house in 2002.</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Property, Plant and Equipment</w:t>
      </w:r>
    </w:p>
    <w:p>
      <w:pPr>
        <w:spacing w:after="0" w:line="231" w:lineRule="exact"/>
        <w:rPr>
          <w:sz w:val="20"/>
          <w:szCs w:val="20"/>
          <w:color w:val="auto"/>
        </w:rPr>
      </w:pPr>
    </w:p>
    <w:p>
      <w:pPr>
        <w:jc w:val="both"/>
        <w:ind w:firstLine="179"/>
        <w:spacing w:after="0" w:line="256" w:lineRule="auto"/>
        <w:rPr>
          <w:sz w:val="20"/>
          <w:szCs w:val="20"/>
          <w:color w:val="auto"/>
        </w:rPr>
      </w:pPr>
      <w:r>
        <w:rPr>
          <w:rFonts w:ascii="Arial" w:cs="Arial" w:eastAsia="Arial" w:hAnsi="Arial"/>
          <w:sz w:val="18"/>
          <w:szCs w:val="18"/>
          <w:color w:val="auto"/>
        </w:rPr>
        <w:t>At December 31, 2003, Credicorp had 349 branches, representative and similar offices, of which 116 were branch offices of BCP in Greater Lima. Credicorp's principal properties include the headquarters of BCP, at Calle Centenario 156, La Molina , Lima 12, Perú, and the headquarters of PPS at Avenida Arequipa 660, Lima , Perú. Credicorp owns these properties, with the exception of approximately 70 properties which it holds under leases. There are no material encumbrances on any of Credicorp's properties.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347" w:right="239" w:bottom="1440" w:gutter="0" w:footer="0" w:header="0"/>
        </w:sectPr>
      </w:pPr>
    </w:p>
    <w:bookmarkStart w:id="81" w:name="page82"/>
    <w:bookmarkEnd w:id="81"/>
    <w:p>
      <w:pPr>
        <w:jc w:val="right"/>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OPERATING AND FINANCIAL REVIEW AND PROSPECTS</w:t>
      </w:r>
    </w:p>
    <w:p>
      <w:pPr>
        <w:spacing w:after="0" w:line="225" w:lineRule="exact"/>
        <w:rPr>
          <w:sz w:val="20"/>
          <w:szCs w:val="20"/>
          <w:color w:val="auto"/>
        </w:rPr>
      </w:pPr>
    </w:p>
    <w:p>
      <w:pPr>
        <w:ind w:left="300" w:hanging="292"/>
        <w:spacing w:after="0"/>
        <w:tabs>
          <w:tab w:leader="none" w:pos="3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Results</w:t>
      </w:r>
    </w:p>
    <w:p>
      <w:pPr>
        <w:spacing w:after="0" w:line="225" w:lineRule="exact"/>
        <w:rPr>
          <w:rFonts w:ascii="Arial" w:cs="Arial" w:eastAsia="Arial" w:hAnsi="Arial"/>
          <w:sz w:val="18"/>
          <w:szCs w:val="18"/>
          <w:b w:val="1"/>
          <w:bCs w:val="1"/>
          <w:color w:val="auto"/>
        </w:rPr>
      </w:pPr>
    </w:p>
    <w:p>
      <w:pPr>
        <w:ind w:left="440" w:hanging="256"/>
        <w:spacing w:after="0"/>
        <w:tabs>
          <w:tab w:leader="none" w:pos="440" w:val="left"/>
        </w:tabs>
        <w:numPr>
          <w:ilvl w:val="1"/>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jc w:val="both"/>
        <w:ind w:firstLine="243"/>
        <w:spacing w:after="0" w:line="294" w:lineRule="auto"/>
        <w:rPr>
          <w:sz w:val="20"/>
          <w:szCs w:val="20"/>
          <w:color w:val="auto"/>
        </w:rPr>
      </w:pPr>
      <w:r>
        <w:rPr>
          <w:rFonts w:ascii="Arial" w:cs="Arial" w:eastAsia="Arial" w:hAnsi="Arial"/>
          <w:sz w:val="16"/>
          <w:szCs w:val="16"/>
          <w:color w:val="auto"/>
        </w:rPr>
        <w:t>Accounting policies applied by Credicorp are integral to the understanding of its results of operations and financial condition. The accounting policies are described in Note 3—Significant Accounting Policies to the Credicorp Consolidated Financial Statements, which are prepared in accordance with IFRS. Additionally, Note 24 to the Credicorp Consolidated Financial Statements describes certain significant differences between IFRS and U.S. GAAP. Some of these accounting policies are considered critical because, in Credicorp's opinion, they have an important effect on Credicorp's financial position and its results of operations and require difficult, subjective or complex judgments. The following is a summary of those critical accounting policies.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Provision for loan losses</w:t>
      </w:r>
    </w:p>
    <w:p>
      <w:pPr>
        <w:spacing w:after="0" w:line="225" w:lineRule="exact"/>
        <w:rPr>
          <w:sz w:val="20"/>
          <w:szCs w:val="20"/>
          <w:color w:val="auto"/>
        </w:rPr>
      </w:pPr>
    </w:p>
    <w:p>
      <w:pPr>
        <w:jc w:val="both"/>
        <w:ind w:firstLine="230"/>
        <w:spacing w:after="0" w:line="285" w:lineRule="auto"/>
        <w:rPr>
          <w:sz w:val="20"/>
          <w:szCs w:val="20"/>
          <w:color w:val="auto"/>
        </w:rPr>
      </w:pPr>
      <w:r>
        <w:rPr>
          <w:rFonts w:ascii="Arial" w:cs="Arial" w:eastAsia="Arial" w:hAnsi="Arial"/>
          <w:sz w:val="16"/>
          <w:szCs w:val="16"/>
          <w:color w:val="auto"/>
        </w:rPr>
        <w:t>The allowance for loan losses represents the estimate of the probable losses of the loan portfolio at the end of each reporting period. The methodology for determining reserves for loan losses is further described in “Item 4. Information on the Company—(B) Business Overview—(12) Selected Statistical Information —(iii) Loan Portfolio—Classification of the Loan Portfolio.” The determination of the amount of the allowance for loan losses by its nature involves judgments regarding various risk factors. This is especially true for the determination of the allowance for micro-businesses, mortgages and consumer credits because such credits are reviewed on a portfolio basis and with consideration of past due installments. Many factors can affect estimation of the range of losses in each of the categories for which Credicorp estimates the allowance on a portfolio basis. These factors include the methodology used to measure historical delinquency, the determination of the historical period to be considered in such measurements, any legal proceedings brought against specific clients, economic conditions in the different countries in which loans are made (country risk), historical loan loss experience, and appraisal of the loan portfolio, as well as other factors which, in our opinion, require recognition in estimating possible loan losses. The provision is increased for loans for which Credicorp cannot recover the outstanding amount. In such cases, the provision is the difference between the book value and the recoverable amount, which is determined by the present value of expected future cash flows, including the recoverable amount of guarantees. Although Credicorp's models are frequently revised and improved, changes in the Peruvian economy and the short credit history of some clients result in increased uncertainty in these models. The use of different estimates or assumptions could produce different provisions for loan losses and changes in the macro-economic, political and regulatory Peruvian environment could affect the determination of the allowance for loans losses. See “Item 3. Key Information—(D) Risk Factors.”</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Investments</w:t>
      </w:r>
    </w:p>
    <w:p>
      <w:pPr>
        <w:spacing w:after="0" w:line="225" w:lineRule="exact"/>
        <w:rPr>
          <w:sz w:val="20"/>
          <w:szCs w:val="20"/>
          <w:color w:val="auto"/>
        </w:rPr>
      </w:pPr>
    </w:p>
    <w:p>
      <w:pPr>
        <w:jc w:val="both"/>
        <w:ind w:firstLine="189"/>
        <w:spacing w:after="0" w:line="259" w:lineRule="auto"/>
        <w:rPr>
          <w:sz w:val="20"/>
          <w:szCs w:val="20"/>
          <w:color w:val="auto"/>
        </w:rPr>
      </w:pPr>
      <w:r>
        <w:rPr>
          <w:rFonts w:ascii="Arial" w:cs="Arial" w:eastAsia="Arial" w:hAnsi="Arial"/>
          <w:sz w:val="18"/>
          <w:szCs w:val="18"/>
          <w:color w:val="auto"/>
        </w:rPr>
        <w:t>Beginning in 2001, Credicorp classified its investments in accordance with IAS 39. Management determines the classification of its investments at the date of their purchase and evaluates such classification periodically. On January 1, 2001, Credicorp recognized a credit to retained earnings of US$4.5 million as a result of the adoption of IAS 39 relating to the accounting treatment of investments available-for-sale.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31" w:right="239" w:bottom="1440" w:gutter="0" w:footer="0" w:header="0"/>
        </w:sectPr>
      </w:pPr>
    </w:p>
    <w:bookmarkStart w:id="82" w:name="page83"/>
    <w:bookmarkEnd w:id="82"/>
    <w:p>
      <w:pPr>
        <w:ind w:left="220"/>
        <w:spacing w:after="0"/>
        <w:rPr>
          <w:sz w:val="20"/>
          <w:szCs w:val="20"/>
          <w:color w:val="auto"/>
        </w:rPr>
      </w:pPr>
      <w:r>
        <w:rPr>
          <w:rFonts w:ascii="Arial" w:cs="Arial" w:eastAsia="Arial" w:hAnsi="Arial"/>
          <w:sz w:val="16"/>
          <w:szCs w:val="16"/>
          <w:color w:val="auto"/>
        </w:rPr>
        <w:t>The accounting treatment of our securities depends on whether we classify them at acquisition as trading, available-for-sale or held-to-maturity investments.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Classification at acquisition date in each of the three categories implies judgment about our expectations as to our strategy concerning each specific security.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Changes in circumstances may modify our strategy with respect to a specific security requiring a transfer among the three categories indicated above.</w:t>
      </w:r>
    </w:p>
    <w:p>
      <w:pPr>
        <w:spacing w:after="0" w:line="24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Fair value of financial instruments</w:t>
      </w:r>
    </w:p>
    <w:p>
      <w:pPr>
        <w:spacing w:after="0" w:line="225" w:lineRule="exact"/>
        <w:rPr>
          <w:sz w:val="20"/>
          <w:szCs w:val="20"/>
          <w:color w:val="auto"/>
        </w:rPr>
      </w:pPr>
    </w:p>
    <w:p>
      <w:pPr>
        <w:jc w:val="both"/>
        <w:ind w:firstLine="203"/>
        <w:spacing w:after="0" w:line="289" w:lineRule="auto"/>
        <w:rPr>
          <w:sz w:val="20"/>
          <w:szCs w:val="20"/>
          <w:color w:val="auto"/>
        </w:rPr>
      </w:pPr>
      <w:r>
        <w:rPr>
          <w:rFonts w:ascii="Arial" w:cs="Arial" w:eastAsia="Arial" w:hAnsi="Arial"/>
          <w:sz w:val="16"/>
          <w:szCs w:val="16"/>
          <w:color w:val="auto"/>
        </w:rPr>
        <w:t>Financial instruments recorded at fair value on our balance sheet include mainly securities classified as trading and available-for-sale and other trading assets including derivatives. Fair value is defined as the value at which a position could be closed-out or sold in a transaction with a willing and knowledgeable party. We estimate fair value using quoted market prices when available. When quoted market prices are not available we use a variety of models, which include pricing models, comparisons to quoted prices of instruments with similar characteristics or discounted cash flow analysis. The determination of fair value when quoted market prices are not available involves management judgment. For example, there is often limited historical market data to rely upon when estimating the impact of holding a significant position or a position acquired a long time ago. Similarly, judgment must be applied in estimating prices when no external parameters exist. Other factors that can affect the estimates are incorrect model assumptions and unexpected correlations. The imprecision in estimating these factors may affect the amount of revenue or loss recorded for a specific asset or liability.</w:t>
      </w:r>
    </w:p>
    <w:p>
      <w:pPr>
        <w:spacing w:after="0" w:line="17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jc w:val="both"/>
        <w:ind w:firstLine="243"/>
        <w:spacing w:after="0" w:line="298" w:lineRule="auto"/>
        <w:rPr>
          <w:sz w:val="20"/>
          <w:szCs w:val="20"/>
          <w:color w:val="auto"/>
        </w:rPr>
      </w:pPr>
      <w:r>
        <w:rPr>
          <w:rFonts w:ascii="Arial" w:cs="Arial" w:eastAsia="Arial" w:hAnsi="Arial"/>
          <w:sz w:val="16"/>
          <w:szCs w:val="16"/>
          <w:color w:val="auto"/>
        </w:rPr>
        <w:t>Transactions with derivatives, while providing effective economic hedges, do not qualify for hedge accounting under the specific rules of IAS 39 and are therefore treated as derivatives held for trading. Derivative financial instruments are initially registered at cost and are subsequently remeasured at their fair value. Fair values are obtained based on market exchange rates or interest rates. All derivatives are carried as assets when fair value is positive and as liabilities when fair value is negative. Gain and losses for changes in their fair values are recorded in the income statement.</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Insurance reserves</w:t>
      </w:r>
    </w:p>
    <w:p>
      <w:pPr>
        <w:spacing w:after="0" w:line="225" w:lineRule="exact"/>
        <w:rPr>
          <w:sz w:val="20"/>
          <w:szCs w:val="20"/>
          <w:color w:val="auto"/>
        </w:rPr>
      </w:pPr>
    </w:p>
    <w:p>
      <w:pPr>
        <w:jc w:val="both"/>
        <w:ind w:firstLine="203"/>
        <w:spacing w:after="0" w:line="306" w:lineRule="auto"/>
        <w:rPr>
          <w:sz w:val="20"/>
          <w:szCs w:val="20"/>
          <w:color w:val="auto"/>
        </w:rPr>
      </w:pPr>
      <w:r>
        <w:rPr>
          <w:rFonts w:ascii="Arial" w:cs="Arial" w:eastAsia="Arial" w:hAnsi="Arial"/>
          <w:sz w:val="16"/>
          <w:szCs w:val="16"/>
          <w:color w:val="auto"/>
        </w:rPr>
        <w:t>PPS establishes insurance reserves for the following types of claims: reserves for casualty claims that have been reported but not paid, reserves in respect of IBNR claims, reserves for future benefit obligations under in-force life and accident insurance policies and unearned premium reserves. These reserves collectively appear on Credicorp's consolidated balance sheet as “Reserve for Property and Casualty Claims” and “Reserve for Unearned Premiums.”</w:t>
      </w:r>
    </w:p>
    <w:p>
      <w:pPr>
        <w:spacing w:after="0" w:line="161"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Casualty claims are recorded when reported. The incurred but not reported claims (IBNR) are estimated and reflected as a liability, net of recoveries and reinsurance. The IBNR at December 31, 2003 and 2002 have been estimated by taking into consideration the arithmetic progression of the percentages calculated over the actual figures for the past seven years. Management considers that the estimated amount is sufficient to cover any liability related to IBNR at December 31, 2003 and 2002.</w:t>
      </w:r>
    </w:p>
    <w:p>
      <w:pPr>
        <w:spacing w:after="0" w:line="197" w:lineRule="exact"/>
        <w:rPr>
          <w:sz w:val="20"/>
          <w:szCs w:val="20"/>
          <w:color w:val="auto"/>
        </w:rPr>
      </w:pPr>
    </w:p>
    <w:p>
      <w:pPr>
        <w:jc w:val="both"/>
        <w:ind w:firstLine="176"/>
        <w:spacing w:after="0" w:line="268" w:lineRule="auto"/>
        <w:rPr>
          <w:sz w:val="20"/>
          <w:szCs w:val="20"/>
          <w:color w:val="auto"/>
        </w:rPr>
      </w:pPr>
      <w:r>
        <w:rPr>
          <w:rFonts w:ascii="Arial" w:cs="Arial" w:eastAsia="Arial" w:hAnsi="Arial"/>
          <w:sz w:val="18"/>
          <w:szCs w:val="18"/>
          <w:color w:val="auto"/>
        </w:rPr>
        <w:t>PPS establishes reserves calculated to meet its obligations under its life and accident policies by using mortality tables, morbidity assumptions and interest rate projections.</w:t>
      </w:r>
    </w:p>
    <w:p>
      <w:pPr>
        <w:spacing w:after="0" w:line="186" w:lineRule="exact"/>
        <w:rPr>
          <w:sz w:val="20"/>
          <w:szCs w:val="20"/>
          <w:color w:val="auto"/>
        </w:rPr>
      </w:pPr>
    </w:p>
    <w:p>
      <w:pPr>
        <w:jc w:val="both"/>
        <w:ind w:firstLine="284"/>
        <w:spacing w:after="0" w:line="259" w:lineRule="auto"/>
        <w:rPr>
          <w:sz w:val="20"/>
          <w:szCs w:val="20"/>
          <w:color w:val="auto"/>
        </w:rPr>
      </w:pPr>
      <w:r>
        <w:rPr>
          <w:rFonts w:ascii="Arial" w:cs="Arial" w:eastAsia="Arial" w:hAnsi="Arial"/>
          <w:sz w:val="18"/>
          <w:szCs w:val="18"/>
          <w:color w:val="auto"/>
        </w:rPr>
        <w:t>Reserves for life insurance policies are estimated using a net level premium method on the basis of actuarial assumptions as to mortality and interest established at product design. The mortality assumptions established at product design are based on experience which, together with interest assumptions, include a margin for adverse deviation. Additional reserves for specific future benefits, like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347" w:right="239" w:bottom="1440" w:gutter="0" w:footer="0" w:header="0"/>
        </w:sectPr>
      </w:pPr>
    </w:p>
    <w:bookmarkStart w:id="83" w:name="page84"/>
    <w:bookmarkEnd w:id="83"/>
    <w:p>
      <w:pPr>
        <w:jc w:val="both"/>
        <w:ind w:right="20"/>
        <w:spacing w:after="0" w:line="332" w:lineRule="auto"/>
        <w:rPr>
          <w:sz w:val="20"/>
          <w:szCs w:val="20"/>
          <w:color w:val="auto"/>
        </w:rPr>
      </w:pPr>
      <w:r>
        <w:rPr>
          <w:rFonts w:ascii="Arial" w:cs="Arial" w:eastAsia="Arial" w:hAnsi="Arial"/>
          <w:sz w:val="16"/>
          <w:szCs w:val="16"/>
          <w:color w:val="auto"/>
        </w:rPr>
        <w:t>participating life policies, endowment and return of premium policies are computed using international standards. Benefit liabilities for annuities during the accumulation period are equal to accumulated contractholders' fund balances and after annuitization are equal to the present value of expected future payments.</w:t>
      </w:r>
    </w:p>
    <w:p>
      <w:pPr>
        <w:spacing w:after="0" w:line="139"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8"/>
          <w:szCs w:val="18"/>
          <w:color w:val="auto"/>
        </w:rPr>
        <w:t>Policyholders' funds for universal life and investment-type products, including or not an interest guaranteed and funding agreements, are equal to the policyholder account values. Policy benefits that are charged to expense include benefit claims incurred in the period in excess of related policy account balances and interest credited to policyholders' account balances.</w:t>
      </w:r>
    </w:p>
    <w:p>
      <w:pPr>
        <w:spacing w:after="0" w:line="194" w:lineRule="exact"/>
        <w:rPr>
          <w:sz w:val="20"/>
          <w:szCs w:val="20"/>
          <w:color w:val="auto"/>
        </w:rPr>
      </w:pPr>
    </w:p>
    <w:p>
      <w:pPr>
        <w:jc w:val="both"/>
        <w:ind w:firstLine="189"/>
        <w:spacing w:after="0" w:line="256" w:lineRule="auto"/>
        <w:rPr>
          <w:sz w:val="20"/>
          <w:szCs w:val="20"/>
          <w:color w:val="auto"/>
        </w:rPr>
      </w:pPr>
      <w:r>
        <w:rPr>
          <w:rFonts w:ascii="Arial" w:cs="Arial" w:eastAsia="Arial" w:hAnsi="Arial"/>
          <w:sz w:val="18"/>
          <w:szCs w:val="18"/>
          <w:color w:val="auto"/>
        </w:rPr>
        <w:t>Unearned premium reserves are established to cover the risks of policy lapse or termination prior to the end of the policy period. These reserves are calculated on an individual basis for each policy or coverage certificate, applying the unearned portion of the total risk. A premium deficiency reserve is established when the reserve for unearned premiums becomes insufficient to cover the risks and future expenses that correspond to the unexpired period of coverage at the date of calculation.</w:t>
      </w:r>
    </w:p>
    <w:p>
      <w:pPr>
        <w:spacing w:after="0" w:line="197" w:lineRule="exact"/>
        <w:rPr>
          <w:sz w:val="20"/>
          <w:szCs w:val="20"/>
          <w:color w:val="auto"/>
        </w:rPr>
      </w:pPr>
    </w:p>
    <w:p>
      <w:pPr>
        <w:jc w:val="both"/>
        <w:ind w:firstLine="216"/>
        <w:spacing w:after="0" w:line="306" w:lineRule="auto"/>
        <w:rPr>
          <w:sz w:val="20"/>
          <w:szCs w:val="20"/>
          <w:color w:val="auto"/>
        </w:rPr>
      </w:pPr>
      <w:r>
        <w:rPr>
          <w:rFonts w:ascii="Arial" w:cs="Arial" w:eastAsia="Arial" w:hAnsi="Arial"/>
          <w:sz w:val="16"/>
          <w:szCs w:val="16"/>
          <w:color w:val="auto"/>
        </w:rPr>
        <w:t>PPS's insurance reserves are calculated using actuarial principles and a variety of assumptions, including, as mentioned above, mortality tables, interest rate estimates and historical claim payment patterns. See Note 3(f) to the Credicorp Consolidated Financial Statements. Although Credicorp frequently revises its models and assumptions, there is inherent uncertainty in the process of estimation of insurance reserves.</w:t>
      </w:r>
    </w:p>
    <w:p>
      <w:pPr>
        <w:spacing w:after="0" w:line="161" w:lineRule="exact"/>
        <w:rPr>
          <w:sz w:val="20"/>
          <w:szCs w:val="20"/>
          <w:color w:val="auto"/>
        </w:rPr>
      </w:pPr>
    </w:p>
    <w:p>
      <w:pPr>
        <w:jc w:val="both"/>
        <w:ind w:firstLine="203"/>
        <w:spacing w:after="0" w:line="332" w:lineRule="auto"/>
        <w:rPr>
          <w:sz w:val="20"/>
          <w:szCs w:val="20"/>
          <w:color w:val="auto"/>
        </w:rPr>
      </w:pPr>
      <w:r>
        <w:rPr>
          <w:rFonts w:ascii="Arial" w:cs="Arial" w:eastAsia="Arial" w:hAnsi="Arial"/>
          <w:sz w:val="16"/>
          <w:szCs w:val="16"/>
          <w:color w:val="auto"/>
        </w:rPr>
        <w:t>Furthermore, changes in variables such as healthcare costs and mortality rates or macro-economic factors, including Perú's political, economic and regulatory environment, could affect the assumptions used in the estimation of insurance reserves, contributing to uncertainty in the estimation of insurance reserves.</w:t>
      </w:r>
    </w:p>
    <w:p>
      <w:pPr>
        <w:spacing w:after="0" w:line="13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jc w:val="both"/>
        <w:ind w:firstLine="230"/>
        <w:spacing w:after="0" w:line="306" w:lineRule="auto"/>
        <w:rPr>
          <w:sz w:val="20"/>
          <w:szCs w:val="20"/>
          <w:color w:val="auto"/>
        </w:rPr>
      </w:pPr>
      <w:r>
        <w:rPr>
          <w:rFonts w:ascii="Arial" w:cs="Arial" w:eastAsia="Arial" w:hAnsi="Arial"/>
          <w:sz w:val="16"/>
          <w:szCs w:val="16"/>
          <w:color w:val="auto"/>
        </w:rPr>
        <w:t>In presenting the financial statements, management also makes estimates and assumptions that include the amount of valuation allowances on deferred tax assets, the amount of insurance reserves, the selection of useful lives of certain assets and the determination of whether a specific asset or group of assets has been impaired. Estimates, by their nature, are based on judgment and available information. Therefore, actual results could differ from those estimates.</w:t>
      </w:r>
    </w:p>
    <w:p>
      <w:pPr>
        <w:spacing w:after="0" w:line="15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(2) Historical Discussion and Analysis</w:t>
      </w:r>
    </w:p>
    <w:p>
      <w:pPr>
        <w:spacing w:after="0" w:line="231" w:lineRule="exact"/>
        <w:rPr>
          <w:sz w:val="20"/>
          <w:szCs w:val="20"/>
          <w:color w:val="auto"/>
        </w:rPr>
      </w:pPr>
    </w:p>
    <w:p>
      <w:pPr>
        <w:jc w:val="both"/>
        <w:ind w:firstLine="176"/>
        <w:spacing w:after="0" w:line="291" w:lineRule="auto"/>
        <w:rPr>
          <w:sz w:val="20"/>
          <w:szCs w:val="20"/>
          <w:color w:val="auto"/>
        </w:rPr>
      </w:pPr>
      <w:r>
        <w:rPr>
          <w:rFonts w:ascii="Arial" w:cs="Arial" w:eastAsia="Arial" w:hAnsi="Arial"/>
          <w:sz w:val="16"/>
          <w:szCs w:val="16"/>
          <w:color w:val="auto"/>
        </w:rPr>
        <w:t>The following discussion is based upon information contained in the Credicorp Consolidated Financial Statements and should be read in conjunction therewith. The Credicorp Consolidated Financial Statements have been prepared in accordance with IFRS, which differ in certain significant respects from U.S. GAAP. See Note 24 to the Credicorp Consolidated Financial Statements, which provides a description of the significant differences between IFRS and U.S. GAAP as they relate to Credicorp, and a reconciliation to U.S. GAAP of Credicorp's net income and shareholders' equity. The discussion in this section regarding interest rates is based on nominal interest rates. For a comparison of nominal interest rates with real interest rates, see “Item 4. Information on the Company—(B) Business Overview—(12) Selected Statistical Information—(i) Average Balance Sheets and Income from Interest-Earning Assets—Real Average Interest Rates.”</w:t>
      </w:r>
    </w:p>
    <w:p>
      <w:pPr>
        <w:spacing w:after="0" w:line="174" w:lineRule="exact"/>
        <w:rPr>
          <w:sz w:val="20"/>
          <w:szCs w:val="20"/>
          <w:color w:val="auto"/>
        </w:rPr>
      </w:pPr>
    </w:p>
    <w:p>
      <w:pPr>
        <w:jc w:val="both"/>
        <w:ind w:firstLine="176"/>
        <w:spacing w:after="0" w:line="268" w:lineRule="auto"/>
        <w:rPr>
          <w:sz w:val="20"/>
          <w:szCs w:val="20"/>
          <w:color w:val="auto"/>
        </w:rPr>
      </w:pPr>
      <w:r>
        <w:rPr>
          <w:rFonts w:ascii="Arial" w:cs="Arial" w:eastAsia="Arial" w:hAnsi="Arial"/>
          <w:sz w:val="18"/>
          <w:szCs w:val="18"/>
          <w:color w:val="auto"/>
        </w:rPr>
        <w:t>The financial information and discussion and analysis presented below for 2001, 2002 and 2003 reflect the financial position and results of operations for 2001, 2002 and 2003 of Credicorp's subsidiaries. See “Item 3. Key Information—(A) Selected Financial Data.”</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347" w:right="239" w:bottom="1440" w:gutter="0" w:footer="0" w:header="0"/>
        </w:sectPr>
      </w:pPr>
    </w:p>
    <w:bookmarkStart w:id="84" w:name="page85"/>
    <w:bookmarkEnd w:id="84"/>
    <w:p>
      <w:pPr>
        <w:jc w:val="both"/>
        <w:ind w:firstLine="176"/>
        <w:spacing w:after="0" w:line="256" w:lineRule="auto"/>
        <w:rPr>
          <w:sz w:val="20"/>
          <w:szCs w:val="20"/>
          <w:color w:val="auto"/>
        </w:rPr>
      </w:pPr>
      <w:r>
        <w:rPr>
          <w:rFonts w:ascii="Arial" w:cs="Arial" w:eastAsia="Arial" w:hAnsi="Arial"/>
          <w:sz w:val="18"/>
          <w:szCs w:val="18"/>
          <w:color w:val="auto"/>
        </w:rPr>
        <w:t>At December 31, 2003, approximately 78.2% of Credicorp's deposits and 83.9% of its loans were denominated in foreign currencies, reflecting the historic lack of confidence in the Peruvian currency stemming from high inflation rates in prior years. With the reduction in the rate of inflation, Credicorp has begun to attract more Nuevo Sol-denominated deposits and to offer more Nuevo Sol-denominated loans. Nevertheless, Credicorp expects the majority of its deposits and loans to continue to be denominated in foreign currencies.</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Results of Operations for the Three Years Ended December 31, 2003</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sets forth, for the years 2001, 2002 and 2003, the principal components of Credicorp's net income:</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6240" w:type="dxa"/>
            <w:vAlign w:val="bottom"/>
          </w:tcPr>
          <w:p>
            <w:pPr>
              <w:spacing w:after="0"/>
              <w:rPr>
                <w:sz w:val="19"/>
                <w:szCs w:val="19"/>
                <w:color w:val="auto"/>
              </w:rPr>
            </w:pPr>
          </w:p>
        </w:tc>
        <w:tc>
          <w:tcPr>
            <w:tcW w:w="3800" w:type="dxa"/>
            <w:vAlign w:val="bottom"/>
            <w:gridSpan w:val="5"/>
          </w:tcPr>
          <w:p>
            <w:pPr>
              <w:jc w:val="center"/>
              <w:ind w:left="1212"/>
              <w:spacing w:after="0"/>
              <w:rPr>
                <w:sz w:val="20"/>
                <w:szCs w:val="20"/>
                <w:color w:val="auto"/>
              </w:rPr>
            </w:pPr>
            <w:r>
              <w:rPr>
                <w:rFonts w:ascii="Arial" w:cs="Arial" w:eastAsia="Arial" w:hAnsi="Arial"/>
                <w:sz w:val="18"/>
                <w:szCs w:val="18"/>
                <w:b w:val="1"/>
                <w:bCs w:val="1"/>
                <w:color w:val="auto"/>
                <w:w w:val="86"/>
              </w:rPr>
              <w:t>Year ended December 31,</w:t>
            </w: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6240" w:type="dxa"/>
            <w:vAlign w:val="bottom"/>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43"/>
        </w:trPr>
        <w:tc>
          <w:tcPr>
            <w:tcW w:w="6240" w:type="dxa"/>
            <w:vAlign w:val="bottom"/>
          </w:tcPr>
          <w:p>
            <w:pPr>
              <w:spacing w:after="0"/>
              <w:rPr>
                <w:sz w:val="24"/>
                <w:szCs w:val="24"/>
                <w:color w:val="auto"/>
              </w:rPr>
            </w:pPr>
          </w:p>
        </w:tc>
        <w:tc>
          <w:tcPr>
            <w:tcW w:w="1680" w:type="dxa"/>
            <w:vAlign w:val="bottom"/>
          </w:tcPr>
          <w:p>
            <w:pPr>
              <w:jc w:val="right"/>
              <w:ind w:right="572"/>
              <w:spacing w:after="0"/>
              <w:rPr>
                <w:sz w:val="20"/>
                <w:szCs w:val="20"/>
                <w:color w:val="auto"/>
              </w:rPr>
            </w:pPr>
            <w:r>
              <w:rPr>
                <w:rFonts w:ascii="Arial" w:cs="Arial" w:eastAsia="Arial" w:hAnsi="Arial"/>
                <w:sz w:val="18"/>
                <w:szCs w:val="18"/>
                <w:b w:val="1"/>
                <w:bCs w:val="1"/>
                <w:color w:val="auto"/>
              </w:rPr>
              <w:t>2001</w:t>
            </w:r>
          </w:p>
        </w:tc>
        <w:tc>
          <w:tcPr>
            <w:tcW w:w="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4"/>
              </w:rPr>
              <w:t>2002</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jc w:val="right"/>
              <w:ind w:right="592"/>
              <w:spacing w:after="0"/>
              <w:rPr>
                <w:sz w:val="20"/>
                <w:szCs w:val="20"/>
                <w:color w:val="auto"/>
              </w:rPr>
            </w:pPr>
            <w:r>
              <w:rPr>
                <w:rFonts w:ascii="Arial" w:cs="Arial" w:eastAsia="Arial" w:hAnsi="Arial"/>
                <w:sz w:val="18"/>
                <w:szCs w:val="18"/>
                <w:b w:val="1"/>
                <w:bCs w:val="1"/>
                <w:color w:val="auto"/>
              </w:rPr>
              <w:t>2003</w:t>
            </w:r>
          </w:p>
        </w:tc>
        <w:tc>
          <w:tcPr>
            <w:tcW w:w="0" w:type="dxa"/>
            <w:vAlign w:val="bottom"/>
          </w:tcPr>
          <w:p>
            <w:pPr>
              <w:spacing w:after="0"/>
              <w:rPr>
                <w:sz w:val="1"/>
                <w:szCs w:val="1"/>
                <w:color w:val="auto"/>
              </w:rPr>
            </w:pPr>
          </w:p>
        </w:tc>
      </w:tr>
      <w:tr>
        <w:trPr>
          <w:trHeight w:val="151"/>
        </w:trPr>
        <w:tc>
          <w:tcPr>
            <w:tcW w:w="6240" w:type="dxa"/>
            <w:vAlign w:val="bottom"/>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43"/>
        </w:trPr>
        <w:tc>
          <w:tcPr>
            <w:tcW w:w="6240" w:type="dxa"/>
            <w:vAlign w:val="bottom"/>
          </w:tcPr>
          <w:p>
            <w:pPr>
              <w:spacing w:after="0"/>
              <w:rPr>
                <w:sz w:val="24"/>
                <w:szCs w:val="24"/>
                <w:color w:val="auto"/>
              </w:rPr>
            </w:pPr>
          </w:p>
        </w:tc>
        <w:tc>
          <w:tcPr>
            <w:tcW w:w="3800" w:type="dxa"/>
            <w:vAlign w:val="bottom"/>
            <w:gridSpan w:val="5"/>
          </w:tcPr>
          <w:p>
            <w:pPr>
              <w:jc w:val="center"/>
              <w:ind w:left="1212"/>
              <w:spacing w:after="0"/>
              <w:rPr>
                <w:sz w:val="20"/>
                <w:szCs w:val="20"/>
                <w:color w:val="auto"/>
              </w:rPr>
            </w:pPr>
            <w:r>
              <w:rPr>
                <w:rFonts w:ascii="Arial" w:cs="Arial" w:eastAsia="Arial" w:hAnsi="Arial"/>
                <w:sz w:val="18"/>
                <w:szCs w:val="18"/>
                <w:i w:val="1"/>
                <w:iCs w:val="1"/>
                <w:color w:val="auto"/>
                <w:w w:val="90"/>
              </w:rPr>
              <w:t>(U.S. Dollars in thousands)</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Interest income</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US$694,772</w:t>
            </w:r>
          </w:p>
        </w:tc>
        <w:tc>
          <w:tcPr>
            <w:tcW w:w="2100" w:type="dxa"/>
            <w:vAlign w:val="bottom"/>
            <w:gridSpan w:val="3"/>
          </w:tcPr>
          <w:p>
            <w:pPr>
              <w:jc w:val="right"/>
              <w:ind w:right="400"/>
              <w:spacing w:after="0"/>
              <w:rPr>
                <w:sz w:val="20"/>
                <w:szCs w:val="20"/>
                <w:color w:val="auto"/>
              </w:rPr>
            </w:pPr>
            <w:r>
              <w:rPr>
                <w:rFonts w:ascii="Arial" w:cs="Arial" w:eastAsia="Arial" w:hAnsi="Arial"/>
                <w:sz w:val="18"/>
                <w:szCs w:val="18"/>
                <w:color w:val="auto"/>
              </w:rPr>
              <w:t>US$531,874</w:t>
            </w:r>
          </w:p>
        </w:tc>
        <w:tc>
          <w:tcPr>
            <w:tcW w:w="1320" w:type="dxa"/>
            <w:vAlign w:val="bottom"/>
          </w:tcPr>
          <w:p>
            <w:pPr>
              <w:jc w:val="right"/>
              <w:spacing w:after="0"/>
              <w:rPr>
                <w:sz w:val="20"/>
                <w:szCs w:val="20"/>
                <w:color w:val="auto"/>
              </w:rPr>
            </w:pPr>
            <w:r>
              <w:rPr>
                <w:rFonts w:ascii="Arial" w:cs="Arial" w:eastAsia="Arial" w:hAnsi="Arial"/>
                <w:sz w:val="18"/>
                <w:szCs w:val="18"/>
                <w:color w:val="auto"/>
              </w:rPr>
              <w:t>US$548,285</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Interest expense</w:t>
            </w:r>
          </w:p>
        </w:tc>
        <w:tc>
          <w:tcPr>
            <w:tcW w:w="1680" w:type="dxa"/>
            <w:vAlign w:val="bottom"/>
          </w:tcPr>
          <w:p>
            <w:pPr>
              <w:jc w:val="right"/>
              <w:spacing w:after="0"/>
              <w:rPr>
                <w:sz w:val="20"/>
                <w:szCs w:val="20"/>
                <w:color w:val="auto"/>
              </w:rPr>
            </w:pPr>
            <w:r>
              <w:rPr>
                <w:rFonts w:ascii="Arial" w:cs="Arial" w:eastAsia="Arial" w:hAnsi="Arial"/>
                <w:sz w:val="18"/>
                <w:szCs w:val="18"/>
                <w:color w:val="auto"/>
              </w:rPr>
              <w:t>318,542</w:t>
            </w:r>
          </w:p>
        </w:tc>
        <w:tc>
          <w:tcPr>
            <w:tcW w:w="20" w:type="dxa"/>
            <w:vAlign w:val="bottom"/>
          </w:tcPr>
          <w:p>
            <w:pPr>
              <w:spacing w:after="0"/>
              <w:rPr>
                <w:sz w:val="21"/>
                <w:szCs w:val="21"/>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178,070</w:t>
            </w: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162,314</w:t>
            </w:r>
          </w:p>
        </w:tc>
        <w:tc>
          <w:tcPr>
            <w:tcW w:w="0" w:type="dxa"/>
            <w:vAlign w:val="bottom"/>
          </w:tcPr>
          <w:p>
            <w:pPr>
              <w:spacing w:after="0"/>
              <w:rPr>
                <w:sz w:val="1"/>
                <w:szCs w:val="1"/>
                <w:color w:val="auto"/>
              </w:rPr>
            </w:pPr>
          </w:p>
        </w:tc>
      </w:tr>
      <w:tr>
        <w:trPr>
          <w:trHeight w:val="151"/>
        </w:trPr>
        <w:tc>
          <w:tcPr>
            <w:tcW w:w="6240" w:type="dxa"/>
            <w:vAlign w:val="bottom"/>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43"/>
        </w:trPr>
        <w:tc>
          <w:tcPr>
            <w:tcW w:w="6240" w:type="dxa"/>
            <w:vAlign w:val="bottom"/>
          </w:tcPr>
          <w:p>
            <w:pPr>
              <w:ind w:left="180"/>
              <w:spacing w:after="0"/>
              <w:rPr>
                <w:sz w:val="20"/>
                <w:szCs w:val="20"/>
                <w:color w:val="auto"/>
              </w:rPr>
            </w:pPr>
            <w:r>
              <w:rPr>
                <w:rFonts w:ascii="Arial" w:cs="Arial" w:eastAsia="Arial" w:hAnsi="Arial"/>
                <w:sz w:val="18"/>
                <w:szCs w:val="18"/>
                <w:color w:val="auto"/>
              </w:rPr>
              <w:t>Net interest income</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US$376,230</w:t>
            </w:r>
          </w:p>
        </w:tc>
        <w:tc>
          <w:tcPr>
            <w:tcW w:w="2100" w:type="dxa"/>
            <w:vAlign w:val="bottom"/>
            <w:gridSpan w:val="3"/>
          </w:tcPr>
          <w:p>
            <w:pPr>
              <w:jc w:val="right"/>
              <w:ind w:right="400"/>
              <w:spacing w:after="0"/>
              <w:rPr>
                <w:sz w:val="20"/>
                <w:szCs w:val="20"/>
                <w:color w:val="auto"/>
              </w:rPr>
            </w:pPr>
            <w:r>
              <w:rPr>
                <w:rFonts w:ascii="Arial" w:cs="Arial" w:eastAsia="Arial" w:hAnsi="Arial"/>
                <w:sz w:val="18"/>
                <w:szCs w:val="18"/>
                <w:color w:val="auto"/>
              </w:rPr>
              <w:t>US$353,804</w:t>
            </w:r>
          </w:p>
        </w:tc>
        <w:tc>
          <w:tcPr>
            <w:tcW w:w="1320" w:type="dxa"/>
            <w:vAlign w:val="bottom"/>
          </w:tcPr>
          <w:p>
            <w:pPr>
              <w:jc w:val="right"/>
              <w:spacing w:after="0"/>
              <w:rPr>
                <w:sz w:val="20"/>
                <w:szCs w:val="20"/>
                <w:color w:val="auto"/>
              </w:rPr>
            </w:pPr>
            <w:r>
              <w:rPr>
                <w:rFonts w:ascii="Arial" w:cs="Arial" w:eastAsia="Arial" w:hAnsi="Arial"/>
                <w:sz w:val="18"/>
                <w:szCs w:val="18"/>
                <w:color w:val="auto"/>
              </w:rPr>
              <w:t>US$385,971</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680" w:type="dxa"/>
            <w:vAlign w:val="bottom"/>
          </w:tcPr>
          <w:p>
            <w:pPr>
              <w:jc w:val="right"/>
              <w:spacing w:after="0"/>
              <w:rPr>
                <w:sz w:val="20"/>
                <w:szCs w:val="20"/>
                <w:color w:val="auto"/>
              </w:rPr>
            </w:pPr>
            <w:r>
              <w:rPr>
                <w:rFonts w:ascii="Arial" w:cs="Arial" w:eastAsia="Arial" w:hAnsi="Arial"/>
                <w:sz w:val="18"/>
                <w:szCs w:val="18"/>
                <w:color w:val="auto"/>
              </w:rPr>
              <w:t>119,422</w:t>
            </w:r>
          </w:p>
        </w:tc>
        <w:tc>
          <w:tcPr>
            <w:tcW w:w="20" w:type="dxa"/>
            <w:vAlign w:val="bottom"/>
          </w:tcPr>
          <w:p>
            <w:pPr>
              <w:spacing w:after="0"/>
              <w:rPr>
                <w:sz w:val="21"/>
                <w:szCs w:val="21"/>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99,596</w:t>
            </w: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66,421</w:t>
            </w:r>
          </w:p>
        </w:tc>
        <w:tc>
          <w:tcPr>
            <w:tcW w:w="0" w:type="dxa"/>
            <w:vAlign w:val="bottom"/>
          </w:tcPr>
          <w:p>
            <w:pPr>
              <w:spacing w:after="0"/>
              <w:rPr>
                <w:sz w:val="1"/>
                <w:szCs w:val="1"/>
                <w:color w:val="auto"/>
              </w:rPr>
            </w:pPr>
          </w:p>
        </w:tc>
      </w:tr>
      <w:tr>
        <w:trPr>
          <w:trHeight w:val="151"/>
        </w:trPr>
        <w:tc>
          <w:tcPr>
            <w:tcW w:w="6240" w:type="dxa"/>
            <w:vAlign w:val="bottom"/>
            <w:vMerge w:val="restart"/>
          </w:tcPr>
          <w:p>
            <w:pPr>
              <w:ind w:left="180"/>
              <w:spacing w:after="0"/>
              <w:rPr>
                <w:sz w:val="20"/>
                <w:szCs w:val="20"/>
                <w:color w:val="auto"/>
              </w:rPr>
            </w:pPr>
            <w:r>
              <w:rPr>
                <w:rFonts w:ascii="Arial" w:cs="Arial" w:eastAsia="Arial" w:hAnsi="Arial"/>
                <w:sz w:val="18"/>
                <w:szCs w:val="18"/>
                <w:color w:val="auto"/>
              </w:rPr>
              <w:t>Net interest income after</w:t>
            </w:r>
          </w:p>
        </w:tc>
        <w:tc>
          <w:tcPr>
            <w:tcW w:w="168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36"/>
        </w:trPr>
        <w:tc>
          <w:tcPr>
            <w:tcW w:w="624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240" w:type="dxa"/>
            <w:vAlign w:val="bottom"/>
          </w:tcPr>
          <w:p>
            <w:pPr>
              <w:ind w:left="340"/>
              <w:spacing w:after="0"/>
              <w:rPr>
                <w:sz w:val="20"/>
                <w:szCs w:val="20"/>
                <w:color w:val="auto"/>
              </w:rPr>
            </w:pPr>
            <w:r>
              <w:rPr>
                <w:rFonts w:ascii="Arial" w:cs="Arial" w:eastAsia="Arial" w:hAnsi="Arial"/>
                <w:sz w:val="18"/>
                <w:szCs w:val="18"/>
                <w:color w:val="auto"/>
              </w:rPr>
              <w:t>Provision</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US$256,808</w:t>
            </w:r>
          </w:p>
        </w:tc>
        <w:tc>
          <w:tcPr>
            <w:tcW w:w="2100" w:type="dxa"/>
            <w:vAlign w:val="bottom"/>
            <w:gridSpan w:val="3"/>
          </w:tcPr>
          <w:p>
            <w:pPr>
              <w:jc w:val="right"/>
              <w:ind w:right="400"/>
              <w:spacing w:after="0"/>
              <w:rPr>
                <w:sz w:val="20"/>
                <w:szCs w:val="20"/>
                <w:color w:val="auto"/>
              </w:rPr>
            </w:pPr>
            <w:r>
              <w:rPr>
                <w:rFonts w:ascii="Arial" w:cs="Arial" w:eastAsia="Arial" w:hAnsi="Arial"/>
                <w:sz w:val="18"/>
                <w:szCs w:val="18"/>
                <w:color w:val="auto"/>
              </w:rPr>
              <w:t>US$254,208</w:t>
            </w:r>
          </w:p>
        </w:tc>
        <w:tc>
          <w:tcPr>
            <w:tcW w:w="1320" w:type="dxa"/>
            <w:vAlign w:val="bottom"/>
          </w:tcPr>
          <w:p>
            <w:pPr>
              <w:jc w:val="right"/>
              <w:spacing w:after="0"/>
              <w:rPr>
                <w:sz w:val="20"/>
                <w:szCs w:val="20"/>
                <w:color w:val="auto"/>
              </w:rPr>
            </w:pPr>
            <w:r>
              <w:rPr>
                <w:rFonts w:ascii="Arial" w:cs="Arial" w:eastAsia="Arial" w:hAnsi="Arial"/>
                <w:sz w:val="18"/>
                <w:szCs w:val="18"/>
                <w:color w:val="auto"/>
              </w:rPr>
              <w:t>US$319,550</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Noninterest income</w:t>
            </w:r>
          </w:p>
        </w:tc>
        <w:tc>
          <w:tcPr>
            <w:tcW w:w="1680" w:type="dxa"/>
            <w:vAlign w:val="bottom"/>
          </w:tcPr>
          <w:p>
            <w:pPr>
              <w:jc w:val="right"/>
              <w:spacing w:after="0"/>
              <w:rPr>
                <w:sz w:val="20"/>
                <w:szCs w:val="20"/>
                <w:color w:val="auto"/>
              </w:rPr>
            </w:pPr>
            <w:r>
              <w:rPr>
                <w:rFonts w:ascii="Arial" w:cs="Arial" w:eastAsia="Arial" w:hAnsi="Arial"/>
                <w:sz w:val="18"/>
                <w:szCs w:val="18"/>
                <w:color w:val="auto"/>
              </w:rPr>
              <w:t>329,050</w:t>
            </w:r>
          </w:p>
        </w:tc>
        <w:tc>
          <w:tcPr>
            <w:tcW w:w="20" w:type="dxa"/>
            <w:vAlign w:val="bottom"/>
          </w:tcPr>
          <w:p>
            <w:pPr>
              <w:spacing w:after="0"/>
              <w:rPr>
                <w:sz w:val="21"/>
                <w:szCs w:val="21"/>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335,659</w:t>
            </w: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363,464</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Claims on insurance activities</w:t>
            </w:r>
          </w:p>
        </w:tc>
        <w:tc>
          <w:tcPr>
            <w:tcW w:w="1680" w:type="dxa"/>
            <w:vAlign w:val="bottom"/>
          </w:tcPr>
          <w:p>
            <w:pPr>
              <w:jc w:val="right"/>
              <w:spacing w:after="0"/>
              <w:rPr>
                <w:sz w:val="20"/>
                <w:szCs w:val="20"/>
                <w:color w:val="auto"/>
              </w:rPr>
            </w:pPr>
            <w:r>
              <w:rPr>
                <w:rFonts w:ascii="Arial" w:cs="Arial" w:eastAsia="Arial" w:hAnsi="Arial"/>
                <w:sz w:val="18"/>
                <w:szCs w:val="18"/>
                <w:color w:val="auto"/>
              </w:rPr>
              <w:t>97,017</w:t>
            </w:r>
          </w:p>
        </w:tc>
        <w:tc>
          <w:tcPr>
            <w:tcW w:w="20" w:type="dxa"/>
            <w:vAlign w:val="bottom"/>
          </w:tcPr>
          <w:p>
            <w:pPr>
              <w:spacing w:after="0"/>
              <w:rPr>
                <w:sz w:val="21"/>
                <w:szCs w:val="21"/>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97,901</w:t>
            </w: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99,774</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Other expenses</w:t>
            </w:r>
          </w:p>
        </w:tc>
        <w:tc>
          <w:tcPr>
            <w:tcW w:w="1680" w:type="dxa"/>
            <w:vAlign w:val="bottom"/>
          </w:tcPr>
          <w:p>
            <w:pPr>
              <w:jc w:val="right"/>
              <w:spacing w:after="0"/>
              <w:rPr>
                <w:sz w:val="20"/>
                <w:szCs w:val="20"/>
                <w:color w:val="auto"/>
              </w:rPr>
            </w:pPr>
            <w:r>
              <w:rPr>
                <w:rFonts w:ascii="Arial" w:cs="Arial" w:eastAsia="Arial" w:hAnsi="Arial"/>
                <w:sz w:val="18"/>
                <w:szCs w:val="18"/>
                <w:color w:val="auto"/>
              </w:rPr>
              <w:t>390,779</w:t>
            </w:r>
          </w:p>
        </w:tc>
        <w:tc>
          <w:tcPr>
            <w:tcW w:w="20" w:type="dxa"/>
            <w:vAlign w:val="bottom"/>
          </w:tcPr>
          <w:p>
            <w:pPr>
              <w:spacing w:after="0"/>
              <w:rPr>
                <w:sz w:val="21"/>
                <w:szCs w:val="21"/>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404,186</w:t>
            </w: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430,373</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Merger costs</w:t>
            </w:r>
          </w:p>
        </w:tc>
        <w:tc>
          <w:tcPr>
            <w:tcW w:w="168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1"/>
                <w:szCs w:val="21"/>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18,587</w:t>
            </w:r>
          </w:p>
        </w:tc>
        <w:tc>
          <w:tcPr>
            <w:tcW w:w="0" w:type="dxa"/>
            <w:vAlign w:val="bottom"/>
          </w:tcPr>
          <w:p>
            <w:pPr>
              <w:spacing w:after="0"/>
              <w:rPr>
                <w:sz w:val="1"/>
                <w:szCs w:val="1"/>
                <w:color w:val="auto"/>
              </w:rPr>
            </w:pPr>
          </w:p>
        </w:tc>
      </w:tr>
      <w:tr>
        <w:trPr>
          <w:trHeight w:val="151"/>
        </w:trPr>
        <w:tc>
          <w:tcPr>
            <w:tcW w:w="6240" w:type="dxa"/>
            <w:vAlign w:val="bottom"/>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43"/>
        </w:trPr>
        <w:tc>
          <w:tcPr>
            <w:tcW w:w="6240" w:type="dxa"/>
            <w:vAlign w:val="bottom"/>
          </w:tcPr>
          <w:p>
            <w:pPr>
              <w:ind w:left="180"/>
              <w:spacing w:after="0"/>
              <w:rPr>
                <w:sz w:val="20"/>
                <w:szCs w:val="20"/>
                <w:color w:val="auto"/>
              </w:rPr>
            </w:pPr>
            <w:r>
              <w:rPr>
                <w:rFonts w:ascii="Arial" w:cs="Arial" w:eastAsia="Arial" w:hAnsi="Arial"/>
                <w:sz w:val="18"/>
                <w:szCs w:val="18"/>
                <w:color w:val="auto"/>
              </w:rPr>
              <w:t>Income before translation result, income tax and minority interest</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US$98,062</w:t>
            </w:r>
          </w:p>
        </w:tc>
        <w:tc>
          <w:tcPr>
            <w:tcW w:w="2100" w:type="dxa"/>
            <w:vAlign w:val="bottom"/>
            <w:gridSpan w:val="3"/>
          </w:tcPr>
          <w:p>
            <w:pPr>
              <w:jc w:val="right"/>
              <w:ind w:right="400"/>
              <w:spacing w:after="0"/>
              <w:rPr>
                <w:sz w:val="20"/>
                <w:szCs w:val="20"/>
                <w:color w:val="auto"/>
              </w:rPr>
            </w:pPr>
            <w:r>
              <w:rPr>
                <w:rFonts w:ascii="Arial" w:cs="Arial" w:eastAsia="Arial" w:hAnsi="Arial"/>
                <w:sz w:val="18"/>
                <w:szCs w:val="18"/>
                <w:color w:val="auto"/>
              </w:rPr>
              <w:t>US$87,780</w:t>
            </w:r>
          </w:p>
        </w:tc>
        <w:tc>
          <w:tcPr>
            <w:tcW w:w="1320" w:type="dxa"/>
            <w:vAlign w:val="bottom"/>
          </w:tcPr>
          <w:p>
            <w:pPr>
              <w:jc w:val="right"/>
              <w:spacing w:after="0"/>
              <w:rPr>
                <w:sz w:val="20"/>
                <w:szCs w:val="20"/>
                <w:color w:val="auto"/>
              </w:rPr>
            </w:pPr>
            <w:r>
              <w:rPr>
                <w:rFonts w:ascii="Arial" w:cs="Arial" w:eastAsia="Arial" w:hAnsi="Arial"/>
                <w:sz w:val="18"/>
                <w:szCs w:val="18"/>
                <w:color w:val="auto"/>
              </w:rPr>
              <w:t>US$134,280</w:t>
            </w:r>
          </w:p>
        </w:tc>
        <w:tc>
          <w:tcPr>
            <w:tcW w:w="0" w:type="dxa"/>
            <w:vAlign w:val="bottom"/>
          </w:tcPr>
          <w:p>
            <w:pPr>
              <w:spacing w:after="0"/>
              <w:rPr>
                <w:sz w:val="1"/>
                <w:szCs w:val="1"/>
                <w:color w:val="auto"/>
              </w:rPr>
            </w:pPr>
          </w:p>
        </w:tc>
      </w:tr>
      <w:tr>
        <w:trPr>
          <w:trHeight w:val="151"/>
        </w:trPr>
        <w:tc>
          <w:tcPr>
            <w:tcW w:w="6240" w:type="dxa"/>
            <w:vAlign w:val="bottom"/>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43"/>
        </w:trPr>
        <w:tc>
          <w:tcPr>
            <w:tcW w:w="6240" w:type="dxa"/>
            <w:vAlign w:val="bottom"/>
          </w:tcPr>
          <w:p>
            <w:pPr>
              <w:spacing w:after="0"/>
              <w:rPr>
                <w:sz w:val="20"/>
                <w:szCs w:val="20"/>
                <w:color w:val="auto"/>
              </w:rPr>
            </w:pPr>
            <w:r>
              <w:rPr>
                <w:rFonts w:ascii="Arial" w:cs="Arial" w:eastAsia="Arial" w:hAnsi="Arial"/>
                <w:sz w:val="18"/>
                <w:szCs w:val="18"/>
                <w:color w:val="auto"/>
              </w:rPr>
              <w:t>Translation result (loss) gain</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US$(2,575)</w:t>
            </w:r>
          </w:p>
        </w:tc>
        <w:tc>
          <w:tcPr>
            <w:tcW w:w="2100" w:type="dxa"/>
            <w:vAlign w:val="bottom"/>
            <w:gridSpan w:val="3"/>
          </w:tcPr>
          <w:p>
            <w:pPr>
              <w:jc w:val="right"/>
              <w:ind w:right="400"/>
              <w:spacing w:after="0"/>
              <w:rPr>
                <w:sz w:val="20"/>
                <w:szCs w:val="20"/>
                <w:color w:val="auto"/>
              </w:rPr>
            </w:pPr>
            <w:r>
              <w:rPr>
                <w:rFonts w:ascii="Arial" w:cs="Arial" w:eastAsia="Arial" w:hAnsi="Arial"/>
                <w:sz w:val="18"/>
                <w:szCs w:val="18"/>
                <w:color w:val="auto"/>
              </w:rPr>
              <w:t>US$(2,482)</w:t>
            </w:r>
          </w:p>
        </w:tc>
        <w:tc>
          <w:tcPr>
            <w:tcW w:w="1320" w:type="dxa"/>
            <w:vAlign w:val="bottom"/>
          </w:tcPr>
          <w:p>
            <w:pPr>
              <w:jc w:val="right"/>
              <w:spacing w:after="0"/>
              <w:rPr>
                <w:sz w:val="20"/>
                <w:szCs w:val="20"/>
                <w:color w:val="auto"/>
              </w:rPr>
            </w:pPr>
            <w:r>
              <w:rPr>
                <w:rFonts w:ascii="Arial" w:cs="Arial" w:eastAsia="Arial" w:hAnsi="Arial"/>
                <w:sz w:val="18"/>
                <w:szCs w:val="18"/>
                <w:color w:val="auto"/>
              </w:rPr>
              <w:t>US$(3,675)</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Income tax</w:t>
            </w:r>
          </w:p>
        </w:tc>
        <w:tc>
          <w:tcPr>
            <w:tcW w:w="1680" w:type="dxa"/>
            <w:vAlign w:val="bottom"/>
          </w:tcPr>
          <w:p>
            <w:pPr>
              <w:jc w:val="right"/>
              <w:spacing w:after="0"/>
              <w:rPr>
                <w:sz w:val="20"/>
                <w:szCs w:val="20"/>
                <w:color w:val="auto"/>
              </w:rPr>
            </w:pPr>
            <w:r>
              <w:rPr>
                <w:rFonts w:ascii="Arial" w:cs="Arial" w:eastAsia="Arial" w:hAnsi="Arial"/>
                <w:sz w:val="18"/>
                <w:szCs w:val="18"/>
                <w:color w:val="auto"/>
              </w:rPr>
              <w:t>(25,135)</w:t>
            </w:r>
          </w:p>
        </w:tc>
        <w:tc>
          <w:tcPr>
            <w:tcW w:w="20" w:type="dxa"/>
            <w:vAlign w:val="bottom"/>
          </w:tcPr>
          <w:p>
            <w:pPr>
              <w:spacing w:after="0"/>
              <w:rPr>
                <w:sz w:val="21"/>
                <w:szCs w:val="21"/>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(32,628)</w:t>
            </w: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(39,695)</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Minority interest</w:t>
            </w:r>
          </w:p>
        </w:tc>
        <w:tc>
          <w:tcPr>
            <w:tcW w:w="1680" w:type="dxa"/>
            <w:vAlign w:val="bottom"/>
          </w:tcPr>
          <w:p>
            <w:pPr>
              <w:jc w:val="right"/>
              <w:spacing w:after="0"/>
              <w:rPr>
                <w:sz w:val="20"/>
                <w:szCs w:val="20"/>
                <w:color w:val="auto"/>
              </w:rPr>
            </w:pPr>
            <w:r>
              <w:rPr>
                <w:rFonts w:ascii="Arial" w:cs="Arial" w:eastAsia="Arial" w:hAnsi="Arial"/>
                <w:sz w:val="18"/>
                <w:szCs w:val="18"/>
                <w:color w:val="auto"/>
              </w:rPr>
              <w:t>(15,839)</w:t>
            </w:r>
          </w:p>
        </w:tc>
        <w:tc>
          <w:tcPr>
            <w:tcW w:w="20" w:type="dxa"/>
            <w:vAlign w:val="bottom"/>
          </w:tcPr>
          <w:p>
            <w:pPr>
              <w:spacing w:after="0"/>
              <w:rPr>
                <w:sz w:val="21"/>
                <w:szCs w:val="21"/>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(10,287)</w:t>
            </w: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(10,303)</w:t>
            </w:r>
          </w:p>
        </w:tc>
        <w:tc>
          <w:tcPr>
            <w:tcW w:w="0" w:type="dxa"/>
            <w:vAlign w:val="bottom"/>
          </w:tcPr>
          <w:p>
            <w:pPr>
              <w:spacing w:after="0"/>
              <w:rPr>
                <w:sz w:val="1"/>
                <w:szCs w:val="1"/>
                <w:color w:val="auto"/>
              </w:rPr>
            </w:pPr>
          </w:p>
        </w:tc>
      </w:tr>
      <w:tr>
        <w:trPr>
          <w:trHeight w:val="151"/>
        </w:trPr>
        <w:tc>
          <w:tcPr>
            <w:tcW w:w="624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Net income</w:t>
            </w:r>
          </w:p>
        </w:tc>
        <w:tc>
          <w:tcPr>
            <w:tcW w:w="168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43"/>
        </w:trPr>
        <w:tc>
          <w:tcPr>
            <w:tcW w:w="6240" w:type="dxa"/>
            <w:vAlign w:val="bottom"/>
            <w:vMerge w:val="continue"/>
          </w:tcPr>
          <w:p>
            <w:pPr>
              <w:spacing w:after="0"/>
              <w:rPr>
                <w:sz w:val="24"/>
                <w:szCs w:val="24"/>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US$54,513</w:t>
            </w:r>
          </w:p>
        </w:tc>
        <w:tc>
          <w:tcPr>
            <w:tcW w:w="2100" w:type="dxa"/>
            <w:vAlign w:val="bottom"/>
            <w:gridSpan w:val="3"/>
          </w:tcPr>
          <w:p>
            <w:pPr>
              <w:jc w:val="right"/>
              <w:ind w:right="400"/>
              <w:spacing w:after="0"/>
              <w:rPr>
                <w:sz w:val="20"/>
                <w:szCs w:val="20"/>
                <w:color w:val="auto"/>
              </w:rPr>
            </w:pPr>
            <w:r>
              <w:rPr>
                <w:rFonts w:ascii="Arial" w:cs="Arial" w:eastAsia="Arial" w:hAnsi="Arial"/>
                <w:sz w:val="18"/>
                <w:szCs w:val="18"/>
                <w:color w:val="auto"/>
              </w:rPr>
              <w:t>US$42,383</w:t>
            </w:r>
          </w:p>
        </w:tc>
        <w:tc>
          <w:tcPr>
            <w:tcW w:w="1320" w:type="dxa"/>
            <w:vAlign w:val="bottom"/>
          </w:tcPr>
          <w:p>
            <w:pPr>
              <w:jc w:val="right"/>
              <w:spacing w:after="0"/>
              <w:rPr>
                <w:sz w:val="20"/>
                <w:szCs w:val="20"/>
                <w:color w:val="auto"/>
              </w:rPr>
            </w:pPr>
            <w:r>
              <w:rPr>
                <w:rFonts w:ascii="Arial" w:cs="Arial" w:eastAsia="Arial" w:hAnsi="Arial"/>
                <w:sz w:val="18"/>
                <w:szCs w:val="18"/>
                <w:color w:val="auto"/>
              </w:rPr>
              <w:t>US$80,607</w:t>
            </w:r>
          </w:p>
        </w:tc>
        <w:tc>
          <w:tcPr>
            <w:tcW w:w="0" w:type="dxa"/>
            <w:vAlign w:val="bottom"/>
          </w:tcPr>
          <w:p>
            <w:pPr>
              <w:spacing w:after="0"/>
              <w:rPr>
                <w:sz w:val="1"/>
                <w:szCs w:val="1"/>
                <w:color w:val="auto"/>
              </w:rPr>
            </w:pPr>
          </w:p>
        </w:tc>
      </w:tr>
      <w:tr>
        <w:trPr>
          <w:trHeight w:val="147"/>
        </w:trPr>
        <w:tc>
          <w:tcPr>
            <w:tcW w:w="6240" w:type="dxa"/>
            <w:vAlign w:val="bottom"/>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-3830320</wp:posOffset>
            </wp:positionV>
            <wp:extent cx="34290" cy="342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-3504565</wp:posOffset>
            </wp:positionV>
            <wp:extent cx="34290" cy="342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-3504565</wp:posOffset>
            </wp:positionV>
            <wp:extent cx="34290" cy="342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-3504565</wp:posOffset>
            </wp:positionV>
            <wp:extent cx="34290" cy="342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-2869565</wp:posOffset>
            </wp:positionV>
            <wp:extent cx="34290" cy="342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-2869565</wp:posOffset>
            </wp:positionV>
            <wp:extent cx="34290" cy="342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-2869565</wp:posOffset>
            </wp:positionV>
            <wp:extent cx="34290" cy="342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-2389505</wp:posOffset>
            </wp:positionV>
            <wp:extent cx="34290" cy="342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-2389505</wp:posOffset>
            </wp:positionV>
            <wp:extent cx="34290" cy="342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-2389505</wp:posOffset>
            </wp:positionV>
            <wp:extent cx="34290" cy="342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-1309370</wp:posOffset>
            </wp:positionV>
            <wp:extent cx="34290" cy="342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-1309370</wp:posOffset>
            </wp:positionV>
            <wp:extent cx="34290" cy="342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-1309370</wp:posOffset>
            </wp:positionV>
            <wp:extent cx="34290" cy="342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-982980</wp:posOffset>
            </wp:positionV>
            <wp:extent cx="34290" cy="342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-982980</wp:posOffset>
            </wp:positionV>
            <wp:extent cx="34290" cy="342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-982980</wp:posOffset>
            </wp:positionV>
            <wp:extent cx="34290" cy="342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-348615</wp:posOffset>
            </wp:positionV>
            <wp:extent cx="34290" cy="342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-348615</wp:posOffset>
            </wp:positionV>
            <wp:extent cx="34290" cy="342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-348615</wp:posOffset>
            </wp:positionV>
            <wp:extent cx="34290" cy="342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-14605</wp:posOffset>
            </wp:positionV>
            <wp:extent cx="127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-14605</wp:posOffset>
            </wp:positionV>
            <wp:extent cx="127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-14605</wp:posOffset>
            </wp:positionV>
            <wp:extent cx="12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-14605</wp:posOffset>
            </wp:positionV>
            <wp:extent cx="127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-14605</wp:posOffset>
            </wp:positionV>
            <wp:extent cx="1270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-14605</wp:posOffset>
            </wp:positionV>
            <wp:extent cx="1270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20" w:lineRule="exact"/>
        <w:rPr>
          <w:sz w:val="20"/>
          <w:szCs w:val="20"/>
          <w:color w:val="auto"/>
        </w:rPr>
      </w:pPr>
    </w:p>
    <w:p>
      <w:pPr>
        <w:jc w:val="both"/>
        <w:ind w:firstLine="189"/>
        <w:spacing w:after="0" w:line="259" w:lineRule="auto"/>
        <w:rPr>
          <w:sz w:val="20"/>
          <w:szCs w:val="20"/>
          <w:color w:val="auto"/>
        </w:rPr>
      </w:pPr>
      <w:r>
        <w:rPr>
          <w:rFonts w:ascii="Arial" w:cs="Arial" w:eastAsia="Arial" w:hAnsi="Arial"/>
          <w:sz w:val="18"/>
          <w:szCs w:val="18"/>
          <w:color w:val="auto"/>
        </w:rPr>
        <w:t>Credicorp's consolidated net income increased from 2002 to 2003 principally due to higher net interest income and non-interest income, and to lower loan loss provisions, which were partly offset by non-recurring merger costs. Merger costs amounting to US$18.6 million were incurred in connection with the mergers of BSCH-Perú in March 2003 and of Solución in March 2004.</w:t>
      </w:r>
    </w:p>
    <w:p>
      <w:pPr>
        <w:spacing w:after="0" w:line="194" w:lineRule="exact"/>
        <w:rPr>
          <w:sz w:val="20"/>
          <w:szCs w:val="20"/>
          <w:color w:val="auto"/>
        </w:rPr>
      </w:pPr>
    </w:p>
    <w:p>
      <w:pPr>
        <w:jc w:val="both"/>
        <w:ind w:firstLine="176"/>
        <w:spacing w:after="0" w:line="253" w:lineRule="auto"/>
        <w:rPr>
          <w:sz w:val="20"/>
          <w:szCs w:val="20"/>
          <w:color w:val="auto"/>
        </w:rPr>
      </w:pPr>
      <w:r>
        <w:rPr>
          <w:rFonts w:ascii="Arial" w:cs="Arial" w:eastAsia="Arial" w:hAnsi="Arial"/>
          <w:sz w:val="18"/>
          <w:szCs w:val="18"/>
          <w:color w:val="auto"/>
        </w:rPr>
        <w:t>Consolidated net income decreased from 2001 to 2002 mainly because results in 2001 included a non-recurring gain of US$19.0 million from the sale of Banco Capital and the shares of Backus (see “Item 4. Information on the Company—(B) Business Overview—(5) Insurance”), and also because in 2002 BCP incurred non-recurring expenses of US$14.4 million before income taxes related to structural changes of information systems, as well as to a change of corporate image and severance payments owing to staff restructuring. In 2001, the sales of Banco Capital and Backus produced gains of US$6.0 million and US$23.3 million, respectively. In addition, in 2001, BCP made provisions of US$10.6 million for probable losses in the investment portfolio and for probable losses in the loan portfolio of BCB. Aside from the non-recurring items, results in 2002 show lower provisions for bad loans and higher non-financial income, offset by lower net interest income.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347" w:right="239" w:bottom="1440" w:gutter="0" w:footer="0" w:header="0"/>
        </w:sectPr>
      </w:pPr>
    </w:p>
    <w:bookmarkStart w:id="85" w:name="page86"/>
    <w:bookmarkEnd w:id="85"/>
    <w:p>
      <w:pPr>
        <w:ind w:left="180"/>
        <w:spacing w:after="0"/>
        <w:rPr>
          <w:sz w:val="20"/>
          <w:szCs w:val="20"/>
          <w:color w:val="auto"/>
        </w:rPr>
      </w:pPr>
      <w:r>
        <w:rPr>
          <w:rFonts w:ascii="Arial" w:cs="Arial" w:eastAsia="Arial" w:hAnsi="Arial"/>
          <w:sz w:val="18"/>
          <w:szCs w:val="18"/>
          <w:i w:val="1"/>
          <w:iCs w:val="1"/>
          <w:color w:val="auto"/>
        </w:rPr>
        <w:t>Net Interest Income</w:t>
      </w:r>
    </w:p>
    <w:p>
      <w:pPr>
        <w:spacing w:after="0" w:line="225" w:lineRule="exact"/>
        <w:rPr>
          <w:sz w:val="20"/>
          <w:szCs w:val="20"/>
          <w:color w:val="auto"/>
        </w:rPr>
      </w:pPr>
    </w:p>
    <w:p>
      <w:pPr>
        <w:jc w:val="both"/>
        <w:ind w:firstLine="284"/>
        <w:spacing w:after="0" w:line="268" w:lineRule="auto"/>
        <w:rPr>
          <w:sz w:val="20"/>
          <w:szCs w:val="20"/>
          <w:color w:val="auto"/>
        </w:rPr>
      </w:pPr>
      <w:r>
        <w:rPr>
          <w:rFonts w:ascii="Arial" w:cs="Arial" w:eastAsia="Arial" w:hAnsi="Arial"/>
          <w:sz w:val="18"/>
          <w:szCs w:val="18"/>
          <w:color w:val="auto"/>
        </w:rPr>
        <w:t>Net interest income represents the difference between interest income on interest-earning assets and the interest paid on interest bearing liabilities. The following table sets forth the components of net interest income:</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6240" w:type="dxa"/>
            <w:vAlign w:val="bottom"/>
          </w:tcPr>
          <w:p>
            <w:pPr>
              <w:spacing w:after="0"/>
              <w:rPr>
                <w:sz w:val="19"/>
                <w:szCs w:val="19"/>
                <w:color w:val="auto"/>
              </w:rPr>
            </w:pPr>
          </w:p>
        </w:tc>
        <w:tc>
          <w:tcPr>
            <w:tcW w:w="3800" w:type="dxa"/>
            <w:vAlign w:val="bottom"/>
            <w:gridSpan w:val="5"/>
          </w:tcPr>
          <w:p>
            <w:pPr>
              <w:jc w:val="center"/>
              <w:ind w:left="1212"/>
              <w:spacing w:after="0"/>
              <w:rPr>
                <w:sz w:val="20"/>
                <w:szCs w:val="20"/>
                <w:color w:val="auto"/>
              </w:rPr>
            </w:pPr>
            <w:r>
              <w:rPr>
                <w:rFonts w:ascii="Arial" w:cs="Arial" w:eastAsia="Arial" w:hAnsi="Arial"/>
                <w:sz w:val="18"/>
                <w:szCs w:val="18"/>
                <w:b w:val="1"/>
                <w:bCs w:val="1"/>
                <w:color w:val="auto"/>
                <w:w w:val="86"/>
              </w:rPr>
              <w:t>Year ended December 31,</w:t>
            </w:r>
          </w:p>
        </w:tc>
        <w:tc>
          <w:tcPr>
            <w:tcW w:w="1320" w:type="dxa"/>
            <w:vAlign w:val="bottom"/>
          </w:tcPr>
          <w:p>
            <w:pPr>
              <w:spacing w:after="0"/>
              <w:rPr>
                <w:sz w:val="19"/>
                <w:szCs w:val="19"/>
                <w:color w:val="auto"/>
              </w:rPr>
            </w:pPr>
          </w:p>
        </w:tc>
      </w:tr>
      <w:tr>
        <w:trPr>
          <w:trHeight w:val="137"/>
        </w:trPr>
        <w:tc>
          <w:tcPr>
            <w:tcW w:w="62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r>
      <w:tr>
        <w:trPr>
          <w:trHeight w:val="356"/>
        </w:trPr>
        <w:tc>
          <w:tcPr>
            <w:tcW w:w="6240" w:type="dxa"/>
            <w:vAlign w:val="bottom"/>
          </w:tcPr>
          <w:p>
            <w:pPr>
              <w:spacing w:after="0"/>
              <w:rPr>
                <w:sz w:val="24"/>
                <w:szCs w:val="24"/>
                <w:color w:val="auto"/>
              </w:rPr>
            </w:pPr>
          </w:p>
        </w:tc>
        <w:tc>
          <w:tcPr>
            <w:tcW w:w="1680" w:type="dxa"/>
            <w:vAlign w:val="bottom"/>
          </w:tcPr>
          <w:p>
            <w:pPr>
              <w:jc w:val="right"/>
              <w:ind w:right="572"/>
              <w:spacing w:after="0"/>
              <w:rPr>
                <w:sz w:val="20"/>
                <w:szCs w:val="20"/>
                <w:color w:val="auto"/>
              </w:rPr>
            </w:pPr>
            <w:r>
              <w:rPr>
                <w:rFonts w:ascii="Arial" w:cs="Arial" w:eastAsia="Arial" w:hAnsi="Arial"/>
                <w:sz w:val="18"/>
                <w:szCs w:val="18"/>
                <w:b w:val="1"/>
                <w:bCs w:val="1"/>
                <w:color w:val="auto"/>
              </w:rPr>
              <w:t>2001</w:t>
            </w:r>
          </w:p>
        </w:tc>
        <w:tc>
          <w:tcPr>
            <w:tcW w:w="1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4"/>
              </w:rPr>
              <w:t>2002</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jc w:val="right"/>
              <w:ind w:right="592"/>
              <w:spacing w:after="0"/>
              <w:rPr>
                <w:sz w:val="20"/>
                <w:szCs w:val="20"/>
                <w:color w:val="auto"/>
              </w:rPr>
            </w:pPr>
            <w:r>
              <w:rPr>
                <w:rFonts w:ascii="Arial" w:cs="Arial" w:eastAsia="Arial" w:hAnsi="Arial"/>
                <w:sz w:val="18"/>
                <w:szCs w:val="18"/>
                <w:b w:val="1"/>
                <w:bCs w:val="1"/>
                <w:color w:val="auto"/>
              </w:rPr>
              <w:t>2003</w:t>
            </w:r>
          </w:p>
        </w:tc>
      </w:tr>
      <w:tr>
        <w:trPr>
          <w:trHeight w:val="137"/>
        </w:trPr>
        <w:tc>
          <w:tcPr>
            <w:tcW w:w="62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r>
      <w:tr>
        <w:trPr>
          <w:trHeight w:val="356"/>
        </w:trPr>
        <w:tc>
          <w:tcPr>
            <w:tcW w:w="6240" w:type="dxa"/>
            <w:vAlign w:val="bottom"/>
          </w:tcPr>
          <w:p>
            <w:pPr>
              <w:spacing w:after="0"/>
              <w:rPr>
                <w:sz w:val="24"/>
                <w:szCs w:val="24"/>
                <w:color w:val="auto"/>
              </w:rPr>
            </w:pPr>
          </w:p>
        </w:tc>
        <w:tc>
          <w:tcPr>
            <w:tcW w:w="3800" w:type="dxa"/>
            <w:vAlign w:val="bottom"/>
            <w:gridSpan w:val="5"/>
          </w:tcPr>
          <w:p>
            <w:pPr>
              <w:jc w:val="center"/>
              <w:ind w:left="1212"/>
              <w:spacing w:after="0"/>
              <w:rPr>
                <w:sz w:val="20"/>
                <w:szCs w:val="20"/>
                <w:color w:val="auto"/>
              </w:rPr>
            </w:pPr>
            <w:r>
              <w:rPr>
                <w:rFonts w:ascii="Arial" w:cs="Arial" w:eastAsia="Arial" w:hAnsi="Arial"/>
                <w:sz w:val="18"/>
                <w:szCs w:val="18"/>
                <w:i w:val="1"/>
                <w:iCs w:val="1"/>
                <w:color w:val="auto"/>
                <w:w w:val="90"/>
              </w:rPr>
              <w:t>(U.S. Dollars in thousands)</w:t>
            </w:r>
          </w:p>
        </w:tc>
        <w:tc>
          <w:tcPr>
            <w:tcW w:w="1320" w:type="dxa"/>
            <w:vAlign w:val="bottom"/>
          </w:tcPr>
          <w:p>
            <w:pPr>
              <w:spacing w:after="0"/>
              <w:rPr>
                <w:sz w:val="24"/>
                <w:szCs w:val="24"/>
                <w:color w:val="auto"/>
              </w:rPr>
            </w:pPr>
          </w:p>
        </w:tc>
      </w:tr>
      <w:tr>
        <w:trPr>
          <w:trHeight w:val="486"/>
        </w:trPr>
        <w:tc>
          <w:tcPr>
            <w:tcW w:w="6240" w:type="dxa"/>
            <w:vAlign w:val="bottom"/>
          </w:tcPr>
          <w:p>
            <w:pPr>
              <w:spacing w:after="0"/>
              <w:rPr>
                <w:sz w:val="20"/>
                <w:szCs w:val="20"/>
                <w:color w:val="auto"/>
              </w:rPr>
            </w:pPr>
            <w:r>
              <w:rPr>
                <w:rFonts w:ascii="Arial" w:cs="Arial" w:eastAsia="Arial" w:hAnsi="Arial"/>
                <w:sz w:val="18"/>
                <w:szCs w:val="18"/>
                <w:b w:val="1"/>
                <w:bCs w:val="1"/>
                <w:color w:val="auto"/>
              </w:rPr>
              <w:t>Interest income:</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43"/>
        </w:trPr>
        <w:tc>
          <w:tcPr>
            <w:tcW w:w="6240" w:type="dxa"/>
            <w:vAlign w:val="bottom"/>
          </w:tcPr>
          <w:p>
            <w:pPr>
              <w:ind w:left="180"/>
              <w:spacing w:after="0"/>
              <w:rPr>
                <w:sz w:val="20"/>
                <w:szCs w:val="20"/>
                <w:color w:val="auto"/>
              </w:rPr>
            </w:pPr>
            <w:r>
              <w:rPr>
                <w:rFonts w:ascii="Arial" w:cs="Arial" w:eastAsia="Arial" w:hAnsi="Arial"/>
                <w:sz w:val="18"/>
                <w:szCs w:val="18"/>
                <w:color w:val="auto"/>
              </w:rPr>
              <w:t>Loans</w:t>
            </w:r>
          </w:p>
        </w:tc>
        <w:tc>
          <w:tcPr>
            <w:tcW w:w="1680" w:type="dxa"/>
            <w:vAlign w:val="bottom"/>
          </w:tcPr>
          <w:p>
            <w:pPr>
              <w:jc w:val="right"/>
              <w:spacing w:after="0"/>
              <w:rPr>
                <w:sz w:val="20"/>
                <w:szCs w:val="20"/>
                <w:color w:val="auto"/>
              </w:rPr>
            </w:pPr>
            <w:r>
              <w:rPr>
                <w:rFonts w:ascii="Arial" w:cs="Arial" w:eastAsia="Arial" w:hAnsi="Arial"/>
                <w:sz w:val="18"/>
                <w:szCs w:val="18"/>
                <w:color w:val="auto"/>
              </w:rPr>
              <w:t>US$544,255</w:t>
            </w:r>
          </w:p>
        </w:tc>
        <w:tc>
          <w:tcPr>
            <w:tcW w:w="20" w:type="dxa"/>
            <w:vAlign w:val="bottom"/>
          </w:tcPr>
          <w:p>
            <w:pPr>
              <w:spacing w:after="0"/>
              <w:rPr>
                <w:sz w:val="21"/>
                <w:szCs w:val="21"/>
                <w:color w:val="auto"/>
              </w:rPr>
            </w:pPr>
          </w:p>
        </w:tc>
        <w:tc>
          <w:tcPr>
            <w:tcW w:w="2100" w:type="dxa"/>
            <w:vAlign w:val="bottom"/>
            <w:gridSpan w:val="3"/>
          </w:tcPr>
          <w:p>
            <w:pPr>
              <w:jc w:val="right"/>
              <w:ind w:right="400"/>
              <w:spacing w:after="0"/>
              <w:rPr>
                <w:sz w:val="20"/>
                <w:szCs w:val="20"/>
                <w:color w:val="auto"/>
              </w:rPr>
            </w:pPr>
            <w:r>
              <w:rPr>
                <w:rFonts w:ascii="Arial" w:cs="Arial" w:eastAsia="Arial" w:hAnsi="Arial"/>
                <w:sz w:val="18"/>
                <w:szCs w:val="18"/>
                <w:color w:val="auto"/>
              </w:rPr>
              <w:t>US$420,341</w:t>
            </w:r>
          </w:p>
        </w:tc>
        <w:tc>
          <w:tcPr>
            <w:tcW w:w="1320" w:type="dxa"/>
            <w:vAlign w:val="bottom"/>
          </w:tcPr>
          <w:p>
            <w:pPr>
              <w:jc w:val="right"/>
              <w:spacing w:after="0"/>
              <w:rPr>
                <w:sz w:val="20"/>
                <w:szCs w:val="20"/>
                <w:color w:val="auto"/>
              </w:rPr>
            </w:pPr>
            <w:r>
              <w:rPr>
                <w:rFonts w:ascii="Arial" w:cs="Arial" w:eastAsia="Arial" w:hAnsi="Arial"/>
                <w:sz w:val="18"/>
                <w:szCs w:val="18"/>
                <w:color w:val="auto"/>
              </w:rPr>
              <w:t>US$457,826</w:t>
            </w:r>
          </w:p>
        </w:tc>
      </w:tr>
      <w:tr>
        <w:trPr>
          <w:trHeight w:val="243"/>
        </w:trPr>
        <w:tc>
          <w:tcPr>
            <w:tcW w:w="6240" w:type="dxa"/>
            <w:vAlign w:val="bottom"/>
          </w:tcPr>
          <w:p>
            <w:pPr>
              <w:ind w:left="180"/>
              <w:spacing w:after="0"/>
              <w:rPr>
                <w:sz w:val="20"/>
                <w:szCs w:val="20"/>
                <w:color w:val="auto"/>
              </w:rPr>
            </w:pPr>
            <w:r>
              <w:rPr>
                <w:rFonts w:ascii="Arial" w:cs="Arial" w:eastAsia="Arial" w:hAnsi="Arial"/>
                <w:sz w:val="18"/>
                <w:szCs w:val="18"/>
                <w:color w:val="auto"/>
              </w:rPr>
              <w:t>Deposits</w:t>
            </w:r>
          </w:p>
        </w:tc>
        <w:tc>
          <w:tcPr>
            <w:tcW w:w="1680" w:type="dxa"/>
            <w:vAlign w:val="bottom"/>
          </w:tcPr>
          <w:p>
            <w:pPr>
              <w:jc w:val="right"/>
              <w:spacing w:after="0"/>
              <w:rPr>
                <w:sz w:val="20"/>
                <w:szCs w:val="20"/>
                <w:color w:val="auto"/>
              </w:rPr>
            </w:pPr>
            <w:r>
              <w:rPr>
                <w:rFonts w:ascii="Arial" w:cs="Arial" w:eastAsia="Arial" w:hAnsi="Arial"/>
                <w:sz w:val="18"/>
                <w:szCs w:val="18"/>
                <w:color w:val="auto"/>
              </w:rPr>
              <w:t>26,051</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15,764</w:t>
            </w: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5,078</w:t>
            </w:r>
          </w:p>
        </w:tc>
      </w:tr>
      <w:tr>
        <w:trPr>
          <w:trHeight w:val="243"/>
        </w:trPr>
        <w:tc>
          <w:tcPr>
            <w:tcW w:w="6240" w:type="dxa"/>
            <w:vAlign w:val="bottom"/>
          </w:tcPr>
          <w:p>
            <w:pPr>
              <w:ind w:left="180"/>
              <w:spacing w:after="0"/>
              <w:rPr>
                <w:sz w:val="20"/>
                <w:szCs w:val="20"/>
                <w:color w:val="auto"/>
              </w:rPr>
            </w:pPr>
            <w:r>
              <w:rPr>
                <w:rFonts w:ascii="Arial" w:cs="Arial" w:eastAsia="Arial" w:hAnsi="Arial"/>
                <w:sz w:val="18"/>
                <w:szCs w:val="18"/>
                <w:color w:val="auto"/>
              </w:rPr>
              <w:t>Deposits in Central Bank</w:t>
            </w:r>
          </w:p>
        </w:tc>
        <w:tc>
          <w:tcPr>
            <w:tcW w:w="1680" w:type="dxa"/>
            <w:vAlign w:val="bottom"/>
          </w:tcPr>
          <w:p>
            <w:pPr>
              <w:jc w:val="right"/>
              <w:spacing w:after="0"/>
              <w:rPr>
                <w:sz w:val="20"/>
                <w:szCs w:val="20"/>
                <w:color w:val="auto"/>
              </w:rPr>
            </w:pPr>
            <w:r>
              <w:rPr>
                <w:rFonts w:ascii="Arial" w:cs="Arial" w:eastAsia="Arial" w:hAnsi="Arial"/>
                <w:sz w:val="18"/>
                <w:szCs w:val="18"/>
                <w:color w:val="auto"/>
              </w:rPr>
              <w:t>39,472</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20,752</w:t>
            </w: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13,748</w:t>
            </w:r>
          </w:p>
        </w:tc>
      </w:tr>
      <w:tr>
        <w:trPr>
          <w:trHeight w:val="243"/>
        </w:trPr>
        <w:tc>
          <w:tcPr>
            <w:tcW w:w="6240" w:type="dxa"/>
            <w:vAlign w:val="bottom"/>
          </w:tcPr>
          <w:p>
            <w:pPr>
              <w:ind w:left="180"/>
              <w:spacing w:after="0"/>
              <w:rPr>
                <w:sz w:val="20"/>
                <w:szCs w:val="20"/>
                <w:color w:val="auto"/>
              </w:rPr>
            </w:pPr>
            <w:r>
              <w:rPr>
                <w:rFonts w:ascii="Arial" w:cs="Arial" w:eastAsia="Arial" w:hAnsi="Arial"/>
                <w:sz w:val="18"/>
                <w:szCs w:val="18"/>
                <w:color w:val="auto"/>
              </w:rPr>
              <w:t>Investment securities</w:t>
            </w:r>
          </w:p>
        </w:tc>
        <w:tc>
          <w:tcPr>
            <w:tcW w:w="1680" w:type="dxa"/>
            <w:vAlign w:val="bottom"/>
          </w:tcPr>
          <w:p>
            <w:pPr>
              <w:jc w:val="right"/>
              <w:spacing w:after="0"/>
              <w:rPr>
                <w:sz w:val="20"/>
                <w:szCs w:val="20"/>
                <w:color w:val="auto"/>
              </w:rPr>
            </w:pPr>
            <w:r>
              <w:rPr>
                <w:rFonts w:ascii="Arial" w:cs="Arial" w:eastAsia="Arial" w:hAnsi="Arial"/>
                <w:sz w:val="18"/>
                <w:szCs w:val="18"/>
                <w:color w:val="auto"/>
              </w:rPr>
              <w:t>82,607</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72,724</w:t>
            </w: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60,455</w:t>
            </w:r>
          </w:p>
        </w:tc>
      </w:tr>
      <w:tr>
        <w:trPr>
          <w:trHeight w:val="243"/>
        </w:trPr>
        <w:tc>
          <w:tcPr>
            <w:tcW w:w="6240" w:type="dxa"/>
            <w:vAlign w:val="bottom"/>
          </w:tcPr>
          <w:p>
            <w:pPr>
              <w:ind w:left="180"/>
              <w:spacing w:after="0"/>
              <w:rPr>
                <w:sz w:val="20"/>
                <w:szCs w:val="20"/>
                <w:color w:val="auto"/>
              </w:rPr>
            </w:pPr>
            <w:r>
              <w:rPr>
                <w:rFonts w:ascii="Arial" w:cs="Arial" w:eastAsia="Arial" w:hAnsi="Arial"/>
                <w:sz w:val="18"/>
                <w:szCs w:val="18"/>
                <w:color w:val="auto"/>
              </w:rPr>
              <w:t>Dividends</w:t>
            </w:r>
          </w:p>
        </w:tc>
        <w:tc>
          <w:tcPr>
            <w:tcW w:w="1680" w:type="dxa"/>
            <w:vAlign w:val="bottom"/>
          </w:tcPr>
          <w:p>
            <w:pPr>
              <w:jc w:val="right"/>
              <w:spacing w:after="0"/>
              <w:rPr>
                <w:sz w:val="20"/>
                <w:szCs w:val="20"/>
                <w:color w:val="auto"/>
              </w:rPr>
            </w:pPr>
            <w:r>
              <w:rPr>
                <w:rFonts w:ascii="Arial" w:cs="Arial" w:eastAsia="Arial" w:hAnsi="Arial"/>
                <w:sz w:val="18"/>
                <w:szCs w:val="18"/>
                <w:color w:val="auto"/>
              </w:rPr>
              <w:t>2,387</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2,293</w:t>
            </w: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11,178</w:t>
            </w:r>
          </w:p>
        </w:tc>
      </w:tr>
      <w:tr>
        <w:trPr>
          <w:trHeight w:val="137"/>
        </w:trPr>
        <w:tc>
          <w:tcPr>
            <w:tcW w:w="62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r>
      <w:tr>
        <w:trPr>
          <w:trHeight w:val="356"/>
        </w:trPr>
        <w:tc>
          <w:tcPr>
            <w:tcW w:w="6240" w:type="dxa"/>
            <w:vAlign w:val="bottom"/>
          </w:tcPr>
          <w:p>
            <w:pPr>
              <w:spacing w:after="0"/>
              <w:rPr>
                <w:sz w:val="20"/>
                <w:szCs w:val="20"/>
                <w:color w:val="auto"/>
              </w:rPr>
            </w:pPr>
            <w:r>
              <w:rPr>
                <w:rFonts w:ascii="Arial" w:cs="Arial" w:eastAsia="Arial" w:hAnsi="Arial"/>
                <w:sz w:val="18"/>
                <w:szCs w:val="18"/>
                <w:color w:val="auto"/>
              </w:rPr>
              <w:t>Total interest income</w:t>
            </w:r>
          </w:p>
        </w:tc>
        <w:tc>
          <w:tcPr>
            <w:tcW w:w="1680" w:type="dxa"/>
            <w:vAlign w:val="bottom"/>
          </w:tcPr>
          <w:p>
            <w:pPr>
              <w:jc w:val="right"/>
              <w:spacing w:after="0"/>
              <w:rPr>
                <w:sz w:val="20"/>
                <w:szCs w:val="20"/>
                <w:color w:val="auto"/>
              </w:rPr>
            </w:pPr>
            <w:r>
              <w:rPr>
                <w:rFonts w:ascii="Arial" w:cs="Arial" w:eastAsia="Arial" w:hAnsi="Arial"/>
                <w:sz w:val="18"/>
                <w:szCs w:val="18"/>
                <w:color w:val="auto"/>
              </w:rPr>
              <w:t>US$694,772</w:t>
            </w:r>
          </w:p>
        </w:tc>
        <w:tc>
          <w:tcPr>
            <w:tcW w:w="20" w:type="dxa"/>
            <w:vAlign w:val="bottom"/>
          </w:tcPr>
          <w:p>
            <w:pPr>
              <w:spacing w:after="0"/>
              <w:rPr>
                <w:sz w:val="24"/>
                <w:szCs w:val="24"/>
                <w:color w:val="auto"/>
              </w:rPr>
            </w:pPr>
          </w:p>
        </w:tc>
        <w:tc>
          <w:tcPr>
            <w:tcW w:w="2100" w:type="dxa"/>
            <w:vAlign w:val="bottom"/>
            <w:gridSpan w:val="3"/>
          </w:tcPr>
          <w:p>
            <w:pPr>
              <w:jc w:val="right"/>
              <w:ind w:right="400"/>
              <w:spacing w:after="0"/>
              <w:rPr>
                <w:sz w:val="20"/>
                <w:szCs w:val="20"/>
                <w:color w:val="auto"/>
              </w:rPr>
            </w:pPr>
            <w:r>
              <w:rPr>
                <w:rFonts w:ascii="Arial" w:cs="Arial" w:eastAsia="Arial" w:hAnsi="Arial"/>
                <w:sz w:val="18"/>
                <w:szCs w:val="18"/>
                <w:color w:val="auto"/>
              </w:rPr>
              <w:t>US$531,874</w:t>
            </w:r>
          </w:p>
        </w:tc>
        <w:tc>
          <w:tcPr>
            <w:tcW w:w="1320" w:type="dxa"/>
            <w:vAlign w:val="bottom"/>
          </w:tcPr>
          <w:p>
            <w:pPr>
              <w:jc w:val="right"/>
              <w:spacing w:after="0"/>
              <w:rPr>
                <w:sz w:val="20"/>
                <w:szCs w:val="20"/>
                <w:color w:val="auto"/>
              </w:rPr>
            </w:pPr>
            <w:r>
              <w:rPr>
                <w:rFonts w:ascii="Arial" w:cs="Arial" w:eastAsia="Arial" w:hAnsi="Arial"/>
                <w:sz w:val="18"/>
                <w:szCs w:val="18"/>
                <w:color w:val="auto"/>
              </w:rPr>
              <w:t>US$548,285</w:t>
            </w:r>
          </w:p>
        </w:tc>
      </w:tr>
      <w:tr>
        <w:trPr>
          <w:trHeight w:val="729"/>
        </w:trPr>
        <w:tc>
          <w:tcPr>
            <w:tcW w:w="624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43"/>
        </w:trPr>
        <w:tc>
          <w:tcPr>
            <w:tcW w:w="6240" w:type="dxa"/>
            <w:vAlign w:val="bottom"/>
          </w:tcPr>
          <w:p>
            <w:pPr>
              <w:ind w:left="180"/>
              <w:spacing w:after="0"/>
              <w:rPr>
                <w:sz w:val="20"/>
                <w:szCs w:val="20"/>
                <w:color w:val="auto"/>
              </w:rPr>
            </w:pPr>
            <w:r>
              <w:rPr>
                <w:rFonts w:ascii="Arial" w:cs="Arial" w:eastAsia="Arial" w:hAnsi="Arial"/>
                <w:sz w:val="18"/>
                <w:szCs w:val="18"/>
                <w:color w:val="auto"/>
              </w:rPr>
              <w:t>Saving deposits</w:t>
            </w:r>
          </w:p>
        </w:tc>
        <w:tc>
          <w:tcPr>
            <w:tcW w:w="1680" w:type="dxa"/>
            <w:vAlign w:val="bottom"/>
          </w:tcPr>
          <w:p>
            <w:pPr>
              <w:jc w:val="right"/>
              <w:spacing w:after="0"/>
              <w:rPr>
                <w:sz w:val="20"/>
                <w:szCs w:val="20"/>
                <w:color w:val="auto"/>
              </w:rPr>
            </w:pPr>
            <w:r>
              <w:rPr>
                <w:rFonts w:ascii="Arial" w:cs="Arial" w:eastAsia="Arial" w:hAnsi="Arial"/>
                <w:sz w:val="18"/>
                <w:szCs w:val="18"/>
                <w:color w:val="auto"/>
              </w:rPr>
              <w:t>US$31,307</w:t>
            </w:r>
          </w:p>
        </w:tc>
        <w:tc>
          <w:tcPr>
            <w:tcW w:w="20" w:type="dxa"/>
            <w:vAlign w:val="bottom"/>
          </w:tcPr>
          <w:p>
            <w:pPr>
              <w:spacing w:after="0"/>
              <w:rPr>
                <w:sz w:val="21"/>
                <w:szCs w:val="21"/>
                <w:color w:val="auto"/>
              </w:rPr>
            </w:pPr>
          </w:p>
        </w:tc>
        <w:tc>
          <w:tcPr>
            <w:tcW w:w="2100" w:type="dxa"/>
            <w:vAlign w:val="bottom"/>
            <w:gridSpan w:val="3"/>
          </w:tcPr>
          <w:p>
            <w:pPr>
              <w:jc w:val="right"/>
              <w:ind w:right="400"/>
              <w:spacing w:after="0"/>
              <w:rPr>
                <w:sz w:val="20"/>
                <w:szCs w:val="20"/>
                <w:color w:val="auto"/>
              </w:rPr>
            </w:pPr>
            <w:r>
              <w:rPr>
                <w:rFonts w:ascii="Arial" w:cs="Arial" w:eastAsia="Arial" w:hAnsi="Arial"/>
                <w:sz w:val="18"/>
                <w:szCs w:val="18"/>
                <w:color w:val="auto"/>
              </w:rPr>
              <w:t>US$9,358</w:t>
            </w:r>
          </w:p>
        </w:tc>
        <w:tc>
          <w:tcPr>
            <w:tcW w:w="1320" w:type="dxa"/>
            <w:vAlign w:val="bottom"/>
          </w:tcPr>
          <w:p>
            <w:pPr>
              <w:jc w:val="right"/>
              <w:spacing w:after="0"/>
              <w:rPr>
                <w:sz w:val="20"/>
                <w:szCs w:val="20"/>
                <w:color w:val="auto"/>
              </w:rPr>
            </w:pPr>
            <w:r>
              <w:rPr>
                <w:rFonts w:ascii="Arial" w:cs="Arial" w:eastAsia="Arial" w:hAnsi="Arial"/>
                <w:sz w:val="18"/>
                <w:szCs w:val="18"/>
                <w:color w:val="auto"/>
              </w:rPr>
              <w:t>US$6,328</w:t>
            </w:r>
          </w:p>
        </w:tc>
      </w:tr>
      <w:tr>
        <w:trPr>
          <w:trHeight w:val="243"/>
        </w:trPr>
        <w:tc>
          <w:tcPr>
            <w:tcW w:w="6240" w:type="dxa"/>
            <w:vAlign w:val="bottom"/>
          </w:tcPr>
          <w:p>
            <w:pPr>
              <w:ind w:left="160"/>
              <w:spacing w:after="0"/>
              <w:rPr>
                <w:sz w:val="20"/>
                <w:szCs w:val="20"/>
                <w:color w:val="auto"/>
              </w:rPr>
            </w:pPr>
            <w:r>
              <w:rPr>
                <w:rFonts w:ascii="Arial" w:cs="Arial" w:eastAsia="Arial" w:hAnsi="Arial"/>
                <w:sz w:val="18"/>
                <w:szCs w:val="18"/>
                <w:color w:val="auto"/>
              </w:rPr>
              <w:t>Time deposits</w:t>
            </w:r>
          </w:p>
        </w:tc>
        <w:tc>
          <w:tcPr>
            <w:tcW w:w="1680" w:type="dxa"/>
            <w:vAlign w:val="bottom"/>
          </w:tcPr>
          <w:p>
            <w:pPr>
              <w:jc w:val="right"/>
              <w:spacing w:after="0"/>
              <w:rPr>
                <w:sz w:val="20"/>
                <w:szCs w:val="20"/>
                <w:color w:val="auto"/>
              </w:rPr>
            </w:pPr>
            <w:r>
              <w:rPr>
                <w:rFonts w:ascii="Arial" w:cs="Arial" w:eastAsia="Arial" w:hAnsi="Arial"/>
                <w:sz w:val="18"/>
                <w:szCs w:val="18"/>
                <w:color w:val="auto"/>
              </w:rPr>
              <w:t>216,741</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138,689</w:t>
            </w: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134,222</w:t>
            </w:r>
          </w:p>
        </w:tc>
      </w:tr>
      <w:tr>
        <w:trPr>
          <w:trHeight w:val="243"/>
        </w:trPr>
        <w:tc>
          <w:tcPr>
            <w:tcW w:w="6240" w:type="dxa"/>
            <w:vAlign w:val="bottom"/>
          </w:tcPr>
          <w:p>
            <w:pPr>
              <w:ind w:left="180"/>
              <w:spacing w:after="0"/>
              <w:rPr>
                <w:sz w:val="20"/>
                <w:szCs w:val="20"/>
                <w:color w:val="auto"/>
              </w:rPr>
            </w:pPr>
            <w:r>
              <w:rPr>
                <w:rFonts w:ascii="Arial" w:cs="Arial" w:eastAsia="Arial" w:hAnsi="Arial"/>
                <w:sz w:val="18"/>
                <w:szCs w:val="18"/>
                <w:color w:val="auto"/>
              </w:rPr>
              <w:t>Borrowing from other financial institutions</w:t>
            </w:r>
          </w:p>
        </w:tc>
        <w:tc>
          <w:tcPr>
            <w:tcW w:w="1680" w:type="dxa"/>
            <w:vAlign w:val="bottom"/>
          </w:tcPr>
          <w:p>
            <w:pPr>
              <w:jc w:val="right"/>
              <w:spacing w:after="0"/>
              <w:rPr>
                <w:sz w:val="20"/>
                <w:szCs w:val="20"/>
                <w:color w:val="auto"/>
              </w:rPr>
            </w:pPr>
            <w:r>
              <w:rPr>
                <w:rFonts w:ascii="Arial" w:cs="Arial" w:eastAsia="Arial" w:hAnsi="Arial"/>
                <w:sz w:val="18"/>
                <w:szCs w:val="18"/>
                <w:color w:val="auto"/>
              </w:rPr>
              <w:t>59,177</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25,285</w:t>
            </w: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17,235</w:t>
            </w:r>
          </w:p>
        </w:tc>
      </w:tr>
      <w:tr>
        <w:trPr>
          <w:trHeight w:val="243"/>
        </w:trPr>
        <w:tc>
          <w:tcPr>
            <w:tcW w:w="6240" w:type="dxa"/>
            <w:vAlign w:val="bottom"/>
          </w:tcPr>
          <w:p>
            <w:pPr>
              <w:ind w:left="180"/>
              <w:spacing w:after="0"/>
              <w:rPr>
                <w:sz w:val="20"/>
                <w:szCs w:val="20"/>
                <w:color w:val="auto"/>
              </w:rPr>
            </w:pPr>
            <w:r>
              <w:rPr>
                <w:rFonts w:ascii="Arial" w:cs="Arial" w:eastAsia="Arial" w:hAnsi="Arial"/>
                <w:sz w:val="18"/>
                <w:szCs w:val="18"/>
                <w:color w:val="auto"/>
              </w:rPr>
              <w:t>Demand deposits</w:t>
            </w:r>
          </w:p>
        </w:tc>
        <w:tc>
          <w:tcPr>
            <w:tcW w:w="1680" w:type="dxa"/>
            <w:vAlign w:val="bottom"/>
          </w:tcPr>
          <w:p>
            <w:pPr>
              <w:jc w:val="right"/>
              <w:spacing w:after="0"/>
              <w:rPr>
                <w:sz w:val="20"/>
                <w:szCs w:val="20"/>
                <w:color w:val="auto"/>
              </w:rPr>
            </w:pPr>
            <w:r>
              <w:rPr>
                <w:rFonts w:ascii="Arial" w:cs="Arial" w:eastAsia="Arial" w:hAnsi="Arial"/>
                <w:sz w:val="18"/>
                <w:szCs w:val="18"/>
                <w:color w:val="auto"/>
              </w:rPr>
              <w:t>11,317</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4,738</w:t>
            </w: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4,529</w:t>
            </w:r>
          </w:p>
        </w:tc>
      </w:tr>
      <w:tr>
        <w:trPr>
          <w:trHeight w:val="137"/>
        </w:trPr>
        <w:tc>
          <w:tcPr>
            <w:tcW w:w="62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r>
      <w:tr>
        <w:trPr>
          <w:trHeight w:val="356"/>
        </w:trPr>
        <w:tc>
          <w:tcPr>
            <w:tcW w:w="6240" w:type="dxa"/>
            <w:vAlign w:val="bottom"/>
          </w:tcPr>
          <w:p>
            <w:pPr>
              <w:ind w:left="340"/>
              <w:spacing w:after="0"/>
              <w:rPr>
                <w:sz w:val="20"/>
                <w:szCs w:val="20"/>
                <w:color w:val="auto"/>
              </w:rPr>
            </w:pPr>
            <w:r>
              <w:rPr>
                <w:rFonts w:ascii="Arial" w:cs="Arial" w:eastAsia="Arial" w:hAnsi="Arial"/>
                <w:sz w:val="18"/>
                <w:szCs w:val="18"/>
                <w:color w:val="auto"/>
              </w:rPr>
              <w:t>Total interest expense</w:t>
            </w:r>
          </w:p>
        </w:tc>
        <w:tc>
          <w:tcPr>
            <w:tcW w:w="1680" w:type="dxa"/>
            <w:vAlign w:val="bottom"/>
          </w:tcPr>
          <w:p>
            <w:pPr>
              <w:jc w:val="right"/>
              <w:spacing w:after="0"/>
              <w:rPr>
                <w:sz w:val="20"/>
                <w:szCs w:val="20"/>
                <w:color w:val="auto"/>
              </w:rPr>
            </w:pPr>
            <w:r>
              <w:rPr>
                <w:rFonts w:ascii="Arial" w:cs="Arial" w:eastAsia="Arial" w:hAnsi="Arial"/>
                <w:sz w:val="18"/>
                <w:szCs w:val="18"/>
                <w:color w:val="auto"/>
              </w:rPr>
              <w:t>US$318,542</w:t>
            </w:r>
          </w:p>
        </w:tc>
        <w:tc>
          <w:tcPr>
            <w:tcW w:w="20" w:type="dxa"/>
            <w:vAlign w:val="bottom"/>
          </w:tcPr>
          <w:p>
            <w:pPr>
              <w:spacing w:after="0"/>
              <w:rPr>
                <w:sz w:val="24"/>
                <w:szCs w:val="24"/>
                <w:color w:val="auto"/>
              </w:rPr>
            </w:pPr>
          </w:p>
        </w:tc>
        <w:tc>
          <w:tcPr>
            <w:tcW w:w="2100" w:type="dxa"/>
            <w:vAlign w:val="bottom"/>
            <w:gridSpan w:val="3"/>
          </w:tcPr>
          <w:p>
            <w:pPr>
              <w:jc w:val="right"/>
              <w:ind w:right="400"/>
              <w:spacing w:after="0"/>
              <w:rPr>
                <w:sz w:val="20"/>
                <w:szCs w:val="20"/>
                <w:color w:val="auto"/>
              </w:rPr>
            </w:pPr>
            <w:r>
              <w:rPr>
                <w:rFonts w:ascii="Arial" w:cs="Arial" w:eastAsia="Arial" w:hAnsi="Arial"/>
                <w:sz w:val="18"/>
                <w:szCs w:val="18"/>
                <w:color w:val="auto"/>
              </w:rPr>
              <w:t>US$178,070</w:t>
            </w:r>
          </w:p>
        </w:tc>
        <w:tc>
          <w:tcPr>
            <w:tcW w:w="1320" w:type="dxa"/>
            <w:vAlign w:val="bottom"/>
          </w:tcPr>
          <w:p>
            <w:pPr>
              <w:jc w:val="right"/>
              <w:spacing w:after="0"/>
              <w:rPr>
                <w:sz w:val="20"/>
                <w:szCs w:val="20"/>
                <w:color w:val="auto"/>
              </w:rPr>
            </w:pPr>
            <w:r>
              <w:rPr>
                <w:rFonts w:ascii="Arial" w:cs="Arial" w:eastAsia="Arial" w:hAnsi="Arial"/>
                <w:sz w:val="18"/>
                <w:szCs w:val="18"/>
                <w:color w:val="auto"/>
              </w:rPr>
              <w:t>US$162,314</w:t>
            </w:r>
          </w:p>
        </w:tc>
      </w:tr>
      <w:tr>
        <w:trPr>
          <w:trHeight w:val="137"/>
        </w:trPr>
        <w:tc>
          <w:tcPr>
            <w:tcW w:w="62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r>
      <w:tr>
        <w:trPr>
          <w:trHeight w:val="356"/>
        </w:trPr>
        <w:tc>
          <w:tcPr>
            <w:tcW w:w="6240" w:type="dxa"/>
            <w:vAlign w:val="bottom"/>
          </w:tcPr>
          <w:p>
            <w:pPr>
              <w:ind w:left="340"/>
              <w:spacing w:after="0"/>
              <w:rPr>
                <w:sz w:val="20"/>
                <w:szCs w:val="20"/>
                <w:color w:val="auto"/>
              </w:rPr>
            </w:pPr>
            <w:r>
              <w:rPr>
                <w:rFonts w:ascii="Arial" w:cs="Arial" w:eastAsia="Arial" w:hAnsi="Arial"/>
                <w:sz w:val="18"/>
                <w:szCs w:val="18"/>
                <w:color w:val="auto"/>
              </w:rPr>
              <w:t>Net interest income</w:t>
            </w:r>
          </w:p>
        </w:tc>
        <w:tc>
          <w:tcPr>
            <w:tcW w:w="1680" w:type="dxa"/>
            <w:vAlign w:val="bottom"/>
          </w:tcPr>
          <w:p>
            <w:pPr>
              <w:jc w:val="right"/>
              <w:spacing w:after="0"/>
              <w:rPr>
                <w:sz w:val="20"/>
                <w:szCs w:val="20"/>
                <w:color w:val="auto"/>
              </w:rPr>
            </w:pPr>
            <w:r>
              <w:rPr>
                <w:rFonts w:ascii="Arial" w:cs="Arial" w:eastAsia="Arial" w:hAnsi="Arial"/>
                <w:sz w:val="18"/>
                <w:szCs w:val="18"/>
                <w:color w:val="auto"/>
              </w:rPr>
              <w:t>US$376,230</w:t>
            </w:r>
          </w:p>
        </w:tc>
        <w:tc>
          <w:tcPr>
            <w:tcW w:w="20" w:type="dxa"/>
            <w:vAlign w:val="bottom"/>
          </w:tcPr>
          <w:p>
            <w:pPr>
              <w:spacing w:after="0"/>
              <w:rPr>
                <w:sz w:val="24"/>
                <w:szCs w:val="24"/>
                <w:color w:val="auto"/>
              </w:rPr>
            </w:pPr>
          </w:p>
        </w:tc>
        <w:tc>
          <w:tcPr>
            <w:tcW w:w="2100" w:type="dxa"/>
            <w:vAlign w:val="bottom"/>
            <w:gridSpan w:val="3"/>
          </w:tcPr>
          <w:p>
            <w:pPr>
              <w:jc w:val="right"/>
              <w:ind w:right="400"/>
              <w:spacing w:after="0"/>
              <w:rPr>
                <w:sz w:val="20"/>
                <w:szCs w:val="20"/>
                <w:color w:val="auto"/>
              </w:rPr>
            </w:pPr>
            <w:r>
              <w:rPr>
                <w:rFonts w:ascii="Arial" w:cs="Arial" w:eastAsia="Arial" w:hAnsi="Arial"/>
                <w:sz w:val="18"/>
                <w:szCs w:val="18"/>
                <w:color w:val="auto"/>
              </w:rPr>
              <w:t>US$353,804</w:t>
            </w:r>
          </w:p>
        </w:tc>
        <w:tc>
          <w:tcPr>
            <w:tcW w:w="1320" w:type="dxa"/>
            <w:vAlign w:val="bottom"/>
          </w:tcPr>
          <w:p>
            <w:pPr>
              <w:jc w:val="right"/>
              <w:spacing w:after="0"/>
              <w:rPr>
                <w:sz w:val="20"/>
                <w:szCs w:val="20"/>
                <w:color w:val="auto"/>
              </w:rPr>
            </w:pPr>
            <w:r>
              <w:rPr>
                <w:rFonts w:ascii="Arial" w:cs="Arial" w:eastAsia="Arial" w:hAnsi="Arial"/>
                <w:sz w:val="18"/>
                <w:szCs w:val="18"/>
                <w:color w:val="auto"/>
              </w:rPr>
              <w:t>US$385,971</w:t>
            </w:r>
          </w:p>
        </w:tc>
      </w:tr>
      <w:tr>
        <w:trPr>
          <w:trHeight w:val="147"/>
        </w:trPr>
        <w:tc>
          <w:tcPr>
            <w:tcW w:w="6240" w:type="dxa"/>
            <w:vAlign w:val="bottom"/>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-3822065</wp:posOffset>
            </wp:positionV>
            <wp:extent cx="34290" cy="342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-3495675</wp:posOffset>
            </wp:positionV>
            <wp:extent cx="34290" cy="342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-3495675</wp:posOffset>
            </wp:positionV>
            <wp:extent cx="34290" cy="342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-3495675</wp:posOffset>
            </wp:positionV>
            <wp:extent cx="34290" cy="342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-2089785</wp:posOffset>
            </wp:positionV>
            <wp:extent cx="34290" cy="342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-2089785</wp:posOffset>
            </wp:positionV>
            <wp:extent cx="34290" cy="342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-2089785</wp:posOffset>
            </wp:positionV>
            <wp:extent cx="34290" cy="342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-683260</wp:posOffset>
            </wp:positionV>
            <wp:extent cx="34290" cy="342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-683260</wp:posOffset>
            </wp:positionV>
            <wp:extent cx="34290" cy="342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-683260</wp:posOffset>
            </wp:positionV>
            <wp:extent cx="34290" cy="342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-356870</wp:posOffset>
            </wp:positionV>
            <wp:extent cx="34290" cy="342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-356870</wp:posOffset>
            </wp:positionV>
            <wp:extent cx="34290" cy="342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-356870</wp:posOffset>
            </wp:positionV>
            <wp:extent cx="34290" cy="342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-14605</wp:posOffset>
            </wp:positionV>
            <wp:extent cx="1270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-14605</wp:posOffset>
            </wp:positionV>
            <wp:extent cx="1270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-14605</wp:posOffset>
            </wp:positionV>
            <wp:extent cx="1270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-14605</wp:posOffset>
            </wp:positionV>
            <wp:extent cx="127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-14605</wp:posOffset>
            </wp:positionV>
            <wp:extent cx="127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-14605</wp:posOffset>
            </wp:positionV>
            <wp:extent cx="127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2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Credicorp's net interest income increased 9.1% in 2003 compared to 2002, which in turn decreased 6.0% compared to 2001.</w:t>
      </w:r>
    </w:p>
    <w:p>
      <w:pPr>
        <w:spacing w:after="0" w:line="225"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i w:val="1"/>
          <w:iCs w:val="1"/>
          <w:color w:val="auto"/>
        </w:rPr>
        <w:t xml:space="preserve">Interest Income </w:t>
      </w:r>
      <w:r>
        <w:rPr>
          <w:rFonts w:ascii="Arial" w:cs="Arial" w:eastAsia="Arial" w:hAnsi="Arial"/>
          <w:sz w:val="16"/>
          <w:szCs w:val="16"/>
          <w:color w:val="auto"/>
        </w:rPr>
        <w:t>. Interest income grew 3.1% in 2003, after decreasing 23.5% in 2002 compared to 2001. The increase in 2003 is primarily due to higher</w:t>
      </w:r>
      <w:r>
        <w:rPr>
          <w:rFonts w:ascii="Arial" w:cs="Arial" w:eastAsia="Arial" w:hAnsi="Arial"/>
          <w:sz w:val="16"/>
          <w:szCs w:val="16"/>
          <w:i w:val="1"/>
          <w:iCs w:val="1"/>
          <w:color w:val="auto"/>
        </w:rPr>
        <w:t xml:space="preserve"> </w:t>
      </w:r>
      <w:r>
        <w:rPr>
          <w:rFonts w:ascii="Arial" w:cs="Arial" w:eastAsia="Arial" w:hAnsi="Arial"/>
          <w:sz w:val="16"/>
          <w:szCs w:val="16"/>
          <w:color w:val="auto"/>
        </w:rPr>
        <w:t>average loan volumes and other interest earning assets resulting mainly from the acquisition of BSCH-Perú. Interest income decreased during 2002 principally due to lower interest rates on loans and lower loan volumes. In these periods, Credicorp continued having excess liquidity resulting from reduced economic activity in Perú and, particularly in 2003, from competition from the capital markets which offered financing at lower costs to the corporate sector. Another contributing factor was the continuing policy of Credicorp's management to tighten credit requirements in the Middle Market and Small Business segments. See “Item 4. Information on the Company—(B) Business Overview—(12) Selected Statistical Information.”</w:t>
      </w:r>
    </w:p>
    <w:p>
      <w:pPr>
        <w:spacing w:after="0" w:line="174" w:lineRule="exact"/>
        <w:rPr>
          <w:sz w:val="20"/>
          <w:szCs w:val="20"/>
          <w:color w:val="auto"/>
        </w:rPr>
      </w:pPr>
    </w:p>
    <w:p>
      <w:pPr>
        <w:jc w:val="both"/>
        <w:ind w:firstLine="189"/>
        <w:spacing w:after="0" w:line="306" w:lineRule="auto"/>
        <w:rPr>
          <w:sz w:val="20"/>
          <w:szCs w:val="20"/>
          <w:color w:val="auto"/>
        </w:rPr>
      </w:pPr>
      <w:r>
        <w:rPr>
          <w:rFonts w:ascii="Arial" w:cs="Arial" w:eastAsia="Arial" w:hAnsi="Arial"/>
          <w:sz w:val="16"/>
          <w:szCs w:val="16"/>
          <w:color w:val="auto"/>
        </w:rPr>
        <w:t>Average nominal interest rates earned by Credicorp on its loans increased to 10.3% in 2003, from 10.1% in 2002, which in turn fell from 12.4% in 2001. The average nominal interest rate for foreign currency-denominated loans was 10.7% in 2001, decreasing to 8.5% in 2002, but increased to 8.8% in 2003. Interest rates for Nuevo Sol-denominated loans decreased from 24.5% in 2001 to 20.4% in 2002, and further to 18.5% in 2003.</w:t>
      </w:r>
    </w:p>
    <w:p>
      <w:pPr>
        <w:spacing w:after="0" w:line="161"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The quarterly average balance of Credicorp's foreign currency-denominated loan portfolio increased 4.4% to US$3,755.2 million in 2003, from US$3,595.2 million in 2002, which in turn decreased 5.9% from US$3,819.9 million in 2001. The average balance of Credicorp's Nuevo Sol-denominated loan portfolio remained virtually unchanged from 2001 to 2002 with a balance of US$560.1 million at year end, but grew 23.7% to US$692.6 million in 2003. Credicorp's excess liquidity continued through 2003, but the adverse economic situation made it difficult to place loans adequately. During 2003, an increasing proportion of loans went to small business, housing mortgages and consumer segments presenting higher risk, but these segments also yielded higher margins. See “Item 4. Information on the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347" w:right="239" w:bottom="1440" w:gutter="0" w:footer="0" w:header="0"/>
        </w:sectPr>
      </w:pPr>
    </w:p>
    <w:bookmarkStart w:id="86" w:name="page87"/>
    <w:bookmarkEnd w:id="86"/>
    <w:p>
      <w:pPr>
        <w:jc w:val="both"/>
        <w:spacing w:after="0" w:line="268" w:lineRule="auto"/>
        <w:rPr>
          <w:sz w:val="20"/>
          <w:szCs w:val="20"/>
          <w:color w:val="auto"/>
        </w:rPr>
      </w:pPr>
      <w:r>
        <w:rPr>
          <w:rFonts w:ascii="Arial" w:cs="Arial" w:eastAsia="Arial" w:hAnsi="Arial"/>
          <w:sz w:val="18"/>
          <w:szCs w:val="18"/>
          <w:color w:val="auto"/>
        </w:rPr>
        <w:t>Company—(B) Business Overview—(3) Commercial Banking—(ii) Retail Banking” and “Item 4. Information on the Company—(B) Business Overview—(12) Selected Statistical Information.”</w:t>
      </w:r>
    </w:p>
    <w:p>
      <w:pPr>
        <w:spacing w:after="0" w:line="186" w:lineRule="exact"/>
        <w:rPr>
          <w:sz w:val="20"/>
          <w:szCs w:val="20"/>
          <w:color w:val="auto"/>
        </w:rPr>
      </w:pPr>
    </w:p>
    <w:p>
      <w:pPr>
        <w:jc w:val="both"/>
        <w:ind w:firstLine="176"/>
        <w:spacing w:after="0" w:line="256" w:lineRule="auto"/>
        <w:rPr>
          <w:sz w:val="20"/>
          <w:szCs w:val="20"/>
          <w:color w:val="auto"/>
        </w:rPr>
      </w:pPr>
      <w:r>
        <w:rPr>
          <w:rFonts w:ascii="Arial" w:cs="Arial" w:eastAsia="Arial" w:hAnsi="Arial"/>
          <w:sz w:val="18"/>
          <w:szCs w:val="18"/>
          <w:color w:val="auto"/>
        </w:rPr>
        <w:t>Credicorp's planned shift in its loan portfolio to middle market, small and micro-businesses, and consumer lending could be accompanied by increased risk, not only due to the speed and magnitude of the shift, but also to Credicorp's lack of experience in lending in these areas, as compared to its experience in more traditional corporate lending activities. Given the changing composition of Credicorp's loan portfolio, Credicorp's historical loss experience may not be indicative of its future loan loss experience.</w:t>
      </w:r>
    </w:p>
    <w:p>
      <w:pPr>
        <w:spacing w:after="0" w:line="197" w:lineRule="exact"/>
        <w:rPr>
          <w:sz w:val="20"/>
          <w:szCs w:val="20"/>
          <w:color w:val="auto"/>
        </w:rPr>
      </w:pPr>
    </w:p>
    <w:p>
      <w:pPr>
        <w:jc w:val="both"/>
        <w:ind w:firstLine="216"/>
        <w:spacing w:after="0" w:line="291"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Interest expense decreased 8.9% in 2003 compared to 2002, and by 44.1% in 2002 compared to 2001. Lower interest expense in 2003 and</w:t>
      </w:r>
      <w:r>
        <w:rPr>
          <w:rFonts w:ascii="Arial" w:cs="Arial" w:eastAsia="Arial" w:hAnsi="Arial"/>
          <w:sz w:val="16"/>
          <w:szCs w:val="16"/>
          <w:i w:val="1"/>
          <w:iCs w:val="1"/>
          <w:color w:val="auto"/>
        </w:rPr>
        <w:t xml:space="preserve"> </w:t>
      </w:r>
      <w:r>
        <w:rPr>
          <w:rFonts w:ascii="Arial" w:cs="Arial" w:eastAsia="Arial" w:hAnsi="Arial"/>
          <w:sz w:val="16"/>
          <w:szCs w:val="16"/>
          <w:color w:val="auto"/>
        </w:rPr>
        <w:t>2002 was principally due to decreased interest rates on deposits. Interest rates paid on foreign currency-denominated deposits decreased from 4.8% in 2001 to 3.1% in 2002 and further to 2.5% in 2003. Interest paid on Nuevo Sol-denominated deposits decreased from 6.0% in 2001 to 2.5% in 2002, and further to 2.3% in 2003. The decrease in the average nominal interest rate paid on both foreign currency-denominated deposits and Nuevo Sol-denominated deposits resulted primarily from excess liquidity in Perú's major banks and also as a result of low rates in international capital markets. See “Item 4. Information on the Company —(B) Business Overview—(8) Competition” and “Item 4. Information on the Company—(B) Business Overview—(12) Selected Statistical Information.”</w:t>
      </w:r>
    </w:p>
    <w:p>
      <w:pPr>
        <w:spacing w:after="0" w:line="174"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Credicorp's average foreign currency-denominated deposits increased 15.0% to US$4,762.2 million in 2003 from US$4,141.2 million in 2002, which in turn decreased 5.2% from US$4,369.4 million in 2001. Credicorp's average Nuevo Sol-denominated deposits grew 25.1% in 2003 to US$1,191.3 million, from US$952.0 million in 2002 which in turn represented a 15.3% increase from US$825.8 million in 2001. See “Item 4. Information on the Company—(B) Business Overview—(12) Selected Statistical Information.”</w:t>
      </w:r>
    </w:p>
    <w:p>
      <w:pPr>
        <w:spacing w:after="0" w:line="197"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6"/>
          <w:szCs w:val="16"/>
          <w:i w:val="1"/>
          <w:iCs w:val="1"/>
          <w:color w:val="auto"/>
        </w:rPr>
        <w:t xml:space="preserve">Net interest margin. </w:t>
      </w:r>
      <w:r>
        <w:rPr>
          <w:rFonts w:ascii="Arial" w:cs="Arial" w:eastAsia="Arial" w:hAnsi="Arial"/>
          <w:sz w:val="16"/>
          <w:szCs w:val="16"/>
          <w:color w:val="auto"/>
        </w:rPr>
        <w:t>Credicorp's net interest margin (net interest income divided by average interest-earning assets) decreased from 5.3% in 2001 to 5.1% in</w:t>
      </w:r>
      <w:r>
        <w:rPr>
          <w:rFonts w:ascii="Arial" w:cs="Arial" w:eastAsia="Arial" w:hAnsi="Arial"/>
          <w:sz w:val="16"/>
          <w:szCs w:val="16"/>
          <w:i w:val="1"/>
          <w:iCs w:val="1"/>
          <w:color w:val="auto"/>
        </w:rPr>
        <w:t xml:space="preserve"> </w:t>
      </w:r>
      <w:r>
        <w:rPr>
          <w:rFonts w:ascii="Arial" w:cs="Arial" w:eastAsia="Arial" w:hAnsi="Arial"/>
          <w:sz w:val="16"/>
          <w:szCs w:val="16"/>
          <w:color w:val="auto"/>
        </w:rPr>
        <w:t>2002, but remained nearly unchanged at 5.2% during 2003 as lower returns on interest-earning assets, mostly securities and Nuevos Soles loans, were offset by lower funding costs. The net interest margin decreased in 2002 mainly due to lower returns on Nuevo Sol-denominated investments and loans due to the stability of the exchange rate. See “Item 4. Information on the Company—(B) Business Overview—(12) Selected Statistical Information.”</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Provision for Loan Losses</w:t>
      </w:r>
    </w:p>
    <w:p>
      <w:pPr>
        <w:spacing w:after="0" w:line="225" w:lineRule="exact"/>
        <w:rPr>
          <w:sz w:val="20"/>
          <w:szCs w:val="20"/>
          <w:color w:val="auto"/>
        </w:rPr>
      </w:pPr>
    </w:p>
    <w:p>
      <w:pPr>
        <w:jc w:val="both"/>
        <w:ind w:firstLine="189"/>
        <w:spacing w:after="0" w:line="256" w:lineRule="auto"/>
        <w:rPr>
          <w:sz w:val="20"/>
          <w:szCs w:val="20"/>
          <w:color w:val="auto"/>
        </w:rPr>
      </w:pPr>
      <w:r>
        <w:rPr>
          <w:rFonts w:ascii="Arial" w:cs="Arial" w:eastAsia="Arial" w:hAnsi="Arial"/>
          <w:sz w:val="18"/>
          <w:szCs w:val="18"/>
          <w:color w:val="auto"/>
        </w:rPr>
        <w:t>Credicorp classifies by risk category all of its loans and other credits. Credicorp establishes specific loan loss reserves based on the classification of particular loans (see “Item 4. Information on the Company—(B) Business Overview—(12) Selected Statistical Information—(iii) Loan Portfolio—Classification of the Loan Portfolio”). Credicorp does not anticipate that the expansion of its loan portfolio or the consolidation of the activities of its subsidiaries will necessitate a change in its reserve policy.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806" w:right="239" w:bottom="1440" w:gutter="0" w:footer="0" w:header="0"/>
        </w:sectPr>
      </w:pPr>
    </w:p>
    <w:bookmarkStart w:id="87" w:name="page88"/>
    <w:bookmarkEnd w:id="87"/>
    <w:p>
      <w:pPr>
        <w:ind w:left="180"/>
        <w:spacing w:after="0"/>
        <w:rPr>
          <w:sz w:val="20"/>
          <w:szCs w:val="20"/>
          <w:color w:val="auto"/>
        </w:rPr>
      </w:pPr>
      <w:r>
        <w:rPr>
          <w:rFonts w:ascii="Arial" w:cs="Arial" w:eastAsia="Arial" w:hAnsi="Arial"/>
          <w:sz w:val="18"/>
          <w:szCs w:val="18"/>
          <w:color w:val="auto"/>
        </w:rPr>
        <w:t>The following table sets forth the movements in Credicorp's reserve for loan losses:</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45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100" w:type="dxa"/>
            <w:vAlign w:val="bottom"/>
            <w:gridSpan w:val="5"/>
          </w:tcPr>
          <w:p>
            <w:pPr>
              <w:jc w:val="center"/>
              <w:ind w:left="892"/>
              <w:spacing w:after="0"/>
              <w:rPr>
                <w:sz w:val="20"/>
                <w:szCs w:val="20"/>
                <w:color w:val="auto"/>
              </w:rPr>
            </w:pPr>
            <w:r>
              <w:rPr>
                <w:rFonts w:ascii="Arial" w:cs="Arial" w:eastAsia="Arial" w:hAnsi="Arial"/>
                <w:sz w:val="18"/>
                <w:szCs w:val="18"/>
                <w:b w:val="1"/>
                <w:bCs w:val="1"/>
                <w:color w:val="auto"/>
                <w:w w:val="87"/>
              </w:rPr>
              <w:t>Year ended December 31,</w:t>
            </w: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4520" w:type="dxa"/>
            <w:vAlign w:val="bottom"/>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43"/>
        </w:trPr>
        <w:tc>
          <w:tcPr>
            <w:tcW w:w="4520" w:type="dxa"/>
            <w:vAlign w:val="bottom"/>
          </w:tcPr>
          <w:p>
            <w:pPr>
              <w:spacing w:after="0"/>
              <w:rPr>
                <w:sz w:val="24"/>
                <w:szCs w:val="24"/>
                <w:color w:val="auto"/>
              </w:rPr>
            </w:pPr>
          </w:p>
        </w:tc>
        <w:tc>
          <w:tcPr>
            <w:tcW w:w="1340" w:type="dxa"/>
            <w:vAlign w:val="bottom"/>
          </w:tcPr>
          <w:p>
            <w:pPr>
              <w:jc w:val="right"/>
              <w:ind w:right="392"/>
              <w:spacing w:after="0"/>
              <w:rPr>
                <w:sz w:val="20"/>
                <w:szCs w:val="20"/>
                <w:color w:val="auto"/>
              </w:rPr>
            </w:pPr>
            <w:r>
              <w:rPr>
                <w:rFonts w:ascii="Arial" w:cs="Arial" w:eastAsia="Arial" w:hAnsi="Arial"/>
                <w:sz w:val="18"/>
                <w:szCs w:val="18"/>
                <w:b w:val="1"/>
                <w:bCs w:val="1"/>
                <w:color w:val="auto"/>
              </w:rPr>
              <w:t>1999</w:t>
            </w:r>
          </w:p>
        </w:tc>
        <w:tc>
          <w:tcPr>
            <w:tcW w:w="1380" w:type="dxa"/>
            <w:vAlign w:val="bottom"/>
            <w:gridSpan w:val="2"/>
          </w:tcPr>
          <w:p>
            <w:pPr>
              <w:jc w:val="right"/>
              <w:ind w:right="412"/>
              <w:spacing w:after="0"/>
              <w:rPr>
                <w:sz w:val="20"/>
                <w:szCs w:val="20"/>
                <w:color w:val="auto"/>
              </w:rPr>
            </w:pPr>
            <w:r>
              <w:rPr>
                <w:rFonts w:ascii="Arial" w:cs="Arial" w:eastAsia="Arial" w:hAnsi="Arial"/>
                <w:sz w:val="18"/>
                <w:szCs w:val="18"/>
                <w:b w:val="1"/>
                <w:bCs w:val="1"/>
                <w:color w:val="auto"/>
              </w:rPr>
              <w:t>2000</w:t>
            </w:r>
          </w:p>
        </w:tc>
        <w:tc>
          <w:tcPr>
            <w:tcW w:w="4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4"/>
              </w:rPr>
              <w:t>2001</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392"/>
              <w:spacing w:after="0"/>
              <w:rPr>
                <w:sz w:val="20"/>
                <w:szCs w:val="20"/>
                <w:color w:val="auto"/>
              </w:rPr>
            </w:pPr>
            <w:r>
              <w:rPr>
                <w:rFonts w:ascii="Arial" w:cs="Arial" w:eastAsia="Arial" w:hAnsi="Arial"/>
                <w:sz w:val="18"/>
                <w:szCs w:val="18"/>
                <w:b w:val="1"/>
                <w:bCs w:val="1"/>
                <w:color w:val="auto"/>
              </w:rPr>
              <w:t>2002</w:t>
            </w:r>
          </w:p>
        </w:tc>
        <w:tc>
          <w:tcPr>
            <w:tcW w:w="40" w:type="dxa"/>
            <w:vAlign w:val="bottom"/>
          </w:tcPr>
          <w:p>
            <w:pPr>
              <w:spacing w:after="0"/>
              <w:rPr>
                <w:sz w:val="24"/>
                <w:szCs w:val="24"/>
                <w:color w:val="auto"/>
              </w:rPr>
            </w:pPr>
          </w:p>
        </w:tc>
        <w:tc>
          <w:tcPr>
            <w:tcW w:w="1340" w:type="dxa"/>
            <w:vAlign w:val="bottom"/>
          </w:tcPr>
          <w:p>
            <w:pPr>
              <w:jc w:val="right"/>
              <w:ind w:right="412"/>
              <w:spacing w:after="0"/>
              <w:rPr>
                <w:sz w:val="20"/>
                <w:szCs w:val="20"/>
                <w:color w:val="auto"/>
              </w:rPr>
            </w:pPr>
            <w:r>
              <w:rPr>
                <w:rFonts w:ascii="Arial" w:cs="Arial" w:eastAsia="Arial" w:hAnsi="Arial"/>
                <w:sz w:val="18"/>
                <w:szCs w:val="18"/>
                <w:b w:val="1"/>
                <w:bCs w:val="1"/>
                <w:color w:val="auto"/>
              </w:rPr>
              <w:t>2003</w:t>
            </w:r>
          </w:p>
        </w:tc>
        <w:tc>
          <w:tcPr>
            <w:tcW w:w="0" w:type="dxa"/>
            <w:vAlign w:val="bottom"/>
          </w:tcPr>
          <w:p>
            <w:pPr>
              <w:spacing w:after="0"/>
              <w:rPr>
                <w:sz w:val="1"/>
                <w:szCs w:val="1"/>
                <w:color w:val="auto"/>
              </w:rPr>
            </w:pPr>
          </w:p>
        </w:tc>
      </w:tr>
      <w:tr>
        <w:trPr>
          <w:trHeight w:val="151"/>
        </w:trPr>
        <w:tc>
          <w:tcPr>
            <w:tcW w:w="4520" w:type="dxa"/>
            <w:vAlign w:val="bottom"/>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43"/>
        </w:trPr>
        <w:tc>
          <w:tcPr>
            <w:tcW w:w="4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00" w:type="dxa"/>
            <w:vAlign w:val="bottom"/>
            <w:gridSpan w:val="5"/>
          </w:tcPr>
          <w:p>
            <w:pPr>
              <w:jc w:val="center"/>
              <w:ind w:left="872"/>
              <w:spacing w:after="0"/>
              <w:rPr>
                <w:sz w:val="20"/>
                <w:szCs w:val="20"/>
                <w:color w:val="auto"/>
              </w:rPr>
            </w:pPr>
            <w:r>
              <w:rPr>
                <w:rFonts w:ascii="Arial" w:cs="Arial" w:eastAsia="Arial" w:hAnsi="Arial"/>
                <w:sz w:val="18"/>
                <w:szCs w:val="18"/>
                <w:i w:val="1"/>
                <w:iCs w:val="1"/>
                <w:color w:val="auto"/>
                <w:w w:val="90"/>
              </w:rPr>
              <w:t>(U.S. Dollars in thousands)</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520" w:type="dxa"/>
            <w:vAlign w:val="bottom"/>
          </w:tcPr>
          <w:p>
            <w:pPr>
              <w:spacing w:after="0"/>
              <w:rPr>
                <w:sz w:val="20"/>
                <w:szCs w:val="20"/>
                <w:color w:val="auto"/>
              </w:rPr>
            </w:pPr>
            <w:r>
              <w:rPr>
                <w:rFonts w:ascii="Arial" w:cs="Arial" w:eastAsia="Arial" w:hAnsi="Arial"/>
                <w:sz w:val="18"/>
                <w:szCs w:val="18"/>
                <w:color w:val="auto"/>
              </w:rPr>
              <w:t>Reserves for loan losses at</w:t>
            </w:r>
          </w:p>
        </w:tc>
        <w:tc>
          <w:tcPr>
            <w:tcW w:w="1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520" w:type="dxa"/>
            <w:vAlign w:val="bottom"/>
          </w:tcPr>
          <w:p>
            <w:pPr>
              <w:ind w:left="180"/>
              <w:spacing w:after="0"/>
              <w:rPr>
                <w:sz w:val="20"/>
                <w:szCs w:val="20"/>
                <w:color w:val="auto"/>
              </w:rPr>
            </w:pPr>
            <w:r>
              <w:rPr>
                <w:rFonts w:ascii="Arial" w:cs="Arial" w:eastAsia="Arial" w:hAnsi="Arial"/>
                <w:sz w:val="18"/>
                <w:szCs w:val="18"/>
                <w:color w:val="auto"/>
              </w:rPr>
              <w:t>the beginning of the year</w:t>
            </w:r>
          </w:p>
        </w:tc>
        <w:tc>
          <w:tcPr>
            <w:tcW w:w="1340" w:type="dxa"/>
            <w:vAlign w:val="bottom"/>
          </w:tcPr>
          <w:p>
            <w:pPr>
              <w:jc w:val="right"/>
              <w:spacing w:after="0"/>
              <w:rPr>
                <w:sz w:val="20"/>
                <w:szCs w:val="20"/>
                <w:color w:val="auto"/>
              </w:rPr>
            </w:pPr>
            <w:r>
              <w:rPr>
                <w:rFonts w:ascii="Arial" w:cs="Arial" w:eastAsia="Arial" w:hAnsi="Arial"/>
                <w:sz w:val="18"/>
                <w:szCs w:val="18"/>
                <w:color w:val="auto"/>
              </w:rPr>
              <w:t>US$270,082</w:t>
            </w:r>
          </w:p>
        </w:tc>
        <w:tc>
          <w:tcPr>
            <w:tcW w:w="4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US$307,343</w:t>
            </w:r>
          </w:p>
        </w:tc>
        <w:tc>
          <w:tcPr>
            <w:tcW w:w="1720" w:type="dxa"/>
            <w:vAlign w:val="bottom"/>
            <w:gridSpan w:val="3"/>
          </w:tcPr>
          <w:p>
            <w:pPr>
              <w:ind w:left="460"/>
              <w:spacing w:after="0"/>
              <w:rPr>
                <w:sz w:val="20"/>
                <w:szCs w:val="20"/>
                <w:color w:val="auto"/>
              </w:rPr>
            </w:pPr>
            <w:r>
              <w:rPr>
                <w:rFonts w:ascii="Arial" w:cs="Arial" w:eastAsia="Arial" w:hAnsi="Arial"/>
                <w:sz w:val="18"/>
                <w:szCs w:val="18"/>
                <w:color w:val="auto"/>
              </w:rPr>
              <w:t>US$341,487</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US$344,433</w:t>
            </w:r>
          </w:p>
        </w:tc>
        <w:tc>
          <w:tcPr>
            <w:tcW w:w="1340" w:type="dxa"/>
            <w:vAlign w:val="bottom"/>
          </w:tcPr>
          <w:p>
            <w:pPr>
              <w:jc w:val="right"/>
              <w:spacing w:after="0"/>
              <w:rPr>
                <w:sz w:val="20"/>
                <w:szCs w:val="20"/>
                <w:color w:val="auto"/>
              </w:rPr>
            </w:pPr>
            <w:r>
              <w:rPr>
                <w:rFonts w:ascii="Arial" w:cs="Arial" w:eastAsia="Arial" w:hAnsi="Arial"/>
                <w:sz w:val="18"/>
                <w:szCs w:val="18"/>
                <w:color w:val="auto"/>
              </w:rPr>
              <w:t>US$424,031</w:t>
            </w:r>
          </w:p>
        </w:tc>
        <w:tc>
          <w:tcPr>
            <w:tcW w:w="0" w:type="dxa"/>
            <w:vAlign w:val="bottom"/>
          </w:tcPr>
          <w:p>
            <w:pPr>
              <w:spacing w:after="0"/>
              <w:rPr>
                <w:sz w:val="1"/>
                <w:szCs w:val="1"/>
                <w:color w:val="auto"/>
              </w:rPr>
            </w:pP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Additional provisions</w:t>
            </w:r>
          </w:p>
        </w:tc>
        <w:tc>
          <w:tcPr>
            <w:tcW w:w="1340" w:type="dxa"/>
            <w:vAlign w:val="bottom"/>
          </w:tcPr>
          <w:p>
            <w:pPr>
              <w:jc w:val="right"/>
              <w:spacing w:after="0"/>
              <w:rPr>
                <w:sz w:val="20"/>
                <w:szCs w:val="20"/>
                <w:color w:val="auto"/>
              </w:rPr>
            </w:pPr>
            <w:r>
              <w:rPr>
                <w:rFonts w:ascii="Arial" w:cs="Arial" w:eastAsia="Arial" w:hAnsi="Arial"/>
                <w:sz w:val="18"/>
                <w:szCs w:val="18"/>
                <w:color w:val="auto"/>
              </w:rPr>
              <w:t>181,220</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170,102</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119,422</w:t>
            </w:r>
          </w:p>
        </w:tc>
        <w:tc>
          <w:tcPr>
            <w:tcW w:w="34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99,596</w:t>
            </w:r>
          </w:p>
        </w:tc>
        <w:tc>
          <w:tcPr>
            <w:tcW w:w="1340" w:type="dxa"/>
            <w:vAlign w:val="bottom"/>
          </w:tcPr>
          <w:p>
            <w:pPr>
              <w:jc w:val="right"/>
              <w:spacing w:after="0"/>
              <w:rPr>
                <w:sz w:val="20"/>
                <w:szCs w:val="20"/>
                <w:color w:val="auto"/>
              </w:rPr>
            </w:pPr>
            <w:r>
              <w:rPr>
                <w:rFonts w:ascii="Arial" w:cs="Arial" w:eastAsia="Arial" w:hAnsi="Arial"/>
                <w:sz w:val="18"/>
                <w:szCs w:val="18"/>
                <w:color w:val="auto"/>
              </w:rPr>
              <w:t>66,421</w:t>
            </w:r>
          </w:p>
        </w:tc>
        <w:tc>
          <w:tcPr>
            <w:tcW w:w="0" w:type="dxa"/>
            <w:vAlign w:val="bottom"/>
          </w:tcPr>
          <w:p>
            <w:pPr>
              <w:spacing w:after="0"/>
              <w:rPr>
                <w:sz w:val="1"/>
                <w:szCs w:val="1"/>
                <w:color w:val="auto"/>
              </w:rPr>
            </w:pP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Acquisitions</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122,841</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Recoveries of write-offs</w:t>
            </w:r>
          </w:p>
        </w:tc>
        <w:tc>
          <w:tcPr>
            <w:tcW w:w="1340" w:type="dxa"/>
            <w:vAlign w:val="bottom"/>
          </w:tcPr>
          <w:p>
            <w:pPr>
              <w:jc w:val="right"/>
              <w:spacing w:after="0"/>
              <w:rPr>
                <w:sz w:val="20"/>
                <w:szCs w:val="20"/>
                <w:color w:val="auto"/>
              </w:rPr>
            </w:pPr>
            <w:r>
              <w:rPr>
                <w:rFonts w:ascii="Arial" w:cs="Arial" w:eastAsia="Arial" w:hAnsi="Arial"/>
                <w:sz w:val="18"/>
                <w:szCs w:val="18"/>
                <w:color w:val="auto"/>
              </w:rPr>
              <w:t>5,903</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7,825</w:t>
            </w:r>
          </w:p>
        </w:tc>
        <w:tc>
          <w:tcPr>
            <w:tcW w:w="1340" w:type="dxa"/>
            <w:vAlign w:val="bottom"/>
          </w:tcPr>
          <w:p>
            <w:pPr>
              <w:jc w:val="right"/>
              <w:spacing w:after="0"/>
              <w:rPr>
                <w:sz w:val="20"/>
                <w:szCs w:val="20"/>
                <w:color w:val="auto"/>
              </w:rPr>
            </w:pPr>
            <w:r>
              <w:rPr>
                <w:rFonts w:ascii="Arial" w:cs="Arial" w:eastAsia="Arial" w:hAnsi="Arial"/>
                <w:sz w:val="18"/>
                <w:szCs w:val="18"/>
                <w:color w:val="auto"/>
              </w:rPr>
              <w:t>14,935</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12,050</w:t>
            </w:r>
          </w:p>
        </w:tc>
        <w:tc>
          <w:tcPr>
            <w:tcW w:w="1340" w:type="dxa"/>
            <w:vAlign w:val="bottom"/>
          </w:tcPr>
          <w:p>
            <w:pPr>
              <w:jc w:val="right"/>
              <w:spacing w:after="0"/>
              <w:rPr>
                <w:sz w:val="20"/>
                <w:szCs w:val="20"/>
                <w:color w:val="auto"/>
              </w:rPr>
            </w:pPr>
            <w:r>
              <w:rPr>
                <w:rFonts w:ascii="Arial" w:cs="Arial" w:eastAsia="Arial" w:hAnsi="Arial"/>
                <w:sz w:val="18"/>
                <w:szCs w:val="18"/>
                <w:color w:val="auto"/>
              </w:rPr>
              <w:t>17,416</w:t>
            </w:r>
          </w:p>
        </w:tc>
        <w:tc>
          <w:tcPr>
            <w:tcW w:w="0" w:type="dxa"/>
            <w:vAlign w:val="bottom"/>
          </w:tcPr>
          <w:p>
            <w:pPr>
              <w:spacing w:after="0"/>
              <w:rPr>
                <w:sz w:val="1"/>
                <w:szCs w:val="1"/>
                <w:color w:val="auto"/>
              </w:rPr>
            </w:pP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Sales and write-offs</w:t>
            </w:r>
          </w:p>
        </w:tc>
        <w:tc>
          <w:tcPr>
            <w:tcW w:w="1340" w:type="dxa"/>
            <w:vAlign w:val="bottom"/>
          </w:tcPr>
          <w:p>
            <w:pPr>
              <w:jc w:val="right"/>
              <w:spacing w:after="0"/>
              <w:rPr>
                <w:sz w:val="20"/>
                <w:szCs w:val="20"/>
                <w:color w:val="auto"/>
              </w:rPr>
            </w:pPr>
            <w:r>
              <w:rPr>
                <w:rFonts w:ascii="Arial" w:cs="Arial" w:eastAsia="Arial" w:hAnsi="Arial"/>
                <w:sz w:val="18"/>
                <w:szCs w:val="18"/>
                <w:color w:val="auto"/>
              </w:rPr>
              <w:t>(156,976)</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(135,320)</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(124,690)</w:t>
            </w:r>
          </w:p>
        </w:tc>
        <w:tc>
          <w:tcPr>
            <w:tcW w:w="34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(150,102)</w:t>
            </w:r>
          </w:p>
        </w:tc>
        <w:tc>
          <w:tcPr>
            <w:tcW w:w="1340" w:type="dxa"/>
            <w:vAlign w:val="bottom"/>
          </w:tcPr>
          <w:p>
            <w:pPr>
              <w:jc w:val="right"/>
              <w:spacing w:after="0"/>
              <w:rPr>
                <w:sz w:val="20"/>
                <w:szCs w:val="20"/>
                <w:color w:val="auto"/>
              </w:rPr>
            </w:pPr>
            <w:r>
              <w:rPr>
                <w:rFonts w:ascii="Arial" w:cs="Arial" w:eastAsia="Arial" w:hAnsi="Arial"/>
                <w:sz w:val="18"/>
                <w:szCs w:val="18"/>
                <w:color w:val="auto"/>
              </w:rPr>
              <w:t>(185,688)</w:t>
            </w:r>
          </w:p>
        </w:tc>
        <w:tc>
          <w:tcPr>
            <w:tcW w:w="0" w:type="dxa"/>
            <w:vAlign w:val="bottom"/>
          </w:tcPr>
          <w:p>
            <w:pPr>
              <w:spacing w:after="0"/>
              <w:rPr>
                <w:sz w:val="1"/>
                <w:szCs w:val="1"/>
                <w:color w:val="auto"/>
              </w:rPr>
            </w:pPr>
          </w:p>
        </w:tc>
      </w:tr>
      <w:tr>
        <w:trPr>
          <w:trHeight w:val="237"/>
        </w:trPr>
        <w:tc>
          <w:tcPr>
            <w:tcW w:w="4520" w:type="dxa"/>
            <w:vAlign w:val="bottom"/>
          </w:tcPr>
          <w:p>
            <w:pPr>
              <w:spacing w:after="0"/>
              <w:rPr>
                <w:sz w:val="20"/>
                <w:szCs w:val="20"/>
                <w:color w:val="auto"/>
              </w:rPr>
            </w:pPr>
            <w:r>
              <w:rPr>
                <w:rFonts w:ascii="Arial" w:cs="Arial" w:eastAsia="Arial" w:hAnsi="Arial"/>
                <w:sz w:val="18"/>
                <w:szCs w:val="18"/>
                <w:color w:val="auto"/>
              </w:rPr>
              <w:t>Monetary Correction and</w:t>
            </w:r>
          </w:p>
        </w:tc>
        <w:tc>
          <w:tcPr>
            <w:tcW w:w="1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520" w:type="dxa"/>
            <w:vAlign w:val="bottom"/>
          </w:tcPr>
          <w:p>
            <w:pPr>
              <w:ind w:left="180"/>
              <w:spacing w:after="0"/>
              <w:rPr>
                <w:sz w:val="20"/>
                <w:szCs w:val="20"/>
                <w:color w:val="auto"/>
              </w:rPr>
            </w:pPr>
            <w:r>
              <w:rPr>
                <w:rFonts w:ascii="Arial" w:cs="Arial" w:eastAsia="Arial" w:hAnsi="Arial"/>
                <w:sz w:val="18"/>
                <w:szCs w:val="18"/>
                <w:color w:val="auto"/>
              </w:rPr>
              <w:t>Other</w:t>
            </w:r>
          </w:p>
        </w:tc>
        <w:tc>
          <w:tcPr>
            <w:tcW w:w="1340" w:type="dxa"/>
            <w:vAlign w:val="bottom"/>
          </w:tcPr>
          <w:p>
            <w:pPr>
              <w:jc w:val="right"/>
              <w:spacing w:after="0"/>
              <w:rPr>
                <w:sz w:val="20"/>
                <w:szCs w:val="20"/>
                <w:color w:val="auto"/>
              </w:rPr>
            </w:pPr>
            <w:r>
              <w:rPr>
                <w:rFonts w:ascii="Arial" w:cs="Arial" w:eastAsia="Arial" w:hAnsi="Arial"/>
                <w:sz w:val="18"/>
                <w:szCs w:val="18"/>
                <w:color w:val="auto"/>
              </w:rPr>
              <w:t>7,114</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(8,463)</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(6,721)</w:t>
            </w:r>
          </w:p>
        </w:tc>
        <w:tc>
          <w:tcPr>
            <w:tcW w:w="3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(4,787)</w:t>
            </w:r>
          </w:p>
        </w:tc>
        <w:tc>
          <w:tcPr>
            <w:tcW w:w="1340" w:type="dxa"/>
            <w:vAlign w:val="bottom"/>
          </w:tcPr>
          <w:p>
            <w:pPr>
              <w:jc w:val="right"/>
              <w:spacing w:after="0"/>
              <w:rPr>
                <w:sz w:val="20"/>
                <w:szCs w:val="20"/>
                <w:color w:val="auto"/>
              </w:rPr>
            </w:pPr>
            <w:r>
              <w:rPr>
                <w:rFonts w:ascii="Arial" w:cs="Arial" w:eastAsia="Arial" w:hAnsi="Arial"/>
                <w:sz w:val="18"/>
                <w:szCs w:val="18"/>
                <w:color w:val="auto"/>
              </w:rPr>
              <w:t>4,497</w:t>
            </w:r>
          </w:p>
        </w:tc>
        <w:tc>
          <w:tcPr>
            <w:tcW w:w="0" w:type="dxa"/>
            <w:vAlign w:val="bottom"/>
          </w:tcPr>
          <w:p>
            <w:pPr>
              <w:spacing w:after="0"/>
              <w:rPr>
                <w:sz w:val="1"/>
                <w:szCs w:val="1"/>
                <w:color w:val="auto"/>
              </w:rPr>
            </w:pPr>
          </w:p>
        </w:tc>
      </w:tr>
      <w:tr>
        <w:trPr>
          <w:trHeight w:val="151"/>
        </w:trPr>
        <w:tc>
          <w:tcPr>
            <w:tcW w:w="4520" w:type="dxa"/>
            <w:vAlign w:val="bottom"/>
            <w:vMerge w:val="restart"/>
          </w:tcPr>
          <w:p>
            <w:pPr>
              <w:spacing w:after="0"/>
              <w:rPr>
                <w:sz w:val="20"/>
                <w:szCs w:val="20"/>
                <w:color w:val="auto"/>
              </w:rPr>
            </w:pPr>
            <w:r>
              <w:rPr>
                <w:rFonts w:ascii="Arial" w:cs="Arial" w:eastAsia="Arial" w:hAnsi="Arial"/>
                <w:sz w:val="18"/>
                <w:szCs w:val="18"/>
                <w:color w:val="auto"/>
              </w:rPr>
              <w:t>Reserves for loan losses at the</w:t>
            </w:r>
          </w:p>
        </w:tc>
        <w:tc>
          <w:tcPr>
            <w:tcW w:w="1340" w:type="dxa"/>
            <w:vAlign w:val="bottom"/>
            <w:tcBorders>
              <w:bottom w:val="single" w:sz="8" w:color="9A9A9A"/>
            </w:tcBorders>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36"/>
        </w:trPr>
        <w:tc>
          <w:tcPr>
            <w:tcW w:w="452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520" w:type="dxa"/>
            <w:vAlign w:val="bottom"/>
          </w:tcPr>
          <w:p>
            <w:pPr>
              <w:ind w:left="180"/>
              <w:spacing w:after="0"/>
              <w:rPr>
                <w:sz w:val="20"/>
                <w:szCs w:val="20"/>
                <w:color w:val="auto"/>
              </w:rPr>
            </w:pPr>
            <w:r>
              <w:rPr>
                <w:rFonts w:ascii="Arial" w:cs="Arial" w:eastAsia="Arial" w:hAnsi="Arial"/>
                <w:sz w:val="18"/>
                <w:szCs w:val="18"/>
                <w:color w:val="auto"/>
              </w:rPr>
              <w:t>End of the year</w:t>
            </w:r>
          </w:p>
        </w:tc>
        <w:tc>
          <w:tcPr>
            <w:tcW w:w="1340" w:type="dxa"/>
            <w:vAlign w:val="bottom"/>
          </w:tcPr>
          <w:p>
            <w:pPr>
              <w:jc w:val="right"/>
              <w:spacing w:after="0"/>
              <w:rPr>
                <w:sz w:val="20"/>
                <w:szCs w:val="20"/>
                <w:color w:val="auto"/>
              </w:rPr>
            </w:pPr>
            <w:r>
              <w:rPr>
                <w:rFonts w:ascii="Arial" w:cs="Arial" w:eastAsia="Arial" w:hAnsi="Arial"/>
                <w:sz w:val="18"/>
                <w:szCs w:val="18"/>
                <w:color w:val="auto"/>
              </w:rPr>
              <w:t>US$307,343</w:t>
            </w:r>
          </w:p>
        </w:tc>
        <w:tc>
          <w:tcPr>
            <w:tcW w:w="4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US$341,487</w:t>
            </w:r>
          </w:p>
        </w:tc>
        <w:tc>
          <w:tcPr>
            <w:tcW w:w="1720" w:type="dxa"/>
            <w:vAlign w:val="bottom"/>
            <w:gridSpan w:val="3"/>
          </w:tcPr>
          <w:p>
            <w:pPr>
              <w:ind w:left="460"/>
              <w:spacing w:after="0"/>
              <w:rPr>
                <w:sz w:val="20"/>
                <w:szCs w:val="20"/>
                <w:color w:val="auto"/>
              </w:rPr>
            </w:pPr>
            <w:r>
              <w:rPr>
                <w:rFonts w:ascii="Arial" w:cs="Arial" w:eastAsia="Arial" w:hAnsi="Arial"/>
                <w:sz w:val="18"/>
                <w:szCs w:val="18"/>
                <w:color w:val="auto"/>
              </w:rPr>
              <w:t>US$344,433</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US$424,031</w:t>
            </w:r>
          </w:p>
        </w:tc>
        <w:tc>
          <w:tcPr>
            <w:tcW w:w="1340" w:type="dxa"/>
            <w:vAlign w:val="bottom"/>
          </w:tcPr>
          <w:p>
            <w:pPr>
              <w:jc w:val="right"/>
              <w:spacing w:after="0"/>
              <w:rPr>
                <w:sz w:val="20"/>
                <w:szCs w:val="20"/>
                <w:color w:val="auto"/>
              </w:rPr>
            </w:pPr>
            <w:r>
              <w:rPr>
                <w:rFonts w:ascii="Arial" w:cs="Arial" w:eastAsia="Arial" w:hAnsi="Arial"/>
                <w:sz w:val="18"/>
                <w:szCs w:val="18"/>
                <w:color w:val="auto"/>
              </w:rPr>
              <w:t>US$326,677</w:t>
            </w:r>
          </w:p>
        </w:tc>
        <w:tc>
          <w:tcPr>
            <w:tcW w:w="0" w:type="dxa"/>
            <w:vAlign w:val="bottom"/>
          </w:tcPr>
          <w:p>
            <w:pPr>
              <w:spacing w:after="0"/>
              <w:rPr>
                <w:sz w:val="1"/>
                <w:szCs w:val="1"/>
                <w:color w:val="auto"/>
              </w:rPr>
            </w:pPr>
          </w:p>
        </w:tc>
      </w:tr>
      <w:tr>
        <w:trPr>
          <w:trHeight w:val="147"/>
        </w:trPr>
        <w:tc>
          <w:tcPr>
            <w:tcW w:w="4520" w:type="dxa"/>
            <w:vAlign w:val="bottom"/>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-2338070</wp:posOffset>
            </wp:positionV>
            <wp:extent cx="34290" cy="342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-2012315</wp:posOffset>
            </wp:positionV>
            <wp:extent cx="34290" cy="342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-2012315</wp:posOffset>
            </wp:positionV>
            <wp:extent cx="34290" cy="342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-2012315</wp:posOffset>
            </wp:positionV>
            <wp:extent cx="34290" cy="342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-2012315</wp:posOffset>
            </wp:positionV>
            <wp:extent cx="34290" cy="342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-2012315</wp:posOffset>
            </wp:positionV>
            <wp:extent cx="34290" cy="342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-485775</wp:posOffset>
            </wp:positionV>
            <wp:extent cx="34290" cy="342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-485775</wp:posOffset>
            </wp:positionV>
            <wp:extent cx="34290" cy="342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-485775</wp:posOffset>
            </wp:positionV>
            <wp:extent cx="34290" cy="342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-485775</wp:posOffset>
            </wp:positionV>
            <wp:extent cx="34290" cy="342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-485775</wp:posOffset>
            </wp:positionV>
            <wp:extent cx="34290" cy="342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-14605</wp:posOffset>
            </wp:positionV>
            <wp:extent cx="1270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-14605</wp:posOffset>
            </wp:positionV>
            <wp:extent cx="1270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-14605</wp:posOffset>
            </wp:positionV>
            <wp:extent cx="127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-14605</wp:posOffset>
            </wp:positionV>
            <wp:extent cx="127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-14605</wp:posOffset>
            </wp:positionV>
            <wp:extent cx="127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-14605</wp:posOffset>
            </wp:positionV>
            <wp:extent cx="1270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-14605</wp:posOffset>
            </wp:positionV>
            <wp:extent cx="1270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-14605</wp:posOffset>
            </wp:positionV>
            <wp:extent cx="1270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-14605</wp:posOffset>
            </wp:positionV>
            <wp:extent cx="127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-14605</wp:posOffset>
            </wp:positionV>
            <wp:extent cx="1270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20" w:lineRule="exact"/>
        <w:rPr>
          <w:sz w:val="20"/>
          <w:szCs w:val="20"/>
          <w:color w:val="auto"/>
        </w:rPr>
      </w:pPr>
    </w:p>
    <w:p>
      <w:pPr>
        <w:jc w:val="both"/>
        <w:ind w:firstLine="180"/>
        <w:spacing w:after="0" w:line="290" w:lineRule="auto"/>
        <w:rPr>
          <w:sz w:val="20"/>
          <w:szCs w:val="20"/>
          <w:color w:val="auto"/>
        </w:rPr>
      </w:pPr>
      <w:r>
        <w:rPr>
          <w:rFonts w:ascii="Arial" w:cs="Arial" w:eastAsia="Arial" w:hAnsi="Arial"/>
          <w:sz w:val="16"/>
          <w:szCs w:val="16"/>
          <w:color w:val="auto"/>
        </w:rPr>
        <w:t>Provisions for loan losses, charged against income net of recoveries, decreased 33.3% to US$66.4 million in 2003, after declining 16.6% to US$99.6 million in 2002. Provision expense in 2003 included US$20.6 million required by BCB (compared to US$30.2 million in 2002) and US$5.0 million for Banco Tequendama (compared to US$5.9 million in 2002). The lower provision expense in 2003 is primarily due to improved loan quality, particularly with respect to BCP's loan portfolio, and to a lesser degree to lower loan volumes and higher recoveries of charged-off accounts. In 2002, despite lower charges, provisioning to offset risk continued to be high compared to provisioning in better performing periods. This was principally due to continued requirements by the Middle Market and Small Business segments resulting from the delay in the recovery of economic activity and ongoing decreased domestic demand caused by the unevenness of the recovery. The Middle Market and Small Business segments continued to require most of the provisions made during 2003 and 2002.</w:t>
      </w:r>
    </w:p>
    <w:p>
      <w:pPr>
        <w:spacing w:after="0" w:line="172" w:lineRule="exact"/>
        <w:rPr>
          <w:sz w:val="20"/>
          <w:szCs w:val="20"/>
          <w:color w:val="auto"/>
        </w:rPr>
      </w:pPr>
    </w:p>
    <w:p>
      <w:pPr>
        <w:jc w:val="both"/>
        <w:ind w:firstLine="194"/>
        <w:spacing w:after="0" w:line="256" w:lineRule="auto"/>
        <w:rPr>
          <w:sz w:val="20"/>
          <w:szCs w:val="20"/>
          <w:color w:val="auto"/>
        </w:rPr>
      </w:pPr>
      <w:r>
        <w:rPr>
          <w:rFonts w:ascii="Arial" w:cs="Arial" w:eastAsia="Arial" w:hAnsi="Arial"/>
          <w:sz w:val="18"/>
          <w:szCs w:val="18"/>
          <w:color w:val="auto"/>
        </w:rPr>
        <w:t>The effects of the increase in specific provisions were partly offset by write-offs of specific loans amounting to US$185.7 million during 2003, 23.7% higher than US$150.1 million in 2002, which in turn was 20.4% higher than US$124.7 million in 2001. The loans charged off are primarily attributable to the removal of loans that were fully provided for and considered unrecoverable pursuant to loan provision regulations in effect since 1998. These regulations lowered the amount of time loans were required to remain fully provided for before being charged off.</w:t>
      </w:r>
    </w:p>
    <w:p>
      <w:pPr>
        <w:spacing w:after="0" w:line="197" w:lineRule="exact"/>
        <w:rPr>
          <w:sz w:val="20"/>
          <w:szCs w:val="20"/>
          <w:color w:val="auto"/>
        </w:rPr>
      </w:pPr>
    </w:p>
    <w:p>
      <w:pPr>
        <w:jc w:val="both"/>
        <w:ind w:firstLine="219"/>
        <w:spacing w:after="0" w:line="268" w:lineRule="auto"/>
        <w:rPr>
          <w:sz w:val="20"/>
          <w:szCs w:val="20"/>
          <w:color w:val="auto"/>
        </w:rPr>
      </w:pPr>
      <w:r>
        <w:rPr>
          <w:rFonts w:ascii="Arial" w:cs="Arial" w:eastAsia="Arial" w:hAnsi="Arial"/>
          <w:sz w:val="18"/>
          <w:szCs w:val="18"/>
          <w:color w:val="auto"/>
        </w:rPr>
        <w:t>Loan loss provisions for impaired loans not specifically identified, which totaled US$30.4 million as of December 31, 2001, grew to US$46.0 million as of December 31, 2002, but declined to US$40.8 million as of December 31, 2003.</w:t>
      </w:r>
    </w:p>
    <w:p>
      <w:pPr>
        <w:spacing w:after="0" w:line="186" w:lineRule="exact"/>
        <w:rPr>
          <w:sz w:val="20"/>
          <w:szCs w:val="20"/>
          <w:color w:val="auto"/>
        </w:rPr>
      </w:pPr>
    </w:p>
    <w:p>
      <w:pPr>
        <w:jc w:val="both"/>
        <w:ind w:firstLine="246"/>
        <w:spacing w:after="0" w:line="335" w:lineRule="auto"/>
        <w:rPr>
          <w:sz w:val="20"/>
          <w:szCs w:val="20"/>
          <w:color w:val="auto"/>
        </w:rPr>
      </w:pPr>
      <w:r>
        <w:rPr>
          <w:rFonts w:ascii="Arial" w:cs="Arial" w:eastAsia="Arial" w:hAnsi="Arial"/>
          <w:sz w:val="15"/>
          <w:szCs w:val="15"/>
          <w:color w:val="auto"/>
        </w:rPr>
        <w:t>Reserves as a percentage of past due loans increased to 127.5% at year-end 2003, from 104.4% at year-end 2002, and also from 98.2% at year-end 2001. Reserves as a percentage of substandard loans decreased to 50.3% at year-end 2003 from 51.8% at year-end 2002, but remain higher than the 45.4% at year-end 2001. Given the changing composition of Credicorp's loan portfolio, Credicorp's historical loss experience may not be indicative of its future loan loss experience.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347" w:right="239" w:bottom="1440" w:gutter="0" w:footer="0" w:header="0"/>
        </w:sectPr>
      </w:pPr>
    </w:p>
    <w:bookmarkStart w:id="88" w:name="page89"/>
    <w:bookmarkEnd w:id="88"/>
    <w:tbl>
      <w:tblPr>
        <w:tblLayout w:type="fixed"/>
        <w:tblInd w:w="40" w:type="dxa"/>
        <w:tblCellMar>
          <w:top w:w="0" w:type="dxa"/>
          <w:left w:w="0" w:type="dxa"/>
          <w:bottom w:w="0" w:type="dxa"/>
          <w:right w:w="0" w:type="dxa"/>
        </w:tblCellMar>
      </w:tblPr>
      <w:tr>
        <w:trPr>
          <w:trHeight w:val="222"/>
        </w:trPr>
        <w:tc>
          <w:tcPr>
            <w:tcW w:w="6240" w:type="dxa"/>
            <w:vAlign w:val="bottom"/>
          </w:tcPr>
          <w:p>
            <w:pPr>
              <w:ind w:left="140"/>
              <w:spacing w:after="0"/>
              <w:rPr>
                <w:sz w:val="20"/>
                <w:szCs w:val="20"/>
                <w:color w:val="auto"/>
              </w:rPr>
            </w:pPr>
            <w:r>
              <w:rPr>
                <w:rFonts w:ascii="Arial" w:cs="Arial" w:eastAsia="Arial" w:hAnsi="Arial"/>
                <w:sz w:val="18"/>
                <w:szCs w:val="18"/>
                <w:i w:val="1"/>
                <w:iCs w:val="1"/>
                <w:color w:val="auto"/>
              </w:rPr>
              <w:t>Noninterest income</w:t>
            </w: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432"/>
        </w:trPr>
        <w:tc>
          <w:tcPr>
            <w:tcW w:w="6240" w:type="dxa"/>
            <w:vAlign w:val="bottom"/>
          </w:tcPr>
          <w:p>
            <w:pPr>
              <w:ind w:left="140"/>
              <w:spacing w:after="0"/>
              <w:rPr>
                <w:sz w:val="20"/>
                <w:szCs w:val="20"/>
                <w:color w:val="auto"/>
              </w:rPr>
            </w:pPr>
            <w:r>
              <w:rPr>
                <w:rFonts w:ascii="Arial" w:cs="Arial" w:eastAsia="Arial" w:hAnsi="Arial"/>
                <w:sz w:val="18"/>
                <w:szCs w:val="18"/>
                <w:color w:val="auto"/>
                <w:w w:val="97"/>
              </w:rPr>
              <w:t>The following table reflects the components of Credicorp's noninterest income:</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59"/>
        </w:trPr>
        <w:tc>
          <w:tcPr>
            <w:tcW w:w="6240" w:type="dxa"/>
            <w:vAlign w:val="bottom"/>
          </w:tcPr>
          <w:p>
            <w:pPr>
              <w:spacing w:after="0"/>
              <w:rPr>
                <w:sz w:val="24"/>
                <w:szCs w:val="24"/>
                <w:color w:val="auto"/>
              </w:rPr>
            </w:pPr>
          </w:p>
        </w:tc>
        <w:tc>
          <w:tcPr>
            <w:tcW w:w="3800" w:type="dxa"/>
            <w:vAlign w:val="bottom"/>
            <w:gridSpan w:val="5"/>
          </w:tcPr>
          <w:p>
            <w:pPr>
              <w:jc w:val="center"/>
              <w:ind w:left="1212"/>
              <w:spacing w:after="0"/>
              <w:rPr>
                <w:sz w:val="20"/>
                <w:szCs w:val="20"/>
                <w:color w:val="auto"/>
              </w:rPr>
            </w:pPr>
            <w:r>
              <w:rPr>
                <w:rFonts w:ascii="Arial" w:cs="Arial" w:eastAsia="Arial" w:hAnsi="Arial"/>
                <w:sz w:val="18"/>
                <w:szCs w:val="18"/>
                <w:b w:val="1"/>
                <w:bCs w:val="1"/>
                <w:color w:val="auto"/>
                <w:w w:val="86"/>
              </w:rPr>
              <w:t>Year ended December 31,</w:t>
            </w:r>
          </w:p>
        </w:tc>
        <w:tc>
          <w:tcPr>
            <w:tcW w:w="1320" w:type="dxa"/>
            <w:vAlign w:val="bottom"/>
          </w:tcPr>
          <w:p>
            <w:pPr>
              <w:spacing w:after="0"/>
              <w:rPr>
                <w:sz w:val="24"/>
                <w:szCs w:val="24"/>
                <w:color w:val="auto"/>
              </w:rPr>
            </w:pPr>
          </w:p>
        </w:tc>
      </w:tr>
      <w:tr>
        <w:trPr>
          <w:trHeight w:val="151"/>
        </w:trPr>
        <w:tc>
          <w:tcPr>
            <w:tcW w:w="6240" w:type="dxa"/>
            <w:vAlign w:val="bottom"/>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r>
      <w:tr>
        <w:trPr>
          <w:trHeight w:val="343"/>
        </w:trPr>
        <w:tc>
          <w:tcPr>
            <w:tcW w:w="6240" w:type="dxa"/>
            <w:vAlign w:val="bottom"/>
          </w:tcPr>
          <w:p>
            <w:pPr>
              <w:spacing w:after="0"/>
              <w:rPr>
                <w:sz w:val="24"/>
                <w:szCs w:val="24"/>
                <w:color w:val="auto"/>
              </w:rPr>
            </w:pPr>
          </w:p>
        </w:tc>
        <w:tc>
          <w:tcPr>
            <w:tcW w:w="1680" w:type="dxa"/>
            <w:vAlign w:val="bottom"/>
          </w:tcPr>
          <w:p>
            <w:pPr>
              <w:jc w:val="right"/>
              <w:ind w:right="572"/>
              <w:spacing w:after="0"/>
              <w:rPr>
                <w:sz w:val="20"/>
                <w:szCs w:val="20"/>
                <w:color w:val="auto"/>
              </w:rPr>
            </w:pPr>
            <w:r>
              <w:rPr>
                <w:rFonts w:ascii="Arial" w:cs="Arial" w:eastAsia="Arial" w:hAnsi="Arial"/>
                <w:sz w:val="18"/>
                <w:szCs w:val="18"/>
                <w:b w:val="1"/>
                <w:bCs w:val="1"/>
                <w:color w:val="auto"/>
              </w:rPr>
              <w:t>2001</w:t>
            </w:r>
          </w:p>
        </w:tc>
        <w:tc>
          <w:tcPr>
            <w:tcW w:w="1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4"/>
              </w:rPr>
              <w:t>2002</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jc w:val="right"/>
              <w:ind w:right="592"/>
              <w:spacing w:after="0"/>
              <w:rPr>
                <w:sz w:val="20"/>
                <w:szCs w:val="20"/>
                <w:color w:val="auto"/>
              </w:rPr>
            </w:pPr>
            <w:r>
              <w:rPr>
                <w:rFonts w:ascii="Arial" w:cs="Arial" w:eastAsia="Arial" w:hAnsi="Arial"/>
                <w:sz w:val="18"/>
                <w:szCs w:val="18"/>
                <w:b w:val="1"/>
                <w:bCs w:val="1"/>
                <w:color w:val="auto"/>
              </w:rPr>
              <w:t>2003</w:t>
            </w:r>
          </w:p>
        </w:tc>
      </w:tr>
      <w:tr>
        <w:trPr>
          <w:trHeight w:val="151"/>
        </w:trPr>
        <w:tc>
          <w:tcPr>
            <w:tcW w:w="6240" w:type="dxa"/>
            <w:vAlign w:val="bottom"/>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r>
      <w:tr>
        <w:trPr>
          <w:trHeight w:val="343"/>
        </w:trPr>
        <w:tc>
          <w:tcPr>
            <w:tcW w:w="6240" w:type="dxa"/>
            <w:vAlign w:val="bottom"/>
          </w:tcPr>
          <w:p>
            <w:pPr>
              <w:spacing w:after="0"/>
              <w:rPr>
                <w:sz w:val="24"/>
                <w:szCs w:val="24"/>
                <w:color w:val="auto"/>
              </w:rPr>
            </w:pPr>
          </w:p>
        </w:tc>
        <w:tc>
          <w:tcPr>
            <w:tcW w:w="3800" w:type="dxa"/>
            <w:vAlign w:val="bottom"/>
            <w:gridSpan w:val="5"/>
          </w:tcPr>
          <w:p>
            <w:pPr>
              <w:jc w:val="center"/>
              <w:ind w:left="1212"/>
              <w:spacing w:after="0"/>
              <w:rPr>
                <w:sz w:val="20"/>
                <w:szCs w:val="20"/>
                <w:color w:val="auto"/>
              </w:rPr>
            </w:pPr>
            <w:r>
              <w:rPr>
                <w:rFonts w:ascii="Arial" w:cs="Arial" w:eastAsia="Arial" w:hAnsi="Arial"/>
                <w:sz w:val="18"/>
                <w:szCs w:val="18"/>
                <w:i w:val="1"/>
                <w:iCs w:val="1"/>
                <w:color w:val="auto"/>
                <w:w w:val="90"/>
              </w:rPr>
              <w:t>(U.S. Dollars in thousands)</w:t>
            </w:r>
          </w:p>
        </w:tc>
        <w:tc>
          <w:tcPr>
            <w:tcW w:w="1320" w:type="dxa"/>
            <w:vAlign w:val="bottom"/>
          </w:tcPr>
          <w:p>
            <w:pPr>
              <w:spacing w:after="0"/>
              <w:rPr>
                <w:sz w:val="24"/>
                <w:szCs w:val="24"/>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Fees and commissions from banking services</w:t>
            </w:r>
          </w:p>
        </w:tc>
        <w:tc>
          <w:tcPr>
            <w:tcW w:w="1680" w:type="dxa"/>
            <w:vAlign w:val="bottom"/>
          </w:tcPr>
          <w:p>
            <w:pPr>
              <w:jc w:val="right"/>
              <w:spacing w:after="0"/>
              <w:rPr>
                <w:sz w:val="20"/>
                <w:szCs w:val="20"/>
                <w:color w:val="auto"/>
              </w:rPr>
            </w:pPr>
            <w:r>
              <w:rPr>
                <w:rFonts w:ascii="Arial" w:cs="Arial" w:eastAsia="Arial" w:hAnsi="Arial"/>
                <w:sz w:val="18"/>
                <w:szCs w:val="18"/>
                <w:color w:val="auto"/>
              </w:rPr>
              <w:t>US$155,030</w:t>
            </w:r>
          </w:p>
        </w:tc>
        <w:tc>
          <w:tcPr>
            <w:tcW w:w="20" w:type="dxa"/>
            <w:vAlign w:val="bottom"/>
          </w:tcPr>
          <w:p>
            <w:pPr>
              <w:spacing w:after="0"/>
              <w:rPr>
                <w:sz w:val="21"/>
                <w:szCs w:val="21"/>
                <w:color w:val="auto"/>
              </w:rPr>
            </w:pPr>
          </w:p>
        </w:tc>
        <w:tc>
          <w:tcPr>
            <w:tcW w:w="2100" w:type="dxa"/>
            <w:vAlign w:val="bottom"/>
            <w:gridSpan w:val="3"/>
          </w:tcPr>
          <w:p>
            <w:pPr>
              <w:ind w:left="820"/>
              <w:spacing w:after="0"/>
              <w:rPr>
                <w:sz w:val="20"/>
                <w:szCs w:val="20"/>
                <w:color w:val="auto"/>
              </w:rPr>
            </w:pPr>
            <w:r>
              <w:rPr>
                <w:rFonts w:ascii="Arial" w:cs="Arial" w:eastAsia="Arial" w:hAnsi="Arial"/>
                <w:sz w:val="18"/>
                <w:szCs w:val="18"/>
                <w:color w:val="auto"/>
              </w:rPr>
              <w:t>US$177,305</w:t>
            </w:r>
          </w:p>
        </w:tc>
        <w:tc>
          <w:tcPr>
            <w:tcW w:w="1320" w:type="dxa"/>
            <w:vAlign w:val="bottom"/>
          </w:tcPr>
          <w:p>
            <w:pPr>
              <w:jc w:val="right"/>
              <w:spacing w:after="0"/>
              <w:rPr>
                <w:sz w:val="20"/>
                <w:szCs w:val="20"/>
                <w:color w:val="auto"/>
              </w:rPr>
            </w:pPr>
            <w:r>
              <w:rPr>
                <w:rFonts w:ascii="Arial" w:cs="Arial" w:eastAsia="Arial" w:hAnsi="Arial"/>
                <w:sz w:val="18"/>
                <w:szCs w:val="18"/>
                <w:color w:val="auto"/>
              </w:rPr>
              <w:t>US$189,472</w:t>
            </w: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Net (loss) gains from sales of securities</w:t>
            </w:r>
          </w:p>
        </w:tc>
        <w:tc>
          <w:tcPr>
            <w:tcW w:w="1680" w:type="dxa"/>
            <w:vAlign w:val="bottom"/>
          </w:tcPr>
          <w:p>
            <w:pPr>
              <w:jc w:val="right"/>
              <w:spacing w:after="0"/>
              <w:rPr>
                <w:sz w:val="20"/>
                <w:szCs w:val="20"/>
                <w:color w:val="auto"/>
              </w:rPr>
            </w:pPr>
            <w:r>
              <w:rPr>
                <w:rFonts w:ascii="Arial" w:cs="Arial" w:eastAsia="Arial" w:hAnsi="Arial"/>
                <w:sz w:val="18"/>
                <w:szCs w:val="18"/>
                <w:color w:val="auto"/>
              </w:rPr>
              <w:t>31,737</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(1,097)</w:t>
            </w: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1,969</w:t>
            </w: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Net gains on foreign exchange transactions</w:t>
            </w:r>
          </w:p>
        </w:tc>
        <w:tc>
          <w:tcPr>
            <w:tcW w:w="1680" w:type="dxa"/>
            <w:vAlign w:val="bottom"/>
          </w:tcPr>
          <w:p>
            <w:pPr>
              <w:jc w:val="right"/>
              <w:spacing w:after="0"/>
              <w:rPr>
                <w:sz w:val="20"/>
                <w:szCs w:val="20"/>
                <w:color w:val="auto"/>
              </w:rPr>
            </w:pPr>
            <w:r>
              <w:rPr>
                <w:rFonts w:ascii="Arial" w:cs="Arial" w:eastAsia="Arial" w:hAnsi="Arial"/>
                <w:sz w:val="18"/>
                <w:szCs w:val="18"/>
                <w:color w:val="auto"/>
              </w:rPr>
              <w:t>17,549</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22,582</w:t>
            </w: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23,681</w:t>
            </w: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Net premiums earned</w:t>
            </w:r>
          </w:p>
        </w:tc>
        <w:tc>
          <w:tcPr>
            <w:tcW w:w="1680" w:type="dxa"/>
            <w:vAlign w:val="bottom"/>
          </w:tcPr>
          <w:p>
            <w:pPr>
              <w:jc w:val="right"/>
              <w:spacing w:after="0"/>
              <w:rPr>
                <w:sz w:val="20"/>
                <w:szCs w:val="20"/>
                <w:color w:val="auto"/>
              </w:rPr>
            </w:pPr>
            <w:r>
              <w:rPr>
                <w:rFonts w:ascii="Arial" w:cs="Arial" w:eastAsia="Arial" w:hAnsi="Arial"/>
                <w:sz w:val="18"/>
                <w:szCs w:val="18"/>
                <w:color w:val="auto"/>
              </w:rPr>
              <w:t>112,204</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125,218</w:t>
            </w: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125,115</w:t>
            </w: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Other income</w:t>
            </w:r>
          </w:p>
        </w:tc>
        <w:tc>
          <w:tcPr>
            <w:tcW w:w="1680" w:type="dxa"/>
            <w:vAlign w:val="bottom"/>
          </w:tcPr>
          <w:p>
            <w:pPr>
              <w:jc w:val="right"/>
              <w:spacing w:after="0"/>
              <w:rPr>
                <w:sz w:val="20"/>
                <w:szCs w:val="20"/>
                <w:color w:val="auto"/>
              </w:rPr>
            </w:pPr>
            <w:r>
              <w:rPr>
                <w:rFonts w:ascii="Arial" w:cs="Arial" w:eastAsia="Arial" w:hAnsi="Arial"/>
                <w:sz w:val="18"/>
                <w:szCs w:val="18"/>
                <w:color w:val="auto"/>
              </w:rPr>
              <w:t>12,530</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11,651</w:t>
            </w: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23,227</w:t>
            </w:r>
          </w:p>
        </w:tc>
      </w:tr>
      <w:tr>
        <w:trPr>
          <w:trHeight w:val="151"/>
        </w:trPr>
        <w:tc>
          <w:tcPr>
            <w:tcW w:w="6240" w:type="dxa"/>
            <w:vAlign w:val="bottom"/>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r>
      <w:tr>
        <w:trPr>
          <w:trHeight w:val="343"/>
        </w:trPr>
        <w:tc>
          <w:tcPr>
            <w:tcW w:w="6240" w:type="dxa"/>
            <w:vAlign w:val="bottom"/>
          </w:tcPr>
          <w:p>
            <w:pPr>
              <w:spacing w:after="0"/>
              <w:rPr>
                <w:sz w:val="20"/>
                <w:szCs w:val="20"/>
                <w:color w:val="auto"/>
              </w:rPr>
            </w:pPr>
            <w:r>
              <w:rPr>
                <w:rFonts w:ascii="Arial" w:cs="Arial" w:eastAsia="Arial" w:hAnsi="Arial"/>
                <w:sz w:val="18"/>
                <w:szCs w:val="18"/>
                <w:color w:val="auto"/>
              </w:rPr>
              <w:t>Total non-interest income</w:t>
            </w:r>
          </w:p>
        </w:tc>
        <w:tc>
          <w:tcPr>
            <w:tcW w:w="1680" w:type="dxa"/>
            <w:vAlign w:val="bottom"/>
          </w:tcPr>
          <w:p>
            <w:pPr>
              <w:jc w:val="right"/>
              <w:spacing w:after="0"/>
              <w:rPr>
                <w:sz w:val="20"/>
                <w:szCs w:val="20"/>
                <w:color w:val="auto"/>
              </w:rPr>
            </w:pPr>
            <w:r>
              <w:rPr>
                <w:rFonts w:ascii="Arial" w:cs="Arial" w:eastAsia="Arial" w:hAnsi="Arial"/>
                <w:sz w:val="18"/>
                <w:szCs w:val="18"/>
                <w:color w:val="auto"/>
              </w:rPr>
              <w:t>US$329,050</w:t>
            </w:r>
          </w:p>
        </w:tc>
        <w:tc>
          <w:tcPr>
            <w:tcW w:w="20" w:type="dxa"/>
            <w:vAlign w:val="bottom"/>
          </w:tcPr>
          <w:p>
            <w:pPr>
              <w:spacing w:after="0"/>
              <w:rPr>
                <w:sz w:val="24"/>
                <w:szCs w:val="24"/>
                <w:color w:val="auto"/>
              </w:rPr>
            </w:pPr>
          </w:p>
        </w:tc>
        <w:tc>
          <w:tcPr>
            <w:tcW w:w="2100" w:type="dxa"/>
            <w:vAlign w:val="bottom"/>
            <w:gridSpan w:val="3"/>
          </w:tcPr>
          <w:p>
            <w:pPr>
              <w:ind w:left="820"/>
              <w:spacing w:after="0"/>
              <w:rPr>
                <w:sz w:val="20"/>
                <w:szCs w:val="20"/>
                <w:color w:val="auto"/>
              </w:rPr>
            </w:pPr>
            <w:r>
              <w:rPr>
                <w:rFonts w:ascii="Arial" w:cs="Arial" w:eastAsia="Arial" w:hAnsi="Arial"/>
                <w:sz w:val="18"/>
                <w:szCs w:val="18"/>
                <w:color w:val="auto"/>
              </w:rPr>
              <w:t>US$335,659</w:t>
            </w:r>
          </w:p>
        </w:tc>
        <w:tc>
          <w:tcPr>
            <w:tcW w:w="1320" w:type="dxa"/>
            <w:vAlign w:val="bottom"/>
          </w:tcPr>
          <w:p>
            <w:pPr>
              <w:jc w:val="right"/>
              <w:spacing w:after="0"/>
              <w:rPr>
                <w:sz w:val="20"/>
                <w:szCs w:val="20"/>
                <w:color w:val="auto"/>
              </w:rPr>
            </w:pPr>
            <w:r>
              <w:rPr>
                <w:rFonts w:ascii="Arial" w:cs="Arial" w:eastAsia="Arial" w:hAnsi="Arial"/>
                <w:sz w:val="18"/>
                <w:szCs w:val="18"/>
                <w:color w:val="auto"/>
              </w:rPr>
              <w:t>US$363,464</w:t>
            </w:r>
          </w:p>
        </w:tc>
      </w:tr>
      <w:tr>
        <w:trPr>
          <w:trHeight w:val="147"/>
        </w:trPr>
        <w:tc>
          <w:tcPr>
            <w:tcW w:w="6240" w:type="dxa"/>
            <w:vAlign w:val="bottom"/>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-1772285</wp:posOffset>
            </wp:positionV>
            <wp:extent cx="34290" cy="342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-1446530</wp:posOffset>
            </wp:positionV>
            <wp:extent cx="34290" cy="342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-1446530</wp:posOffset>
            </wp:positionV>
            <wp:extent cx="34290" cy="342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-1446530</wp:posOffset>
            </wp:positionV>
            <wp:extent cx="34290" cy="342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-348615</wp:posOffset>
            </wp:positionV>
            <wp:extent cx="34290" cy="342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-348615</wp:posOffset>
            </wp:positionV>
            <wp:extent cx="34290" cy="342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-348615</wp:posOffset>
            </wp:positionV>
            <wp:extent cx="34290" cy="342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-14605</wp:posOffset>
            </wp:positionV>
            <wp:extent cx="1270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-14605</wp:posOffset>
            </wp:positionV>
            <wp:extent cx="1270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-14605</wp:posOffset>
            </wp:positionV>
            <wp:extent cx="1270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-14605</wp:posOffset>
            </wp:positionV>
            <wp:extent cx="1270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-14605</wp:posOffset>
            </wp:positionV>
            <wp:extent cx="1270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-14605</wp:posOffset>
            </wp:positionV>
            <wp:extent cx="1270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20" w:lineRule="exact"/>
        <w:rPr>
          <w:sz w:val="20"/>
          <w:szCs w:val="20"/>
          <w:color w:val="auto"/>
        </w:rPr>
      </w:pPr>
    </w:p>
    <w:p>
      <w:pPr>
        <w:jc w:val="both"/>
        <w:ind w:firstLine="221"/>
        <w:spacing w:after="0" w:line="298" w:lineRule="auto"/>
        <w:rPr>
          <w:sz w:val="20"/>
          <w:szCs w:val="20"/>
          <w:color w:val="auto"/>
        </w:rPr>
      </w:pPr>
      <w:r>
        <w:rPr>
          <w:rFonts w:ascii="Arial" w:cs="Arial" w:eastAsia="Arial" w:hAnsi="Arial"/>
          <w:sz w:val="16"/>
          <w:szCs w:val="16"/>
          <w:color w:val="auto"/>
        </w:rPr>
        <w:t>Credicorp's noninterest income increased 8.3% to US$363.5 million in 2003 from US$335.7 million in 2002, which in turn increased 2.0% from US$329.1 million in 2001. Revenue increase in 2003 is primarily due to higher fees from banking services, as well as increases in various revenue items included in Other income, which increased from US$11.7 million in 2002 to US$23.2 million in 2003. Higher revenue in 2002 is mainly due to increased banking fee income and insurance premiums, which offset lower gains from securities transactions. See “Item 4. Information on the Company—(B) Business Overview—(5) Insurance.”</w:t>
      </w:r>
    </w:p>
    <w:p>
      <w:pPr>
        <w:spacing w:after="0" w:line="167" w:lineRule="exact"/>
        <w:rPr>
          <w:sz w:val="20"/>
          <w:szCs w:val="20"/>
          <w:color w:val="auto"/>
        </w:rPr>
      </w:pPr>
    </w:p>
    <w:p>
      <w:pPr>
        <w:jc w:val="both"/>
        <w:ind w:firstLine="189"/>
        <w:spacing w:after="0" w:line="259" w:lineRule="auto"/>
        <w:rPr>
          <w:sz w:val="20"/>
          <w:szCs w:val="20"/>
          <w:color w:val="auto"/>
        </w:rPr>
      </w:pPr>
      <w:r>
        <w:rPr>
          <w:rFonts w:ascii="Arial" w:cs="Arial" w:eastAsia="Arial" w:hAnsi="Arial"/>
          <w:sz w:val="18"/>
          <w:szCs w:val="18"/>
          <w:color w:val="auto"/>
        </w:rPr>
        <w:t>Fee and commission income grew 6.9% to US$189.5 million in 2003, after a 14.4% increase in 2002 from 2001. Fees increased in 2003 mainly due to growth in account maintenance fees, credit cards and in brokerage and mutual funds fees. In 2002, almost all lines grew, with the largest increases in account maintenance charges, credit card fees, and fees related to brokerage and investment banking.</w:t>
      </w:r>
    </w:p>
    <w:p>
      <w:pPr>
        <w:spacing w:after="0" w:line="194" w:lineRule="exact"/>
        <w:rPr>
          <w:sz w:val="20"/>
          <w:szCs w:val="20"/>
          <w:color w:val="auto"/>
        </w:rPr>
      </w:pPr>
    </w:p>
    <w:p>
      <w:pPr>
        <w:jc w:val="both"/>
        <w:ind w:firstLine="176"/>
        <w:spacing w:after="0" w:line="256" w:lineRule="auto"/>
        <w:rPr>
          <w:sz w:val="20"/>
          <w:szCs w:val="20"/>
          <w:color w:val="auto"/>
        </w:rPr>
      </w:pPr>
      <w:r>
        <w:rPr>
          <w:rFonts w:ascii="Arial" w:cs="Arial" w:eastAsia="Arial" w:hAnsi="Arial"/>
          <w:sz w:val="18"/>
          <w:szCs w:val="18"/>
          <w:color w:val="auto"/>
        </w:rPr>
        <w:t>Net gains from the sale of securities, principally equities, resulted in a gain of US$2.0 million in 2003, compared to a net loss of US$1.1 million in 2002, after a net gain of US$31.7 million in 2001. Gains in 2003 resulted mainly from the recovery of valuations in capital markets. The net loss in 2002 is mostly due to losses in ASB's investment portfolio. The increase in 2001 is primarily due to gains from the sale of Banco Capital and the shares of Backus. See “Item 4. Information on the Company—(B) Business Overview—(5) Insurance.”</w:t>
      </w:r>
    </w:p>
    <w:p>
      <w:pPr>
        <w:spacing w:after="0" w:line="197" w:lineRule="exact"/>
        <w:rPr>
          <w:sz w:val="20"/>
          <w:szCs w:val="20"/>
          <w:color w:val="auto"/>
        </w:rPr>
      </w:pPr>
    </w:p>
    <w:p>
      <w:pPr>
        <w:jc w:val="both"/>
        <w:ind w:firstLine="230"/>
        <w:spacing w:after="0" w:line="294" w:lineRule="auto"/>
        <w:rPr>
          <w:sz w:val="20"/>
          <w:szCs w:val="20"/>
          <w:color w:val="auto"/>
        </w:rPr>
      </w:pPr>
      <w:r>
        <w:rPr>
          <w:rFonts w:ascii="Arial" w:cs="Arial" w:eastAsia="Arial" w:hAnsi="Arial"/>
          <w:sz w:val="16"/>
          <w:szCs w:val="16"/>
          <w:color w:val="auto"/>
        </w:rPr>
        <w:t>Credicorp's gains from foreign exchange transactions grew 4.9% in 2003 compared to 2002, after a 28.7% increase in 2002 compared to 2001. Gains from foreign exchange transactions are not attributable to proprietary trading on the part of Credicorp. Increased gains in 2003 compared to 2002 were principally the result of higher volumes which offset a slight decrease of the buy/sell spread to 0.12% in 2003. Increased gains in 2002 compared to 2001 were principally the result of higher volumes which offset a further decrease of the buy/sell spread. The buy/sell spread on U.S. Dollars has been decreasing in recent years, from 0.16% in 2000, to 0.15% in 2001 and to 0.13% in 2002, reflecting increased stability and competition in the foreign exchange markets.</w:t>
      </w:r>
    </w:p>
    <w:p>
      <w:pPr>
        <w:spacing w:after="0" w:line="170" w:lineRule="exact"/>
        <w:rPr>
          <w:sz w:val="20"/>
          <w:szCs w:val="20"/>
          <w:color w:val="auto"/>
        </w:rPr>
      </w:pPr>
    </w:p>
    <w:p>
      <w:pPr>
        <w:jc w:val="both"/>
        <w:ind w:firstLine="230"/>
        <w:spacing w:after="0" w:line="294" w:lineRule="auto"/>
        <w:rPr>
          <w:sz w:val="20"/>
          <w:szCs w:val="20"/>
          <w:color w:val="auto"/>
        </w:rPr>
      </w:pPr>
      <w:r>
        <w:rPr>
          <w:rFonts w:ascii="Arial" w:cs="Arial" w:eastAsia="Arial" w:hAnsi="Arial"/>
          <w:sz w:val="16"/>
          <w:szCs w:val="16"/>
          <w:color w:val="auto"/>
        </w:rPr>
        <w:t>Other income increased 99.4% to US$23.2 million in 2003, after decreasing 7.0% to US$11.7 million in 2002 compared to 2001. Other income principally consists of customer service charges and certain sundry income items. Increased income in 2003 was due to higher revenue from the sale of assets acquired through mergers (US$3.8 million in 2003 as compared to US$0 in 2002), gains on sales to third-parties of written-down accounts (US$5.1 million in 2003 as compared to US$0.1 million in 2002) and higher revenue from real estate leasing (US$2.4 million in 2003 as compared to US$0.7 million in 2002). Other income declined in 2002 mainly due to lower gains on sales of foreclosed real estate.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347" w:right="239" w:bottom="1440" w:gutter="0" w:footer="0" w:header="0"/>
        </w:sectPr>
      </w:pPr>
    </w:p>
    <w:bookmarkStart w:id="89" w:name="page90"/>
    <w:bookmarkEnd w:id="89"/>
    <w:p>
      <w:pPr>
        <w:jc w:val="both"/>
        <w:ind w:firstLine="219"/>
        <w:spacing w:after="0" w:line="306" w:lineRule="auto"/>
        <w:rPr>
          <w:sz w:val="20"/>
          <w:szCs w:val="20"/>
          <w:color w:val="auto"/>
        </w:rPr>
      </w:pPr>
      <w:r>
        <w:rPr>
          <w:rFonts w:ascii="Arial" w:cs="Arial" w:eastAsia="Arial" w:hAnsi="Arial"/>
          <w:sz w:val="16"/>
          <w:szCs w:val="16"/>
          <w:color w:val="auto"/>
        </w:rPr>
        <w:t>Net premiums remained nearly unchanged at US$125.1 million in 2003 after growing 11.6% to US$125.2 million in 2002. In 2003, total consolidated gross premiums, before reinsurances, consisted of: (i) general insurance line premiums, which amounted to 57.5% of total premiums and increased 5.4%; (ii) Pacífico Salud's premiums, which were 8.2% of the total and decreased 7.0%; and (iii) Pacífico Vida's premiums, which amounted to 34.2% of the total and grew 42.3%.</w:t>
      </w:r>
    </w:p>
    <w:p>
      <w:pPr>
        <w:spacing w:after="0" w:line="161" w:lineRule="exact"/>
        <w:rPr>
          <w:sz w:val="20"/>
          <w:szCs w:val="20"/>
          <w:color w:val="auto"/>
        </w:rPr>
      </w:pPr>
    </w:p>
    <w:p>
      <w:pPr>
        <w:jc w:val="both"/>
        <w:ind w:firstLine="276"/>
        <w:spacing w:after="0" w:line="294" w:lineRule="auto"/>
        <w:rPr>
          <w:sz w:val="20"/>
          <w:szCs w:val="20"/>
          <w:color w:val="auto"/>
        </w:rPr>
      </w:pPr>
      <w:r>
        <w:rPr>
          <w:rFonts w:ascii="Arial" w:cs="Arial" w:eastAsia="Arial" w:hAnsi="Arial"/>
          <w:sz w:val="16"/>
          <w:szCs w:val="16"/>
          <w:color w:val="auto"/>
        </w:rPr>
        <w:t>During 2003, within general insurance lines, the fire insurance line grew 18.6%, the health and medical assistance insurance line grew 3.5%, while the automobile insurance line declined 10.3%. Pension fund benefits insurance decreased 4.6% during 2003, while group life insurance and individual life insurance grew 16.8%, and life annuities increased 136.6%. During 2002, in terms of total premiums, before reinsurances, general insurance lines grew 22.3%, the fire insurance line grew 68.6%, pension fund benefits insurance grew 6.9%, life insurance policies grew 7.1% and life annuities decreased 1.4%. See “Item 4. Information on the Company—(B) Business Overview—(5) Insurance.”</w:t>
      </w:r>
    </w:p>
    <w:p>
      <w:pPr>
        <w:spacing w:after="0" w:line="170" w:lineRule="exact"/>
        <w:rPr>
          <w:sz w:val="20"/>
          <w:szCs w:val="20"/>
          <w:color w:val="auto"/>
        </w:rPr>
      </w:pPr>
    </w:p>
    <w:p>
      <w:pPr>
        <w:jc w:val="both"/>
        <w:ind w:firstLine="213"/>
        <w:spacing w:after="0" w:line="291" w:lineRule="auto"/>
        <w:rPr>
          <w:sz w:val="20"/>
          <w:szCs w:val="20"/>
          <w:color w:val="auto"/>
        </w:rPr>
      </w:pPr>
      <w:r>
        <w:rPr>
          <w:rFonts w:ascii="Arial" w:cs="Arial" w:eastAsia="Arial" w:hAnsi="Arial"/>
          <w:sz w:val="16"/>
          <w:szCs w:val="16"/>
          <w:color w:val="auto"/>
        </w:rPr>
        <w:t>Life annuities showed a significant growth rate in 2003 mainly due to favorable regulatory changes that allowed for early retirement. In 2002, fire insurance had a significant increase in premiums due mostly to the sale of fire insurance to clients related to the state-owned insurance company, which ceased operating. Premiums also increased in 2003 and 2002 as a result of higher tariffs due to higher international reinsurance costs. Retained premiums increased in 2003 and 2002 due in part to the higher reinsurance premiums. As a result, particularly in fire insurance, PPS retained a higher proportion of the premiums as PPS contracted less reinsurance. PPS attributes higher reinsurance costs to increased apprehension following the attacks in September 2001 in New York and Washington , D.C. and the lower returns on investments international reinsurers have received due to adverse market conditions.</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Claims on Insurance Activities</w:t>
      </w:r>
    </w:p>
    <w:p>
      <w:pPr>
        <w:spacing w:after="0" w:line="225" w:lineRule="exact"/>
        <w:rPr>
          <w:sz w:val="20"/>
          <w:szCs w:val="20"/>
          <w:color w:val="auto"/>
        </w:rPr>
      </w:pPr>
    </w:p>
    <w:p>
      <w:pPr>
        <w:jc w:val="both"/>
        <w:ind w:firstLine="204"/>
        <w:spacing w:after="0" w:line="259" w:lineRule="auto"/>
        <w:rPr>
          <w:sz w:val="20"/>
          <w:szCs w:val="20"/>
          <w:color w:val="auto"/>
        </w:rPr>
      </w:pPr>
      <w:r>
        <w:rPr>
          <w:rFonts w:ascii="Arial" w:cs="Arial" w:eastAsia="Arial" w:hAnsi="Arial"/>
          <w:sz w:val="18"/>
          <w:szCs w:val="18"/>
          <w:color w:val="auto"/>
        </w:rPr>
        <w:t>During 2003, claims on insurance activities increased by 1.9% to US$99.8 million, after growing slightly by 0.9% to US$97.9 million in 2002. Nevertheless, the net loss ratio, defined as net claims paid as a percentage of net premiums written, decreased to 48.7% in 2003, compared to 58.6% in 2002, which in turn decreased from 63.9% in 2001.</w:t>
      </w:r>
    </w:p>
    <w:p>
      <w:pPr>
        <w:spacing w:after="0" w:line="194" w:lineRule="exact"/>
        <w:rPr>
          <w:sz w:val="20"/>
          <w:szCs w:val="20"/>
          <w:color w:val="auto"/>
        </w:rPr>
      </w:pPr>
    </w:p>
    <w:p>
      <w:pPr>
        <w:jc w:val="both"/>
        <w:ind w:firstLine="193"/>
        <w:spacing w:after="0" w:line="290" w:lineRule="auto"/>
        <w:rPr>
          <w:sz w:val="20"/>
          <w:szCs w:val="20"/>
          <w:color w:val="auto"/>
        </w:rPr>
      </w:pPr>
      <w:r>
        <w:rPr>
          <w:rFonts w:ascii="Arial" w:cs="Arial" w:eastAsia="Arial" w:hAnsi="Arial"/>
          <w:sz w:val="16"/>
          <w:szCs w:val="16"/>
          <w:color w:val="auto"/>
        </w:rPr>
        <w:t>The net loss ratio improved in 2003 mainly due to lower ratios in the following segments: fire insurance, for which the net loss ratio decreased to 13.4% from 15.9% in 2002; health insurance together with Pacífico Salud, for which the net loss ratio decreased to 83.5% from 85.2% in 2002; and Pacífico Vida, for which the net loss ratio decreased to 32.0% from 45.7% in 2002. In 2002, the net loss ratio improved mainly in the following segments: fire insurance, which decreased to 15.9% from 78.6% in 2001; Pacífico Salud, whose ratio decreased to 82.6% from 108.0% in 2001; and personal injury, in which the net loss ratio decreased to 45.4% from 62.0% in 2001. In 2001, the net loss ratio improved despite the health insurance ratio remaining high at 86.2%, even after taking measures to reduce claims, and a higher ratio in fire insurance of 78.6% which was due to claims caused by the earthquake in the south of Perú, which occurred in the second quarter of 2001. See “Item 4. Information on the Company—(B) Business Overview—(5) Insurance.”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347" w:right="239" w:bottom="1440" w:gutter="0" w:footer="0" w:header="0"/>
        </w:sectPr>
      </w:pPr>
    </w:p>
    <w:bookmarkStart w:id="90" w:name="page91"/>
    <w:bookmarkEnd w:id="90"/>
    <w:tbl>
      <w:tblPr>
        <w:tblLayout w:type="fixed"/>
        <w:tblInd w:w="40" w:type="dxa"/>
        <w:tblCellMar>
          <w:top w:w="0" w:type="dxa"/>
          <w:left w:w="0" w:type="dxa"/>
          <w:bottom w:w="0" w:type="dxa"/>
          <w:right w:w="0" w:type="dxa"/>
        </w:tblCellMar>
      </w:tblPr>
      <w:tr>
        <w:trPr>
          <w:trHeight w:val="222"/>
        </w:trPr>
        <w:tc>
          <w:tcPr>
            <w:tcW w:w="6240" w:type="dxa"/>
            <w:vAlign w:val="bottom"/>
          </w:tcPr>
          <w:p>
            <w:pPr>
              <w:ind w:left="140"/>
              <w:spacing w:after="0"/>
              <w:rPr>
                <w:sz w:val="20"/>
                <w:szCs w:val="20"/>
                <w:color w:val="auto"/>
              </w:rPr>
            </w:pPr>
            <w:r>
              <w:rPr>
                <w:rFonts w:ascii="Arial" w:cs="Arial" w:eastAsia="Arial" w:hAnsi="Arial"/>
                <w:sz w:val="18"/>
                <w:szCs w:val="18"/>
                <w:i w:val="1"/>
                <w:iCs w:val="1"/>
                <w:color w:val="auto"/>
              </w:rPr>
              <w:t>Other Expenses</w:t>
            </w: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432"/>
        </w:trPr>
        <w:tc>
          <w:tcPr>
            <w:tcW w:w="6240" w:type="dxa"/>
            <w:vAlign w:val="bottom"/>
          </w:tcPr>
          <w:p>
            <w:pPr>
              <w:ind w:left="140"/>
              <w:spacing w:after="0"/>
              <w:rPr>
                <w:sz w:val="20"/>
                <w:szCs w:val="20"/>
                <w:color w:val="auto"/>
              </w:rPr>
            </w:pPr>
            <w:r>
              <w:rPr>
                <w:rFonts w:ascii="Arial" w:cs="Arial" w:eastAsia="Arial" w:hAnsi="Arial"/>
                <w:sz w:val="18"/>
                <w:szCs w:val="18"/>
                <w:color w:val="auto"/>
              </w:rPr>
              <w:t>The following table reflects the components of Credicorp's other expenses:</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59"/>
        </w:trPr>
        <w:tc>
          <w:tcPr>
            <w:tcW w:w="6240" w:type="dxa"/>
            <w:vAlign w:val="bottom"/>
          </w:tcPr>
          <w:p>
            <w:pPr>
              <w:spacing w:after="0"/>
              <w:rPr>
                <w:sz w:val="24"/>
                <w:szCs w:val="24"/>
                <w:color w:val="auto"/>
              </w:rPr>
            </w:pPr>
          </w:p>
        </w:tc>
        <w:tc>
          <w:tcPr>
            <w:tcW w:w="3800" w:type="dxa"/>
            <w:vAlign w:val="bottom"/>
            <w:gridSpan w:val="5"/>
          </w:tcPr>
          <w:p>
            <w:pPr>
              <w:jc w:val="center"/>
              <w:ind w:left="1212"/>
              <w:spacing w:after="0"/>
              <w:rPr>
                <w:sz w:val="20"/>
                <w:szCs w:val="20"/>
                <w:color w:val="auto"/>
              </w:rPr>
            </w:pPr>
            <w:r>
              <w:rPr>
                <w:rFonts w:ascii="Arial" w:cs="Arial" w:eastAsia="Arial" w:hAnsi="Arial"/>
                <w:sz w:val="18"/>
                <w:szCs w:val="18"/>
                <w:b w:val="1"/>
                <w:bCs w:val="1"/>
                <w:color w:val="auto"/>
                <w:w w:val="86"/>
              </w:rPr>
              <w:t>Year ended December 31,</w:t>
            </w:r>
          </w:p>
        </w:tc>
        <w:tc>
          <w:tcPr>
            <w:tcW w:w="1320" w:type="dxa"/>
            <w:vAlign w:val="bottom"/>
          </w:tcPr>
          <w:p>
            <w:pPr>
              <w:spacing w:after="0"/>
              <w:rPr>
                <w:sz w:val="24"/>
                <w:szCs w:val="24"/>
                <w:color w:val="auto"/>
              </w:rPr>
            </w:pPr>
          </w:p>
        </w:tc>
      </w:tr>
      <w:tr>
        <w:trPr>
          <w:trHeight w:val="137"/>
        </w:trPr>
        <w:tc>
          <w:tcPr>
            <w:tcW w:w="62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r>
      <w:tr>
        <w:trPr>
          <w:trHeight w:val="356"/>
        </w:trPr>
        <w:tc>
          <w:tcPr>
            <w:tcW w:w="6240" w:type="dxa"/>
            <w:vAlign w:val="bottom"/>
          </w:tcPr>
          <w:p>
            <w:pPr>
              <w:spacing w:after="0"/>
              <w:rPr>
                <w:sz w:val="24"/>
                <w:szCs w:val="24"/>
                <w:color w:val="auto"/>
              </w:rPr>
            </w:pPr>
          </w:p>
        </w:tc>
        <w:tc>
          <w:tcPr>
            <w:tcW w:w="1680" w:type="dxa"/>
            <w:vAlign w:val="bottom"/>
          </w:tcPr>
          <w:p>
            <w:pPr>
              <w:jc w:val="right"/>
              <w:ind w:right="572"/>
              <w:spacing w:after="0"/>
              <w:rPr>
                <w:sz w:val="20"/>
                <w:szCs w:val="20"/>
                <w:color w:val="auto"/>
              </w:rPr>
            </w:pPr>
            <w:r>
              <w:rPr>
                <w:rFonts w:ascii="Arial" w:cs="Arial" w:eastAsia="Arial" w:hAnsi="Arial"/>
                <w:sz w:val="18"/>
                <w:szCs w:val="18"/>
                <w:b w:val="1"/>
                <w:bCs w:val="1"/>
                <w:color w:val="auto"/>
              </w:rPr>
              <w:t>2001</w:t>
            </w:r>
          </w:p>
        </w:tc>
        <w:tc>
          <w:tcPr>
            <w:tcW w:w="1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4"/>
              </w:rPr>
              <w:t>2002</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jc w:val="right"/>
              <w:ind w:right="592"/>
              <w:spacing w:after="0"/>
              <w:rPr>
                <w:sz w:val="20"/>
                <w:szCs w:val="20"/>
                <w:color w:val="auto"/>
              </w:rPr>
            </w:pPr>
            <w:r>
              <w:rPr>
                <w:rFonts w:ascii="Arial" w:cs="Arial" w:eastAsia="Arial" w:hAnsi="Arial"/>
                <w:sz w:val="18"/>
                <w:szCs w:val="18"/>
                <w:b w:val="1"/>
                <w:bCs w:val="1"/>
                <w:color w:val="auto"/>
              </w:rPr>
              <w:t>2003</w:t>
            </w:r>
          </w:p>
        </w:tc>
      </w:tr>
      <w:tr>
        <w:trPr>
          <w:trHeight w:val="137"/>
        </w:trPr>
        <w:tc>
          <w:tcPr>
            <w:tcW w:w="62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r>
      <w:tr>
        <w:trPr>
          <w:trHeight w:val="356"/>
        </w:trPr>
        <w:tc>
          <w:tcPr>
            <w:tcW w:w="6240" w:type="dxa"/>
            <w:vAlign w:val="bottom"/>
          </w:tcPr>
          <w:p>
            <w:pPr>
              <w:spacing w:after="0"/>
              <w:rPr>
                <w:sz w:val="24"/>
                <w:szCs w:val="24"/>
                <w:color w:val="auto"/>
              </w:rPr>
            </w:pPr>
          </w:p>
        </w:tc>
        <w:tc>
          <w:tcPr>
            <w:tcW w:w="3800" w:type="dxa"/>
            <w:vAlign w:val="bottom"/>
            <w:gridSpan w:val="5"/>
          </w:tcPr>
          <w:p>
            <w:pPr>
              <w:jc w:val="center"/>
              <w:ind w:left="1212"/>
              <w:spacing w:after="0"/>
              <w:rPr>
                <w:sz w:val="20"/>
                <w:szCs w:val="20"/>
                <w:color w:val="auto"/>
              </w:rPr>
            </w:pPr>
            <w:r>
              <w:rPr>
                <w:rFonts w:ascii="Arial" w:cs="Arial" w:eastAsia="Arial" w:hAnsi="Arial"/>
                <w:sz w:val="18"/>
                <w:szCs w:val="18"/>
                <w:i w:val="1"/>
                <w:iCs w:val="1"/>
                <w:color w:val="auto"/>
                <w:w w:val="90"/>
              </w:rPr>
              <w:t>(U.S. Dollars in thousands)</w:t>
            </w:r>
          </w:p>
        </w:tc>
        <w:tc>
          <w:tcPr>
            <w:tcW w:w="1320" w:type="dxa"/>
            <w:vAlign w:val="bottom"/>
          </w:tcPr>
          <w:p>
            <w:pPr>
              <w:spacing w:after="0"/>
              <w:rPr>
                <w:sz w:val="24"/>
                <w:szCs w:val="24"/>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Salaries and employee benefits</w:t>
            </w:r>
          </w:p>
        </w:tc>
        <w:tc>
          <w:tcPr>
            <w:tcW w:w="1680" w:type="dxa"/>
            <w:vAlign w:val="bottom"/>
          </w:tcPr>
          <w:p>
            <w:pPr>
              <w:jc w:val="right"/>
              <w:spacing w:after="0"/>
              <w:rPr>
                <w:sz w:val="20"/>
                <w:szCs w:val="20"/>
                <w:color w:val="auto"/>
              </w:rPr>
            </w:pPr>
            <w:r>
              <w:rPr>
                <w:rFonts w:ascii="Arial" w:cs="Arial" w:eastAsia="Arial" w:hAnsi="Arial"/>
                <w:sz w:val="18"/>
                <w:szCs w:val="18"/>
                <w:color w:val="auto"/>
              </w:rPr>
              <w:t>US$173,974</w:t>
            </w:r>
          </w:p>
        </w:tc>
        <w:tc>
          <w:tcPr>
            <w:tcW w:w="20" w:type="dxa"/>
            <w:vAlign w:val="bottom"/>
          </w:tcPr>
          <w:p>
            <w:pPr>
              <w:spacing w:after="0"/>
              <w:rPr>
                <w:sz w:val="21"/>
                <w:szCs w:val="21"/>
                <w:color w:val="auto"/>
              </w:rPr>
            </w:pPr>
          </w:p>
        </w:tc>
        <w:tc>
          <w:tcPr>
            <w:tcW w:w="2100" w:type="dxa"/>
            <w:vAlign w:val="bottom"/>
            <w:gridSpan w:val="3"/>
          </w:tcPr>
          <w:p>
            <w:pPr>
              <w:ind w:left="820"/>
              <w:spacing w:after="0"/>
              <w:rPr>
                <w:sz w:val="20"/>
                <w:szCs w:val="20"/>
                <w:color w:val="auto"/>
              </w:rPr>
            </w:pPr>
            <w:r>
              <w:rPr>
                <w:rFonts w:ascii="Arial" w:cs="Arial" w:eastAsia="Arial" w:hAnsi="Arial"/>
                <w:sz w:val="18"/>
                <w:szCs w:val="18"/>
                <w:color w:val="auto"/>
              </w:rPr>
              <w:t>US$183,468</w:t>
            </w:r>
          </w:p>
        </w:tc>
        <w:tc>
          <w:tcPr>
            <w:tcW w:w="1320" w:type="dxa"/>
            <w:vAlign w:val="bottom"/>
          </w:tcPr>
          <w:p>
            <w:pPr>
              <w:jc w:val="right"/>
              <w:spacing w:after="0"/>
              <w:rPr>
                <w:sz w:val="20"/>
                <w:szCs w:val="20"/>
                <w:color w:val="auto"/>
              </w:rPr>
            </w:pPr>
            <w:r>
              <w:rPr>
                <w:rFonts w:ascii="Arial" w:cs="Arial" w:eastAsia="Arial" w:hAnsi="Arial"/>
                <w:sz w:val="18"/>
                <w:szCs w:val="18"/>
                <w:color w:val="auto"/>
              </w:rPr>
              <w:t>US$193,563</w:t>
            </w: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680" w:type="dxa"/>
            <w:vAlign w:val="bottom"/>
          </w:tcPr>
          <w:p>
            <w:pPr>
              <w:jc w:val="right"/>
              <w:spacing w:after="0"/>
              <w:rPr>
                <w:sz w:val="20"/>
                <w:szCs w:val="20"/>
                <w:color w:val="auto"/>
              </w:rPr>
            </w:pPr>
            <w:r>
              <w:rPr>
                <w:rFonts w:ascii="Arial" w:cs="Arial" w:eastAsia="Arial" w:hAnsi="Arial"/>
                <w:sz w:val="18"/>
                <w:szCs w:val="18"/>
                <w:color w:val="auto"/>
              </w:rPr>
              <w:t>128,007</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133,502</w:t>
            </w: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147,593</w:t>
            </w: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680" w:type="dxa"/>
            <w:vAlign w:val="bottom"/>
          </w:tcPr>
          <w:p>
            <w:pPr>
              <w:jc w:val="right"/>
              <w:spacing w:after="0"/>
              <w:rPr>
                <w:sz w:val="20"/>
                <w:szCs w:val="20"/>
                <w:color w:val="auto"/>
              </w:rPr>
            </w:pPr>
            <w:r>
              <w:rPr>
                <w:rFonts w:ascii="Arial" w:cs="Arial" w:eastAsia="Arial" w:hAnsi="Arial"/>
                <w:sz w:val="18"/>
                <w:szCs w:val="18"/>
                <w:color w:val="auto"/>
              </w:rPr>
              <w:t>46,732</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44,371</w:t>
            </w: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47,883</w:t>
            </w: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Provision for seized assets</w:t>
            </w:r>
          </w:p>
        </w:tc>
        <w:tc>
          <w:tcPr>
            <w:tcW w:w="1680" w:type="dxa"/>
            <w:vAlign w:val="bottom"/>
          </w:tcPr>
          <w:p>
            <w:pPr>
              <w:jc w:val="right"/>
              <w:spacing w:after="0"/>
              <w:rPr>
                <w:sz w:val="20"/>
                <w:szCs w:val="20"/>
                <w:color w:val="auto"/>
              </w:rPr>
            </w:pPr>
            <w:r>
              <w:rPr>
                <w:rFonts w:ascii="Arial" w:cs="Arial" w:eastAsia="Arial" w:hAnsi="Arial"/>
                <w:sz w:val="18"/>
                <w:szCs w:val="18"/>
                <w:color w:val="auto"/>
              </w:rPr>
              <w:t>7,447</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15,094</w:t>
            </w: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13,588</w:t>
            </w: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Other</w:t>
            </w:r>
          </w:p>
        </w:tc>
        <w:tc>
          <w:tcPr>
            <w:tcW w:w="1680" w:type="dxa"/>
            <w:vAlign w:val="bottom"/>
          </w:tcPr>
          <w:p>
            <w:pPr>
              <w:jc w:val="right"/>
              <w:spacing w:after="0"/>
              <w:rPr>
                <w:sz w:val="20"/>
                <w:szCs w:val="20"/>
                <w:color w:val="auto"/>
              </w:rPr>
            </w:pPr>
            <w:r>
              <w:rPr>
                <w:rFonts w:ascii="Arial" w:cs="Arial" w:eastAsia="Arial" w:hAnsi="Arial"/>
                <w:sz w:val="18"/>
                <w:szCs w:val="18"/>
                <w:color w:val="auto"/>
              </w:rPr>
              <w:t>34,619</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27,751</w:t>
            </w: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27,746</w:t>
            </w: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Merger costs</w:t>
            </w:r>
          </w:p>
        </w:tc>
        <w:tc>
          <w:tcPr>
            <w:tcW w:w="1680" w:type="dxa"/>
            <w:vAlign w:val="bottom"/>
          </w:tcPr>
          <w:p>
            <w:pPr>
              <w:jc w:val="right"/>
              <w:spacing w:after="0"/>
              <w:rPr>
                <w:sz w:val="20"/>
                <w:szCs w:val="20"/>
                <w:color w:val="auto"/>
              </w:rPr>
            </w:pPr>
            <w:r>
              <w:rPr>
                <w:rFonts w:ascii="Arial" w:cs="Arial" w:eastAsia="Arial" w:hAnsi="Arial"/>
                <w:sz w:val="18"/>
                <w:szCs w:val="18"/>
                <w:color w:val="auto"/>
              </w:rPr>
              <w:t>0</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18,587</w:t>
            </w:r>
          </w:p>
        </w:tc>
      </w:tr>
      <w:tr>
        <w:trPr>
          <w:trHeight w:val="137"/>
        </w:trPr>
        <w:tc>
          <w:tcPr>
            <w:tcW w:w="62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r>
      <w:tr>
        <w:trPr>
          <w:trHeight w:val="356"/>
        </w:trPr>
        <w:tc>
          <w:tcPr>
            <w:tcW w:w="6240" w:type="dxa"/>
            <w:vAlign w:val="bottom"/>
          </w:tcPr>
          <w:p>
            <w:pPr>
              <w:ind w:left="160"/>
              <w:spacing w:after="0"/>
              <w:rPr>
                <w:sz w:val="20"/>
                <w:szCs w:val="20"/>
                <w:color w:val="auto"/>
              </w:rPr>
            </w:pPr>
            <w:r>
              <w:rPr>
                <w:rFonts w:ascii="Arial" w:cs="Arial" w:eastAsia="Arial" w:hAnsi="Arial"/>
                <w:sz w:val="18"/>
                <w:szCs w:val="18"/>
                <w:color w:val="auto"/>
              </w:rPr>
              <w:t>Total other expenses</w:t>
            </w:r>
          </w:p>
        </w:tc>
        <w:tc>
          <w:tcPr>
            <w:tcW w:w="1680" w:type="dxa"/>
            <w:vAlign w:val="bottom"/>
          </w:tcPr>
          <w:p>
            <w:pPr>
              <w:jc w:val="right"/>
              <w:spacing w:after="0"/>
              <w:rPr>
                <w:sz w:val="20"/>
                <w:szCs w:val="20"/>
                <w:color w:val="auto"/>
              </w:rPr>
            </w:pPr>
            <w:r>
              <w:rPr>
                <w:rFonts w:ascii="Arial" w:cs="Arial" w:eastAsia="Arial" w:hAnsi="Arial"/>
                <w:sz w:val="18"/>
                <w:szCs w:val="18"/>
                <w:color w:val="auto"/>
              </w:rPr>
              <w:t>US$390,779</w:t>
            </w:r>
          </w:p>
        </w:tc>
        <w:tc>
          <w:tcPr>
            <w:tcW w:w="20" w:type="dxa"/>
            <w:vAlign w:val="bottom"/>
          </w:tcPr>
          <w:p>
            <w:pPr>
              <w:spacing w:after="0"/>
              <w:rPr>
                <w:sz w:val="24"/>
                <w:szCs w:val="24"/>
                <w:color w:val="auto"/>
              </w:rPr>
            </w:pPr>
          </w:p>
        </w:tc>
        <w:tc>
          <w:tcPr>
            <w:tcW w:w="2100" w:type="dxa"/>
            <w:vAlign w:val="bottom"/>
            <w:gridSpan w:val="3"/>
          </w:tcPr>
          <w:p>
            <w:pPr>
              <w:ind w:left="820"/>
              <w:spacing w:after="0"/>
              <w:rPr>
                <w:sz w:val="20"/>
                <w:szCs w:val="20"/>
                <w:color w:val="auto"/>
              </w:rPr>
            </w:pPr>
            <w:r>
              <w:rPr>
                <w:rFonts w:ascii="Arial" w:cs="Arial" w:eastAsia="Arial" w:hAnsi="Arial"/>
                <w:sz w:val="18"/>
                <w:szCs w:val="18"/>
                <w:color w:val="auto"/>
              </w:rPr>
              <w:t>US$404,186</w:t>
            </w:r>
          </w:p>
        </w:tc>
        <w:tc>
          <w:tcPr>
            <w:tcW w:w="1320" w:type="dxa"/>
            <w:vAlign w:val="bottom"/>
          </w:tcPr>
          <w:p>
            <w:pPr>
              <w:jc w:val="right"/>
              <w:spacing w:after="0"/>
              <w:rPr>
                <w:sz w:val="20"/>
                <w:szCs w:val="20"/>
                <w:color w:val="auto"/>
              </w:rPr>
            </w:pPr>
            <w:r>
              <w:rPr>
                <w:rFonts w:ascii="Arial" w:cs="Arial" w:eastAsia="Arial" w:hAnsi="Arial"/>
                <w:sz w:val="18"/>
                <w:szCs w:val="18"/>
                <w:color w:val="auto"/>
              </w:rPr>
              <w:t>US$448,960</w:t>
            </w:r>
          </w:p>
        </w:tc>
      </w:tr>
      <w:tr>
        <w:trPr>
          <w:trHeight w:val="147"/>
        </w:trPr>
        <w:tc>
          <w:tcPr>
            <w:tcW w:w="6240" w:type="dxa"/>
            <w:vAlign w:val="bottom"/>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-1934845</wp:posOffset>
            </wp:positionV>
            <wp:extent cx="34290" cy="342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-1609090</wp:posOffset>
            </wp:positionV>
            <wp:extent cx="34290" cy="342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-1609090</wp:posOffset>
            </wp:positionV>
            <wp:extent cx="34290" cy="342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-1609090</wp:posOffset>
            </wp:positionV>
            <wp:extent cx="34290" cy="342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-356870</wp:posOffset>
            </wp:positionV>
            <wp:extent cx="34290" cy="342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-356870</wp:posOffset>
            </wp:positionV>
            <wp:extent cx="34290" cy="342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-356870</wp:posOffset>
            </wp:positionV>
            <wp:extent cx="34290" cy="342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-14605</wp:posOffset>
            </wp:positionV>
            <wp:extent cx="1270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-14605</wp:posOffset>
            </wp:positionV>
            <wp:extent cx="1270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-14605</wp:posOffset>
            </wp:positionV>
            <wp:extent cx="1270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-14605</wp:posOffset>
            </wp:positionV>
            <wp:extent cx="1270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-14605</wp:posOffset>
            </wp:positionV>
            <wp:extent cx="1270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-14605</wp:posOffset>
            </wp:positionV>
            <wp:extent cx="1270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20" w:lineRule="exact"/>
        <w:rPr>
          <w:sz w:val="20"/>
          <w:szCs w:val="20"/>
          <w:color w:val="auto"/>
        </w:rPr>
      </w:pPr>
    </w:p>
    <w:p>
      <w:pPr>
        <w:jc w:val="both"/>
        <w:ind w:firstLine="176"/>
        <w:spacing w:after="0" w:line="256" w:lineRule="auto"/>
        <w:rPr>
          <w:sz w:val="20"/>
          <w:szCs w:val="20"/>
          <w:color w:val="auto"/>
        </w:rPr>
      </w:pPr>
      <w:r>
        <w:rPr>
          <w:rFonts w:ascii="Arial" w:cs="Arial" w:eastAsia="Arial" w:hAnsi="Arial"/>
          <w:sz w:val="18"/>
          <w:szCs w:val="18"/>
          <w:color w:val="auto"/>
        </w:rPr>
        <w:t>Credicorp's other expenses (aside from provisions for loan losses) increased 11.1% to US$449.0 million in 2003, after an increase of 3.4% in 2002 compared to 2001. Other expenses grew in 2003 principally because of US$18.6 million of merger costs related to the mergers of BSCH-Perú and Solución as well as higher general and administrative expenses and personnel expenses (salaries and employee benefits). Higher expenses during 2002 were due mostly to increased general and administrative expenses and personnel expenses.</w:t>
      </w:r>
    </w:p>
    <w:p>
      <w:pPr>
        <w:spacing w:after="0" w:line="197" w:lineRule="exact"/>
        <w:rPr>
          <w:sz w:val="20"/>
          <w:szCs w:val="20"/>
          <w:color w:val="auto"/>
        </w:rPr>
      </w:pPr>
    </w:p>
    <w:p>
      <w:pPr>
        <w:jc w:val="both"/>
        <w:ind w:firstLine="247"/>
        <w:spacing w:after="0" w:line="256" w:lineRule="auto"/>
        <w:rPr>
          <w:sz w:val="20"/>
          <w:szCs w:val="20"/>
          <w:color w:val="auto"/>
        </w:rPr>
      </w:pPr>
      <w:r>
        <w:rPr>
          <w:rFonts w:ascii="Arial" w:cs="Arial" w:eastAsia="Arial" w:hAnsi="Arial"/>
          <w:sz w:val="18"/>
          <w:szCs w:val="18"/>
          <w:color w:val="auto"/>
        </w:rPr>
        <w:t>Personnel expenses grew 5.5% in 2003 compared to 2002, after a similar 5.5% increase in 2002 compared to 2001. The number of Credicorp's personnel decreased to 9,318 in 2003 from 9,896 in 2002, which in turn increased from 9,375 in 2001. Considering only BCP, the number of personnel decreased to 7,530 in 2003 from 8,356 in 2002, which in turn increased from 7,747 in 2001. The personnel decrease in 2003 is mainly due to the restructuring of recently acquired subsidiaries.</w:t>
      </w:r>
    </w:p>
    <w:p>
      <w:pPr>
        <w:spacing w:after="0" w:line="197" w:lineRule="exact"/>
        <w:rPr>
          <w:sz w:val="20"/>
          <w:szCs w:val="20"/>
          <w:color w:val="auto"/>
        </w:rPr>
      </w:pPr>
    </w:p>
    <w:p>
      <w:pPr>
        <w:jc w:val="both"/>
        <w:ind w:firstLine="246"/>
        <w:spacing w:after="0" w:line="255" w:lineRule="auto"/>
        <w:rPr>
          <w:sz w:val="20"/>
          <w:szCs w:val="20"/>
          <w:color w:val="auto"/>
        </w:rPr>
      </w:pPr>
      <w:r>
        <w:rPr>
          <w:rFonts w:ascii="Arial" w:cs="Arial" w:eastAsia="Arial" w:hAnsi="Arial"/>
          <w:sz w:val="18"/>
          <w:szCs w:val="18"/>
          <w:color w:val="auto"/>
        </w:rPr>
        <w:t>Credicorp's general and administrative expenses (which include taxes other than income taxes) increased 10.6% in 2003 compared to 2002, which in turn increased 4.3% compared to 2001. Higher expenses in 2003 were mainly the result of increases in systems and maintenance expenses and in supplies and operating charges, which included non-recurring expenses of US$7.5 million related to the computer systems restructuring project. Higher expenses in 2002 were the result of non-recurring charges related to projects including launching the new BCP identity; the restructuring of computer systems; and severance payments due to staff restructuring, which totaled US$14.4 million in 2002.</w:t>
      </w:r>
    </w:p>
    <w:p>
      <w:pPr>
        <w:spacing w:after="0" w:line="197" w:lineRule="exact"/>
        <w:rPr>
          <w:sz w:val="20"/>
          <w:szCs w:val="20"/>
          <w:color w:val="auto"/>
        </w:rPr>
      </w:pPr>
    </w:p>
    <w:p>
      <w:pPr>
        <w:jc w:val="both"/>
        <w:ind w:firstLine="262"/>
        <w:spacing w:after="0" w:line="268" w:lineRule="auto"/>
        <w:rPr>
          <w:sz w:val="20"/>
          <w:szCs w:val="20"/>
          <w:color w:val="auto"/>
        </w:rPr>
      </w:pPr>
      <w:r>
        <w:rPr>
          <w:rFonts w:ascii="Arial" w:cs="Arial" w:eastAsia="Arial" w:hAnsi="Arial"/>
          <w:sz w:val="18"/>
          <w:szCs w:val="18"/>
          <w:color w:val="auto"/>
        </w:rPr>
        <w:t>Depreciation and amortization increased 7.9% to US$47.9 million in 2003, after decreasing by 5.1% and 1.7% during 2002 and 2001, respectively. The increase in 2003 is mainly due to higher fixed assets from the BSCH-Perú merger.</w:t>
      </w:r>
    </w:p>
    <w:p>
      <w:pPr>
        <w:spacing w:after="0" w:line="186" w:lineRule="exact"/>
        <w:rPr>
          <w:sz w:val="20"/>
          <w:szCs w:val="20"/>
          <w:color w:val="auto"/>
        </w:rPr>
      </w:pPr>
    </w:p>
    <w:p>
      <w:pPr>
        <w:jc w:val="both"/>
        <w:ind w:firstLine="187"/>
        <w:spacing w:after="0" w:line="259" w:lineRule="auto"/>
        <w:rPr>
          <w:sz w:val="20"/>
          <w:szCs w:val="20"/>
          <w:color w:val="auto"/>
        </w:rPr>
      </w:pPr>
      <w:r>
        <w:rPr>
          <w:rFonts w:ascii="Arial" w:cs="Arial" w:eastAsia="Arial" w:hAnsi="Arial"/>
          <w:sz w:val="18"/>
          <w:szCs w:val="18"/>
          <w:color w:val="auto"/>
        </w:rPr>
        <w:t>Other expenses remained relatively unchanged in 2003 compared to 2002, after decreasing 19.8% in 2002 compared to 2001. Other expenses consist primarily of certain contingency provisions, net asset disposal costs and other miscellaneous items. Lower expenses in 2002 were mainly due to decreased provisions for contingencies.</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Translation Result</w:t>
      </w:r>
    </w:p>
    <w:p>
      <w:pPr>
        <w:spacing w:after="0" w:line="225" w:lineRule="exact"/>
        <w:rPr>
          <w:sz w:val="20"/>
          <w:szCs w:val="20"/>
          <w:color w:val="auto"/>
        </w:rPr>
      </w:pPr>
    </w:p>
    <w:p>
      <w:pPr>
        <w:jc w:val="both"/>
        <w:ind w:firstLine="276"/>
        <w:spacing w:after="0" w:line="256" w:lineRule="auto"/>
        <w:rPr>
          <w:sz w:val="20"/>
          <w:szCs w:val="20"/>
          <w:color w:val="auto"/>
        </w:rPr>
      </w:pPr>
      <w:r>
        <w:rPr>
          <w:rFonts w:ascii="Arial" w:cs="Arial" w:eastAsia="Arial" w:hAnsi="Arial"/>
          <w:sz w:val="18"/>
          <w:szCs w:val="18"/>
          <w:color w:val="auto"/>
        </w:rPr>
        <w:t>Since Credicorp's financial statements are kept in U.S. Dollars, the translation result reflects exposure to devaluation of net monetary positions in other currencies. Credicorp had a US$3.7 million translation loss in 2003, a US$2.5 million loss in 2002 and a US$2.6 million loss in 2001. In 2003, translation loss was mostly due to losses at BCP, Banco Tequendama and PPS. Translation loss in 2002 was mostly due to losses recorded at Banco Tequendama, which were caused by the devaluation of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347" w:right="239" w:bottom="1440" w:gutter="0" w:footer="0" w:header="0"/>
        </w:sectPr>
      </w:pPr>
    </w:p>
    <w:bookmarkStart w:id="91" w:name="page92"/>
    <w:bookmarkEnd w:id="91"/>
    <w:p>
      <w:pPr>
        <w:jc w:val="both"/>
        <w:spacing w:after="0" w:line="268" w:lineRule="auto"/>
        <w:rPr>
          <w:sz w:val="20"/>
          <w:szCs w:val="20"/>
          <w:color w:val="auto"/>
        </w:rPr>
      </w:pPr>
      <w:r>
        <w:rPr>
          <w:rFonts w:ascii="Arial" w:cs="Arial" w:eastAsia="Arial" w:hAnsi="Arial"/>
          <w:sz w:val="18"/>
          <w:szCs w:val="18"/>
          <w:color w:val="auto"/>
        </w:rPr>
        <w:t>Colombian and Venezuelan currencies. These losses were partly offset by gains at BCP. Translation loss in 2001 was mostly due to losses recorded at PPS and Banco Tequendama, which had US$1.7 million and US$1.0 million of translation losses, respectively.</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right="20" w:firstLine="265"/>
        <w:spacing w:after="0" w:line="268" w:lineRule="auto"/>
        <w:rPr>
          <w:sz w:val="20"/>
          <w:szCs w:val="20"/>
          <w:color w:val="auto"/>
        </w:rPr>
      </w:pPr>
      <w:r>
        <w:rPr>
          <w:rFonts w:ascii="Arial" w:cs="Arial" w:eastAsia="Arial" w:hAnsi="Arial"/>
          <w:sz w:val="18"/>
          <w:szCs w:val="18"/>
          <w:color w:val="auto"/>
        </w:rPr>
        <w:t>Credicorp is not subject to income taxes or taxes on capital gains, capital transfers or equity or estates duty under Bermuda law; however, certain of its subsidiaries are subject to income tax depending on the legislation applicable to the jurisdictions in which they generate income.</w:t>
      </w:r>
    </w:p>
    <w:p>
      <w:pPr>
        <w:spacing w:after="0" w:line="186" w:lineRule="exact"/>
        <w:rPr>
          <w:sz w:val="20"/>
          <w:szCs w:val="20"/>
          <w:color w:val="auto"/>
        </w:rPr>
      </w:pPr>
    </w:p>
    <w:p>
      <w:pPr>
        <w:jc w:val="both"/>
        <w:ind w:firstLine="176"/>
        <w:spacing w:after="0" w:line="286" w:lineRule="auto"/>
        <w:rPr>
          <w:sz w:val="20"/>
          <w:szCs w:val="20"/>
          <w:color w:val="auto"/>
        </w:rPr>
      </w:pPr>
      <w:r>
        <w:rPr>
          <w:rFonts w:ascii="Arial" w:cs="Arial" w:eastAsia="Arial" w:hAnsi="Arial"/>
          <w:sz w:val="16"/>
          <w:szCs w:val="16"/>
          <w:color w:val="auto"/>
        </w:rPr>
        <w:t>Credicorp's Peruvian subsidiaries, including BCP, are subject to corporate taxation on income under the Peruvian tax law. The statutory income tax rate payable in Perú in 2002 and 2003 was 27% of taxable income, which includes the result of exposure to inflation. The statutory income tax was raised to 30% starting in fiscal year 2004. An additional 4.1% withholding tax is applied on dividends, which Credicorp registers as income tax based on the liquid amount received from BCP and PPS. Amendments to the income tax legislation in 2000 allowed Peruvian companies to pay income tax at a rate of 20% for the portion of taxable income reinvested in any economic activity during that year, adjusted from the standard rate of 30%. For fiscal years 1998 and 1999, companies were subject to an extraordinary tax on net assets of 0.5%, and 0.2%, respectively. In the case of banks, such asset taxes were calculated based on 50% of assets (net of depreciation, reserve for loan losses and common stock investments in Peruvian corporations) as of December 31 of the relevant fiscal year. Beginning in 1994, amounts required to be held by BCP in the Central Bank as reserve deposits could be deducted from the asset calculation for determination of the alternative minimum tax and the extraordinary tax. Starting in 2003, and applying rates on substantially the same net assets, a procedure is applied to make advance payments of the income tax liability corresponding to the ongoing fiscal year. Both the asset based taxes and the advance payment procedure are payable even if no tax liability results in the tax year in question.</w:t>
      </w:r>
    </w:p>
    <w:p>
      <w:pPr>
        <w:spacing w:after="0" w:line="181" w:lineRule="exact"/>
        <w:rPr>
          <w:sz w:val="20"/>
          <w:szCs w:val="20"/>
          <w:color w:val="auto"/>
        </w:rPr>
      </w:pPr>
    </w:p>
    <w:p>
      <w:pPr>
        <w:jc w:val="both"/>
        <w:ind w:firstLine="197"/>
        <w:spacing w:after="0" w:line="332" w:lineRule="auto"/>
        <w:rPr>
          <w:sz w:val="20"/>
          <w:szCs w:val="20"/>
          <w:color w:val="auto"/>
        </w:rPr>
      </w:pPr>
      <w:r>
        <w:rPr>
          <w:rFonts w:ascii="Arial" w:cs="Arial" w:eastAsia="Arial" w:hAnsi="Arial"/>
          <w:sz w:val="16"/>
          <w:szCs w:val="16"/>
          <w:color w:val="auto"/>
        </w:rPr>
        <w:t>Peruvian tax legislation is applicable to legal entities established in Perú, and on an individual (not consolidated) basis. Credicorp's non-Peruvian subsidiaries are not subject to taxation in Perú and their assets are not included in the calculation of the Peruvian extraordinary tax on net assets.</w:t>
      </w:r>
    </w:p>
    <w:p>
      <w:pPr>
        <w:spacing w:after="0" w:line="139" w:lineRule="exact"/>
        <w:rPr>
          <w:sz w:val="20"/>
          <w:szCs w:val="20"/>
          <w:color w:val="auto"/>
        </w:rPr>
      </w:pPr>
    </w:p>
    <w:p>
      <w:pPr>
        <w:jc w:val="both"/>
        <w:ind w:firstLine="166"/>
        <w:spacing w:after="0" w:line="256" w:lineRule="auto"/>
        <w:rPr>
          <w:sz w:val="20"/>
          <w:szCs w:val="20"/>
          <w:color w:val="auto"/>
        </w:rPr>
      </w:pPr>
      <w:r>
        <w:rPr>
          <w:rFonts w:ascii="Arial" w:cs="Arial" w:eastAsia="Arial" w:hAnsi="Arial"/>
          <w:sz w:val="18"/>
          <w:szCs w:val="18"/>
          <w:color w:val="auto"/>
        </w:rPr>
        <w:t>ASHC is not subject to taxation in Panama since its operations are undertaken “offshore.” The Cayman Islands currently have no income, corporation or capital gains tax and no estate duty, inheritance or gift tax. Prior to 1995, there was no corporate income tax in Bolivia . Although Bolivia adopted an income tax regime starting in 1995, due to BCB's ability to offset taxes paid other than income taxes from any income tax liability, no Bolivian income taxes have been payable. Banco Tequendama is subject to income tax in Colombia at the statutory rate of 35%.</w:t>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Income tax expense by Credicorp increased to US$39.7 million in 2003 from US$32.6 million in 2002, which in turn increased from US$25.1 million in 2001.</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Income tax growth in these periods reflects increases in Credicorp's taxable income. Since 1994, Credicorp has paid the Peruvian income tax at the statutory rate.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 effective tax rates in 2002 and 2003 were 38% and 33%, respectively.</w:t>
      </w:r>
    </w:p>
    <w:p>
      <w:pPr>
        <w:spacing w:after="0" w:line="21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(3) Financial Condition</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Total Assets</w:t>
      </w:r>
    </w:p>
    <w:p>
      <w:pPr>
        <w:spacing w:after="0" w:line="225" w:lineRule="exact"/>
        <w:rPr>
          <w:sz w:val="20"/>
          <w:szCs w:val="20"/>
          <w:color w:val="auto"/>
        </w:rPr>
      </w:pPr>
    </w:p>
    <w:p>
      <w:pPr>
        <w:jc w:val="both"/>
        <w:ind w:firstLine="179"/>
        <w:spacing w:after="0" w:line="259" w:lineRule="auto"/>
        <w:rPr>
          <w:sz w:val="20"/>
          <w:szCs w:val="20"/>
          <w:color w:val="auto"/>
        </w:rPr>
      </w:pPr>
      <w:r>
        <w:rPr>
          <w:rFonts w:ascii="Arial" w:cs="Arial" w:eastAsia="Arial" w:hAnsi="Arial"/>
          <w:sz w:val="18"/>
          <w:szCs w:val="18"/>
          <w:color w:val="auto"/>
        </w:rPr>
        <w:t>As of December 31, 2003, Credicorp had total assets of US$8,294.4 million, decreasing 3.9% compared to total assets of US$8,629.6 million at December 31, 2002, with loans, net of provisions, decreasing 5.4%. From December 31, 2002 through December 31, 2003, the Peruvian financial system declined 3.4% in terms of deposits and 6.4% in terms of loans, comparing balances in nominal Nuevos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31" w:right="239" w:bottom="1440" w:gutter="0" w:footer="0" w:header="0"/>
        </w:sectPr>
      </w:pPr>
    </w:p>
    <w:bookmarkStart w:id="92" w:name="page93"/>
    <w:bookmarkEnd w:id="92"/>
    <w:p>
      <w:pPr>
        <w:jc w:val="both"/>
        <w:spacing w:after="0" w:line="255" w:lineRule="auto"/>
        <w:rPr>
          <w:sz w:val="20"/>
          <w:szCs w:val="20"/>
          <w:color w:val="auto"/>
        </w:rPr>
      </w:pPr>
      <w:r>
        <w:rPr>
          <w:rFonts w:ascii="Arial" w:cs="Arial" w:eastAsia="Arial" w:hAnsi="Arial"/>
          <w:sz w:val="18"/>
          <w:szCs w:val="18"/>
          <w:color w:val="auto"/>
        </w:rPr>
        <w:t>Soles, while GDP grew 4.0%. Although no assurance can be given, Credicorp expects its total assets to grow in the following years at a rate similar to GDP growth. The ratio of financial intermediation, as measured by the sum of currency in circulation, bank deposits and other bank obligations to the public, divided by GDP, was 5.2% in 1990 and, although this ratio reached approximately 25.5% in 2001 and 2002, this was still below the 26.7% peak in the early 1970s. In 2003, the ratio of financial intermediation decreased to 24.5%. Credicorp expects the rate of growth in total assets to remain at moderate levels compared to the unusually high levels experienced through 1997.</w:t>
      </w:r>
    </w:p>
    <w:p>
      <w:pPr>
        <w:spacing w:after="0" w:line="197" w:lineRule="exact"/>
        <w:rPr>
          <w:sz w:val="20"/>
          <w:szCs w:val="20"/>
          <w:color w:val="auto"/>
        </w:rPr>
      </w:pPr>
    </w:p>
    <w:p>
      <w:pPr>
        <w:jc w:val="both"/>
        <w:ind w:firstLine="203"/>
        <w:spacing w:after="0" w:line="256" w:lineRule="auto"/>
        <w:rPr>
          <w:sz w:val="20"/>
          <w:szCs w:val="20"/>
          <w:color w:val="auto"/>
        </w:rPr>
      </w:pPr>
      <w:r>
        <w:rPr>
          <w:rFonts w:ascii="Arial" w:cs="Arial" w:eastAsia="Arial" w:hAnsi="Arial"/>
          <w:sz w:val="18"/>
          <w:szCs w:val="18"/>
          <w:color w:val="auto"/>
        </w:rPr>
        <w:t>Credicorp's planned expansion in its loan portfolio could be accompanied by increased risk, not only due to the speed and magnitude of the increase in loans, but also to the anticipated shift to middle market and consumer lending, sectors in which Credicorp lacks the experience that it has in its more traditional lending activities, particularly corporate lending. Given the changing composition of Credicorp's loan portfolio, Credicorp's historical loss experience may not be indicative of its future loan loss experience.</w:t>
      </w:r>
    </w:p>
    <w:p>
      <w:pPr>
        <w:spacing w:after="0" w:line="197" w:lineRule="exact"/>
        <w:rPr>
          <w:sz w:val="20"/>
          <w:szCs w:val="20"/>
          <w:color w:val="auto"/>
        </w:rPr>
      </w:pPr>
    </w:p>
    <w:p>
      <w:pPr>
        <w:jc w:val="both"/>
        <w:ind w:firstLine="170"/>
        <w:spacing w:after="0" w:line="256" w:lineRule="auto"/>
        <w:rPr>
          <w:sz w:val="20"/>
          <w:szCs w:val="20"/>
          <w:color w:val="auto"/>
        </w:rPr>
      </w:pPr>
      <w:r>
        <w:rPr>
          <w:rFonts w:ascii="Arial" w:cs="Arial" w:eastAsia="Arial" w:hAnsi="Arial"/>
          <w:sz w:val="18"/>
          <w:szCs w:val="18"/>
          <w:color w:val="auto"/>
        </w:rPr>
        <w:t>As of December 31, 2003, Credicorp's total loans were US$4,481.5 million, which represented 54.0% of total assets. Net of reserves for loan losses, loans were US$4,154.8 million. As of December 31, 2002, Credicorp's total loans equaled US$4,817.7 million, which represented 55.9% of total assets. Net of reserves for loan losses, loans were US$4,393.6 million. Credicorp's total loans decreased from December 31, 2002 to December 31, 2003 by 7.0%, and net of loan loss reserves by 5.4% in the same period.</w:t>
      </w:r>
    </w:p>
    <w:p>
      <w:pPr>
        <w:spacing w:after="0" w:line="197" w:lineRule="exact"/>
        <w:rPr>
          <w:sz w:val="20"/>
          <w:szCs w:val="20"/>
          <w:color w:val="auto"/>
        </w:rPr>
      </w:pPr>
    </w:p>
    <w:p>
      <w:pPr>
        <w:jc w:val="both"/>
        <w:ind w:firstLine="185"/>
        <w:spacing w:after="0" w:line="294" w:lineRule="auto"/>
        <w:rPr>
          <w:sz w:val="20"/>
          <w:szCs w:val="20"/>
          <w:color w:val="auto"/>
        </w:rPr>
      </w:pPr>
      <w:r>
        <w:rPr>
          <w:rFonts w:ascii="Arial" w:cs="Arial" w:eastAsia="Arial" w:hAnsi="Arial"/>
          <w:sz w:val="16"/>
          <w:szCs w:val="16"/>
          <w:color w:val="auto"/>
        </w:rPr>
        <w:t>Credicorp's total deposits with the Central Bank of Perú decreased from US$1,317.0 million as of December 31, 2002 to US$929.6 million as of December 31, 2003. Credicorp's securities holdings (which include marketable securities and investments) increased to US$1,740.3 million at December 31, 2003 from US$1,240.4 million at December 31, 2002. During 2003, the securities portfolio increased 40.3% principally due to increased investments in bonds and in Central Bank certificates by BCP. The decrease in total Central Bank of Perú deposits and increases in securities holdings and the securities portfolio are primarily related to shifting Credicorp's excess liquidity to investments in fixed income securities.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Total Liabilities</w:t>
      </w:r>
    </w:p>
    <w:p>
      <w:pPr>
        <w:spacing w:after="0" w:line="225" w:lineRule="exact"/>
        <w:rPr>
          <w:sz w:val="20"/>
          <w:szCs w:val="20"/>
          <w:color w:val="auto"/>
        </w:rPr>
      </w:pPr>
    </w:p>
    <w:p>
      <w:pPr>
        <w:jc w:val="both"/>
        <w:ind w:firstLine="200"/>
        <w:spacing w:after="0" w:line="286" w:lineRule="auto"/>
        <w:rPr>
          <w:sz w:val="20"/>
          <w:szCs w:val="20"/>
          <w:color w:val="auto"/>
        </w:rPr>
      </w:pPr>
      <w:r>
        <w:rPr>
          <w:rFonts w:ascii="Arial" w:cs="Arial" w:eastAsia="Arial" w:hAnsi="Arial"/>
          <w:sz w:val="16"/>
          <w:szCs w:val="16"/>
          <w:color w:val="auto"/>
        </w:rPr>
        <w:t>As of December 31, 2003, Credicorp had total liabilities of US$7,383.7 million, a 5.4% decrease from total liabilities of US$7,805.8 million as of December 31, 2002. As of December 31, 2002, Credicorp had total deposits of US$5,986.2 million, a 6.2% decrease from total deposits of US$6,381.2 million at December 31, 2002. Credicorp believes that its extensive branch network and reputation in the Peruvian market have allowed it to compete effectively for new deposits and to attract stable, low cost savings deposits. During 2003, demand deposits grew 2.5%, while savings deposits decreased 12.8% and time deposits decreased 6.3%. As of December 31, 2003, Credicorp had 44.2% of total savings deposits in the Peruvian banking system and 36.1% of total deposits, both of which are the highest of any Peruvian bank. An important characteristic of Credicorp's deposit base is that, as of December 31, 2003, it included 57.7% of the entire Peruvian banking system's CTS deposits. Credicorp believes that it traditionally has attracted a high percentage of the savings and CTS deposit market because of its reputation as a sound institution, its extensive branch network and the quality of its service. Credicorp's funding strategy has been structured around maintaining a diversified deposit base. Credicorp's core deposits (savings, CTS and demand deposits) accounted for 58.5% of its total deposits as of December 31, 2003, and more than 60% of total deposits considering BCP individually. Credicorp's market share in these types of deposits amounted to 46.3% of the Peruvian banking system at December 31, 2003.</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347" w:right="239" w:bottom="1440" w:gutter="0" w:footer="0" w:header="0"/>
        </w:sectPr>
      </w:pPr>
    </w:p>
    <w:bookmarkStart w:id="93" w:name="page94"/>
    <w:bookmarkEnd w:id="93"/>
    <w:p>
      <w:pPr>
        <w:ind w:left="180"/>
        <w:spacing w:after="0"/>
        <w:rPr>
          <w:sz w:val="20"/>
          <w:szCs w:val="20"/>
          <w:color w:val="auto"/>
        </w:rPr>
      </w:pPr>
      <w:r>
        <w:rPr>
          <w:rFonts w:ascii="Arial" w:cs="Arial" w:eastAsia="Arial" w:hAnsi="Arial"/>
          <w:sz w:val="18"/>
          <w:szCs w:val="18"/>
          <w:b w:val="1"/>
          <w:bCs w:val="1"/>
          <w:color w:val="auto"/>
        </w:rPr>
        <w:t>(4) Reconciliation of Differences Between IFRS and U.S. GAAP</w:t>
      </w:r>
    </w:p>
    <w:p>
      <w:pPr>
        <w:spacing w:after="0" w:line="231" w:lineRule="exact"/>
        <w:rPr>
          <w:sz w:val="20"/>
          <w:szCs w:val="20"/>
          <w:color w:val="auto"/>
        </w:rPr>
      </w:pPr>
    </w:p>
    <w:p>
      <w:pPr>
        <w:jc w:val="both"/>
        <w:ind w:firstLine="207"/>
        <w:spacing w:after="0" w:line="287" w:lineRule="auto"/>
        <w:rPr>
          <w:sz w:val="20"/>
          <w:szCs w:val="20"/>
          <w:color w:val="auto"/>
        </w:rPr>
      </w:pPr>
      <w:r>
        <w:rPr>
          <w:rFonts w:ascii="Arial" w:cs="Arial" w:eastAsia="Arial" w:hAnsi="Arial"/>
          <w:sz w:val="16"/>
          <w:szCs w:val="16"/>
          <w:color w:val="auto"/>
        </w:rPr>
        <w:t>The Credicorp Consolidated Financial Statements have been prepared in accordance with IFRS, which differ in certain significant respects from U.S. GAAP. The principal difference between IFRS and U.S. GAAP, insofar as they relate to Credicorp, is the treatment of goodwill amortization. Credicorp believes that there is no significant difference between (i) the amounts of the loan loss provisions taken under IFRS and the provisions that would be required under U.S. GAAP, (ii) the accounting treatment of investments with the adoption of IAS 39 since 2001 (see Note 3(i) to the Credicorp Consolidated Financial Statements) and (iii) the treatment of goodwill amortization in 2002. Net income for the year ended December 31, 2003 was US$80.6 million under IFRS compared to US$84.8 million under U.S. GAAP. Net income for the year ended December 31, 2002 was US$42.4 million under IFRS compared to US$45.4 million under U.S. GAAP. Net income for the year ended December 31, 2001 was US$54.5 million under IFRS compared to US$55.9 million under U.S. GAAP. Shareholders' equity under IFRS was US$910.7 million as of December 31, 2003 compared to US$918.0 million under U.S. GAAP, and US$823.8 million as of December 31, 2002 compared to US$826.8 million under U.S. GAAP. See Note 24 to the Credicorp Consolidated Financial Statements for a discussion of the significant differences between IFRS and U.S. GAAP, insofar as they relate to Credicorp.</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80" w:type="dxa"/>
            <w:vAlign w:val="bottom"/>
          </w:tcPr>
          <w:p>
            <w:pPr>
              <w:spacing w:after="0"/>
              <w:rPr>
                <w:sz w:val="20"/>
                <w:szCs w:val="20"/>
                <w:color w:val="auto"/>
              </w:rPr>
            </w:pPr>
            <w:r>
              <w:rPr>
                <w:rFonts w:ascii="Arial" w:cs="Arial" w:eastAsia="Arial" w:hAnsi="Arial"/>
                <w:sz w:val="18"/>
                <w:szCs w:val="18"/>
                <w:b w:val="1"/>
                <w:bCs w:val="1"/>
                <w:color w:val="auto"/>
              </w:rPr>
              <w:t>(B) Liquidity and Capital Resources</w:t>
            </w: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432"/>
        </w:trPr>
        <w:tc>
          <w:tcPr>
            <w:tcW w:w="6280" w:type="dxa"/>
            <w:vAlign w:val="bottom"/>
          </w:tcPr>
          <w:p>
            <w:pPr>
              <w:ind w:left="180"/>
              <w:spacing w:after="0"/>
              <w:rPr>
                <w:sz w:val="20"/>
                <w:szCs w:val="20"/>
                <w:color w:val="auto"/>
              </w:rPr>
            </w:pPr>
            <w:r>
              <w:rPr>
                <w:rFonts w:ascii="Arial" w:cs="Arial" w:eastAsia="Arial" w:hAnsi="Arial"/>
                <w:sz w:val="18"/>
                <w:szCs w:val="18"/>
                <w:i w:val="1"/>
                <w:iCs w:val="1"/>
                <w:color w:val="auto"/>
              </w:rPr>
              <w:t>Regulatory Capital and Capital Adequacy Ratios</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459"/>
        </w:trPr>
        <w:tc>
          <w:tcPr>
            <w:tcW w:w="6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7"/>
              </w:rPr>
              <w:t>As of December 31,</w:t>
            </w:r>
          </w:p>
        </w:tc>
        <w:tc>
          <w:tcPr>
            <w:tcW w:w="1660" w:type="dxa"/>
            <w:vAlign w:val="bottom"/>
          </w:tcPr>
          <w:p>
            <w:pPr>
              <w:spacing w:after="0"/>
              <w:rPr>
                <w:sz w:val="24"/>
                <w:szCs w:val="24"/>
                <w:color w:val="auto"/>
              </w:rPr>
            </w:pPr>
          </w:p>
        </w:tc>
      </w:tr>
      <w:tr>
        <w:trPr>
          <w:trHeight w:val="137"/>
        </w:trPr>
        <w:tc>
          <w:tcPr>
            <w:tcW w:w="628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72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660" w:type="dxa"/>
            <w:vAlign w:val="bottom"/>
            <w:tcBorders>
              <w:bottom w:val="single" w:sz="8" w:color="9A9A9A"/>
            </w:tcBorders>
          </w:tcPr>
          <w:p>
            <w:pPr>
              <w:spacing w:after="0"/>
              <w:rPr>
                <w:sz w:val="11"/>
                <w:szCs w:val="11"/>
                <w:color w:val="auto"/>
              </w:rPr>
            </w:pPr>
          </w:p>
        </w:tc>
      </w:tr>
      <w:tr>
        <w:trPr>
          <w:trHeight w:val="356"/>
        </w:trPr>
        <w:tc>
          <w:tcPr>
            <w:tcW w:w="6280" w:type="dxa"/>
            <w:vAlign w:val="bottom"/>
          </w:tcPr>
          <w:p>
            <w:pPr>
              <w:spacing w:after="0"/>
              <w:rPr>
                <w:sz w:val="24"/>
                <w:szCs w:val="24"/>
                <w:color w:val="auto"/>
              </w:rPr>
            </w:pPr>
          </w:p>
        </w:tc>
        <w:tc>
          <w:tcPr>
            <w:tcW w:w="1680" w:type="dxa"/>
            <w:vAlign w:val="bottom"/>
          </w:tcPr>
          <w:p>
            <w:pPr>
              <w:jc w:val="right"/>
              <w:ind w:right="572"/>
              <w:spacing w:after="0"/>
              <w:rPr>
                <w:sz w:val="20"/>
                <w:szCs w:val="20"/>
                <w:color w:val="auto"/>
              </w:rPr>
            </w:pPr>
            <w:r>
              <w:rPr>
                <w:rFonts w:ascii="Arial" w:cs="Arial" w:eastAsia="Arial" w:hAnsi="Arial"/>
                <w:sz w:val="18"/>
                <w:szCs w:val="18"/>
                <w:b w:val="1"/>
                <w:bCs w:val="1"/>
                <w:color w:val="auto"/>
              </w:rPr>
              <w:t>2001</w:t>
            </w:r>
          </w:p>
        </w:tc>
        <w:tc>
          <w:tcPr>
            <w:tcW w:w="17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4"/>
              </w:rPr>
              <w:t>2002</w:t>
            </w:r>
          </w:p>
        </w:tc>
        <w:tc>
          <w:tcPr>
            <w:tcW w:w="40" w:type="dxa"/>
            <w:vAlign w:val="bottom"/>
          </w:tcPr>
          <w:p>
            <w:pPr>
              <w:spacing w:after="0"/>
              <w:rPr>
                <w:sz w:val="24"/>
                <w:szCs w:val="24"/>
                <w:color w:val="auto"/>
              </w:rPr>
            </w:pPr>
          </w:p>
        </w:tc>
        <w:tc>
          <w:tcPr>
            <w:tcW w:w="1660" w:type="dxa"/>
            <w:vAlign w:val="bottom"/>
          </w:tcPr>
          <w:p>
            <w:pPr>
              <w:jc w:val="right"/>
              <w:ind w:right="572"/>
              <w:spacing w:after="0"/>
              <w:rPr>
                <w:sz w:val="20"/>
                <w:szCs w:val="20"/>
                <w:color w:val="auto"/>
              </w:rPr>
            </w:pPr>
            <w:r>
              <w:rPr>
                <w:rFonts w:ascii="Arial" w:cs="Arial" w:eastAsia="Arial" w:hAnsi="Arial"/>
                <w:sz w:val="18"/>
                <w:szCs w:val="18"/>
                <w:b w:val="1"/>
                <w:bCs w:val="1"/>
                <w:color w:val="auto"/>
              </w:rPr>
              <w:t>2003</w:t>
            </w:r>
          </w:p>
        </w:tc>
      </w:tr>
      <w:tr>
        <w:trPr>
          <w:trHeight w:val="137"/>
        </w:trPr>
        <w:tc>
          <w:tcPr>
            <w:tcW w:w="628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2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660" w:type="dxa"/>
            <w:vAlign w:val="bottom"/>
            <w:tcBorders>
              <w:bottom w:val="single" w:sz="8" w:color="9A9A9A"/>
            </w:tcBorders>
          </w:tcPr>
          <w:p>
            <w:pPr>
              <w:spacing w:after="0"/>
              <w:rPr>
                <w:sz w:val="11"/>
                <w:szCs w:val="11"/>
                <w:color w:val="auto"/>
              </w:rPr>
            </w:pPr>
          </w:p>
        </w:tc>
      </w:tr>
      <w:tr>
        <w:trPr>
          <w:trHeight w:val="356"/>
        </w:trPr>
        <w:tc>
          <w:tcPr>
            <w:tcW w:w="6280" w:type="dxa"/>
            <w:vAlign w:val="bottom"/>
          </w:tcPr>
          <w:p>
            <w:pPr>
              <w:spacing w:after="0"/>
              <w:rPr>
                <w:sz w:val="24"/>
                <w:szCs w:val="24"/>
                <w:color w:val="auto"/>
              </w:rPr>
            </w:pPr>
          </w:p>
        </w:tc>
        <w:tc>
          <w:tcPr>
            <w:tcW w:w="5120" w:type="dxa"/>
            <w:vAlign w:val="bottom"/>
            <w:gridSpan w:val="5"/>
          </w:tcPr>
          <w:p>
            <w:pPr>
              <w:jc w:val="center"/>
              <w:spacing w:after="0"/>
              <w:rPr>
                <w:sz w:val="20"/>
                <w:szCs w:val="20"/>
                <w:color w:val="auto"/>
              </w:rPr>
            </w:pPr>
            <w:r>
              <w:rPr>
                <w:rFonts w:ascii="Arial" w:cs="Arial" w:eastAsia="Arial" w:hAnsi="Arial"/>
                <w:sz w:val="18"/>
                <w:szCs w:val="18"/>
                <w:i w:val="1"/>
                <w:iCs w:val="1"/>
                <w:color w:val="auto"/>
                <w:w w:val="87"/>
              </w:rPr>
              <w:t>(U.S. Dollars in thousands, except percentages)</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Capital stock, net</w:t>
            </w:r>
          </w:p>
        </w:tc>
        <w:tc>
          <w:tcPr>
            <w:tcW w:w="1680" w:type="dxa"/>
            <w:vAlign w:val="bottom"/>
          </w:tcPr>
          <w:p>
            <w:pPr>
              <w:jc w:val="right"/>
              <w:spacing w:after="0"/>
              <w:rPr>
                <w:sz w:val="20"/>
                <w:szCs w:val="20"/>
                <w:color w:val="auto"/>
              </w:rPr>
            </w:pPr>
            <w:r>
              <w:rPr>
                <w:rFonts w:ascii="Arial" w:cs="Arial" w:eastAsia="Arial" w:hAnsi="Arial"/>
                <w:sz w:val="18"/>
                <w:szCs w:val="18"/>
                <w:color w:val="auto"/>
              </w:rPr>
              <w:t>US$ 536,327</w:t>
            </w:r>
          </w:p>
        </w:tc>
        <w:tc>
          <w:tcPr>
            <w:tcW w:w="20" w:type="dxa"/>
            <w:vAlign w:val="bottom"/>
          </w:tcPr>
          <w:p>
            <w:pPr>
              <w:spacing w:after="0"/>
              <w:rPr>
                <w:sz w:val="21"/>
                <w:szCs w:val="21"/>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US$ 539,235</w:t>
            </w:r>
          </w:p>
        </w:tc>
        <w:tc>
          <w:tcPr>
            <w:tcW w:w="1660" w:type="dxa"/>
            <w:vAlign w:val="bottom"/>
          </w:tcPr>
          <w:p>
            <w:pPr>
              <w:jc w:val="right"/>
              <w:spacing w:after="0"/>
              <w:rPr>
                <w:sz w:val="20"/>
                <w:szCs w:val="20"/>
                <w:color w:val="auto"/>
              </w:rPr>
            </w:pPr>
            <w:r>
              <w:rPr>
                <w:rFonts w:ascii="Arial" w:cs="Arial" w:eastAsia="Arial" w:hAnsi="Arial"/>
                <w:sz w:val="18"/>
                <w:szCs w:val="18"/>
                <w:color w:val="auto"/>
              </w:rPr>
              <w:t>US$539,235</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Legal and other capital reserves</w:t>
            </w:r>
          </w:p>
        </w:tc>
        <w:tc>
          <w:tcPr>
            <w:tcW w:w="1680" w:type="dxa"/>
            <w:vAlign w:val="bottom"/>
          </w:tcPr>
          <w:p>
            <w:pPr>
              <w:jc w:val="right"/>
              <w:spacing w:after="0"/>
              <w:rPr>
                <w:sz w:val="20"/>
                <w:szCs w:val="20"/>
                <w:color w:val="auto"/>
              </w:rPr>
            </w:pPr>
            <w:r>
              <w:rPr>
                <w:rFonts w:ascii="Arial" w:cs="Arial" w:eastAsia="Arial" w:hAnsi="Arial"/>
                <w:sz w:val="18"/>
                <w:szCs w:val="18"/>
                <w:color w:val="auto"/>
              </w:rPr>
              <w:t>69,527</w:t>
            </w:r>
          </w:p>
        </w:tc>
        <w:tc>
          <w:tcPr>
            <w:tcW w:w="1780" w:type="dxa"/>
            <w:vAlign w:val="bottom"/>
            <w:gridSpan w:val="3"/>
          </w:tcPr>
          <w:p>
            <w:pPr>
              <w:jc w:val="right"/>
              <w:ind w:right="40"/>
              <w:spacing w:after="0"/>
              <w:rPr>
                <w:sz w:val="20"/>
                <w:szCs w:val="20"/>
                <w:color w:val="auto"/>
              </w:rPr>
            </w:pPr>
            <w:r>
              <w:rPr>
                <w:rFonts w:ascii="Arial" w:cs="Arial" w:eastAsia="Arial" w:hAnsi="Arial"/>
                <w:sz w:val="18"/>
                <w:szCs w:val="18"/>
                <w:color w:val="auto"/>
              </w:rPr>
              <w:t>69,527</w:t>
            </w:r>
          </w:p>
        </w:tc>
        <w:tc>
          <w:tcPr>
            <w:tcW w:w="1660" w:type="dxa"/>
            <w:vAlign w:val="bottom"/>
          </w:tcPr>
          <w:p>
            <w:pPr>
              <w:jc w:val="right"/>
              <w:spacing w:after="0"/>
              <w:rPr>
                <w:sz w:val="20"/>
                <w:szCs w:val="20"/>
                <w:color w:val="auto"/>
              </w:rPr>
            </w:pPr>
            <w:r>
              <w:rPr>
                <w:rFonts w:ascii="Arial" w:cs="Arial" w:eastAsia="Arial" w:hAnsi="Arial"/>
                <w:sz w:val="18"/>
                <w:szCs w:val="18"/>
                <w:color w:val="auto"/>
              </w:rPr>
              <w:t>202,440</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Retained earnings</w:t>
            </w:r>
          </w:p>
        </w:tc>
        <w:tc>
          <w:tcPr>
            <w:tcW w:w="1680" w:type="dxa"/>
            <w:vAlign w:val="bottom"/>
          </w:tcPr>
          <w:p>
            <w:pPr>
              <w:jc w:val="right"/>
              <w:spacing w:after="0"/>
              <w:rPr>
                <w:sz w:val="20"/>
                <w:szCs w:val="20"/>
                <w:color w:val="auto"/>
              </w:rPr>
            </w:pPr>
            <w:r>
              <w:rPr>
                <w:rFonts w:ascii="Arial" w:cs="Arial" w:eastAsia="Arial" w:hAnsi="Arial"/>
                <w:sz w:val="18"/>
                <w:szCs w:val="18"/>
                <w:color w:val="auto"/>
              </w:rPr>
              <w:t>0</w:t>
            </w:r>
          </w:p>
        </w:tc>
        <w:tc>
          <w:tcPr>
            <w:tcW w:w="1780" w:type="dxa"/>
            <w:vAlign w:val="bottom"/>
            <w:gridSpan w:val="3"/>
          </w:tcPr>
          <w:p>
            <w:pPr>
              <w:jc w:val="right"/>
              <w:ind w:right="40"/>
              <w:spacing w:after="0"/>
              <w:rPr>
                <w:sz w:val="20"/>
                <w:szCs w:val="20"/>
                <w:color w:val="auto"/>
              </w:rPr>
            </w:pPr>
            <w:r>
              <w:rPr>
                <w:rFonts w:ascii="Arial" w:cs="Arial" w:eastAsia="Arial" w:hAnsi="Arial"/>
                <w:sz w:val="18"/>
                <w:szCs w:val="18"/>
                <w:color w:val="auto"/>
              </w:rPr>
              <w:t>29,162</w:t>
            </w:r>
          </w:p>
        </w:tc>
        <w:tc>
          <w:tcPr>
            <w:tcW w:w="16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Generic contingency loss Reserves</w:t>
            </w:r>
          </w:p>
        </w:tc>
        <w:tc>
          <w:tcPr>
            <w:tcW w:w="1680" w:type="dxa"/>
            <w:vAlign w:val="bottom"/>
          </w:tcPr>
          <w:p>
            <w:pPr>
              <w:jc w:val="right"/>
              <w:spacing w:after="0"/>
              <w:rPr>
                <w:sz w:val="20"/>
                <w:szCs w:val="20"/>
                <w:color w:val="auto"/>
              </w:rPr>
            </w:pPr>
            <w:r>
              <w:rPr>
                <w:rFonts w:ascii="Arial" w:cs="Arial" w:eastAsia="Arial" w:hAnsi="Arial"/>
                <w:sz w:val="18"/>
                <w:szCs w:val="18"/>
                <w:color w:val="auto"/>
              </w:rPr>
              <w:t>34,577</w:t>
            </w:r>
          </w:p>
        </w:tc>
        <w:tc>
          <w:tcPr>
            <w:tcW w:w="1780" w:type="dxa"/>
            <w:vAlign w:val="bottom"/>
            <w:gridSpan w:val="3"/>
          </w:tcPr>
          <w:p>
            <w:pPr>
              <w:jc w:val="right"/>
              <w:ind w:right="40"/>
              <w:spacing w:after="0"/>
              <w:rPr>
                <w:sz w:val="20"/>
                <w:szCs w:val="20"/>
                <w:color w:val="auto"/>
              </w:rPr>
            </w:pPr>
            <w:r>
              <w:rPr>
                <w:rFonts w:ascii="Arial" w:cs="Arial" w:eastAsia="Arial" w:hAnsi="Arial"/>
                <w:sz w:val="18"/>
                <w:szCs w:val="18"/>
                <w:color w:val="auto"/>
              </w:rPr>
              <w:t>34,577</w:t>
            </w:r>
          </w:p>
        </w:tc>
        <w:tc>
          <w:tcPr>
            <w:tcW w:w="1660" w:type="dxa"/>
            <w:vAlign w:val="bottom"/>
          </w:tcPr>
          <w:p>
            <w:pPr>
              <w:jc w:val="right"/>
              <w:spacing w:after="0"/>
              <w:rPr>
                <w:sz w:val="20"/>
                <w:szCs w:val="20"/>
                <w:color w:val="auto"/>
              </w:rPr>
            </w:pPr>
            <w:r>
              <w:rPr>
                <w:rFonts w:ascii="Arial" w:cs="Arial" w:eastAsia="Arial" w:hAnsi="Arial"/>
                <w:sz w:val="18"/>
                <w:szCs w:val="18"/>
                <w:color w:val="auto"/>
              </w:rPr>
              <w:t>34,577</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Subordinated debt</w:t>
            </w:r>
          </w:p>
        </w:tc>
        <w:tc>
          <w:tcPr>
            <w:tcW w:w="1680" w:type="dxa"/>
            <w:vAlign w:val="bottom"/>
          </w:tcPr>
          <w:p>
            <w:pPr>
              <w:jc w:val="right"/>
              <w:spacing w:after="0"/>
              <w:rPr>
                <w:sz w:val="20"/>
                <w:szCs w:val="20"/>
                <w:color w:val="auto"/>
              </w:rPr>
            </w:pPr>
            <w:r>
              <w:rPr>
                <w:rFonts w:ascii="Arial" w:cs="Arial" w:eastAsia="Arial" w:hAnsi="Arial"/>
                <w:sz w:val="18"/>
                <w:szCs w:val="18"/>
                <w:color w:val="auto"/>
              </w:rPr>
              <w:t>55,555</w:t>
            </w:r>
          </w:p>
        </w:tc>
        <w:tc>
          <w:tcPr>
            <w:tcW w:w="1780" w:type="dxa"/>
            <w:vAlign w:val="bottom"/>
            <w:gridSpan w:val="3"/>
          </w:tcPr>
          <w:p>
            <w:pPr>
              <w:jc w:val="right"/>
              <w:ind w:right="40"/>
              <w:spacing w:after="0"/>
              <w:rPr>
                <w:sz w:val="20"/>
                <w:szCs w:val="20"/>
                <w:color w:val="auto"/>
              </w:rPr>
            </w:pPr>
            <w:r>
              <w:rPr>
                <w:rFonts w:ascii="Arial" w:cs="Arial" w:eastAsia="Arial" w:hAnsi="Arial"/>
                <w:sz w:val="18"/>
                <w:szCs w:val="18"/>
                <w:color w:val="auto"/>
              </w:rPr>
              <w:t>68,349</w:t>
            </w:r>
          </w:p>
        </w:tc>
        <w:tc>
          <w:tcPr>
            <w:tcW w:w="1660" w:type="dxa"/>
            <w:vAlign w:val="bottom"/>
          </w:tcPr>
          <w:p>
            <w:pPr>
              <w:jc w:val="right"/>
              <w:spacing w:after="0"/>
              <w:rPr>
                <w:sz w:val="20"/>
                <w:szCs w:val="20"/>
                <w:color w:val="auto"/>
              </w:rPr>
            </w:pPr>
            <w:r>
              <w:rPr>
                <w:rFonts w:ascii="Arial" w:cs="Arial" w:eastAsia="Arial" w:hAnsi="Arial"/>
                <w:sz w:val="18"/>
                <w:szCs w:val="18"/>
                <w:color w:val="auto"/>
              </w:rPr>
              <w:t>97,140</w:t>
            </w:r>
          </w:p>
        </w:tc>
      </w:tr>
      <w:tr>
        <w:trPr>
          <w:trHeight w:val="151"/>
        </w:trPr>
        <w:tc>
          <w:tcPr>
            <w:tcW w:w="6280" w:type="dxa"/>
            <w:vAlign w:val="bottom"/>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c>
          <w:tcPr>
            <w:tcW w:w="40" w:type="dxa"/>
            <w:vAlign w:val="bottom"/>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43"/>
        </w:trPr>
        <w:tc>
          <w:tcPr>
            <w:tcW w:w="6280" w:type="dxa"/>
            <w:vAlign w:val="bottom"/>
          </w:tcPr>
          <w:p>
            <w:pPr>
              <w:ind w:left="200"/>
              <w:spacing w:after="0"/>
              <w:rPr>
                <w:sz w:val="20"/>
                <w:szCs w:val="20"/>
                <w:color w:val="auto"/>
              </w:rPr>
            </w:pPr>
            <w:r>
              <w:rPr>
                <w:rFonts w:ascii="Arial" w:cs="Arial" w:eastAsia="Arial" w:hAnsi="Arial"/>
                <w:sz w:val="18"/>
                <w:szCs w:val="18"/>
                <w:color w:val="auto"/>
              </w:rPr>
              <w:t>Total</w:t>
            </w:r>
          </w:p>
        </w:tc>
        <w:tc>
          <w:tcPr>
            <w:tcW w:w="1680" w:type="dxa"/>
            <w:vAlign w:val="bottom"/>
          </w:tcPr>
          <w:p>
            <w:pPr>
              <w:jc w:val="right"/>
              <w:spacing w:after="0"/>
              <w:rPr>
                <w:sz w:val="20"/>
                <w:szCs w:val="20"/>
                <w:color w:val="auto"/>
              </w:rPr>
            </w:pPr>
            <w:r>
              <w:rPr>
                <w:rFonts w:ascii="Arial" w:cs="Arial" w:eastAsia="Arial" w:hAnsi="Arial"/>
                <w:sz w:val="18"/>
                <w:szCs w:val="18"/>
                <w:color w:val="auto"/>
              </w:rPr>
              <w:t>US$ 695,986</w:t>
            </w:r>
          </w:p>
        </w:tc>
        <w:tc>
          <w:tcPr>
            <w:tcW w:w="20" w:type="dxa"/>
            <w:vAlign w:val="bottom"/>
          </w:tcPr>
          <w:p>
            <w:pPr>
              <w:spacing w:after="0"/>
              <w:rPr>
                <w:sz w:val="24"/>
                <w:szCs w:val="24"/>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US$ 740,850</w:t>
            </w:r>
          </w:p>
        </w:tc>
        <w:tc>
          <w:tcPr>
            <w:tcW w:w="1660" w:type="dxa"/>
            <w:vAlign w:val="bottom"/>
          </w:tcPr>
          <w:p>
            <w:pPr>
              <w:jc w:val="right"/>
              <w:spacing w:after="0"/>
              <w:rPr>
                <w:sz w:val="20"/>
                <w:szCs w:val="20"/>
                <w:color w:val="auto"/>
              </w:rPr>
            </w:pPr>
            <w:r>
              <w:rPr>
                <w:rFonts w:ascii="Arial" w:cs="Arial" w:eastAsia="Arial" w:hAnsi="Arial"/>
                <w:sz w:val="18"/>
                <w:szCs w:val="18"/>
                <w:color w:val="auto"/>
              </w:rPr>
              <w:t>US$873,392</w:t>
            </w:r>
          </w:p>
        </w:tc>
      </w:tr>
      <w:tr>
        <w:trPr>
          <w:trHeight w:val="237"/>
        </w:trPr>
        <w:tc>
          <w:tcPr>
            <w:tcW w:w="6280" w:type="dxa"/>
            <w:vAlign w:val="bottom"/>
          </w:tcPr>
          <w:p>
            <w:pPr>
              <w:ind w:left="40"/>
              <w:spacing w:after="0"/>
              <w:rPr>
                <w:sz w:val="20"/>
                <w:szCs w:val="20"/>
                <w:color w:val="auto"/>
              </w:rPr>
            </w:pPr>
            <w:r>
              <w:rPr>
                <w:rFonts w:ascii="Arial" w:cs="Arial" w:eastAsia="Arial" w:hAnsi="Arial"/>
                <w:sz w:val="18"/>
                <w:szCs w:val="18"/>
                <w:color w:val="auto"/>
              </w:rPr>
              <w:t>Less: investment in multilateral</w:t>
            </w: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22"/>
        </w:trPr>
        <w:tc>
          <w:tcPr>
            <w:tcW w:w="6280" w:type="dxa"/>
            <w:vAlign w:val="bottom"/>
          </w:tcPr>
          <w:p>
            <w:pPr>
              <w:ind w:left="220"/>
              <w:spacing w:after="0"/>
              <w:rPr>
                <w:sz w:val="20"/>
                <w:szCs w:val="20"/>
                <w:color w:val="auto"/>
              </w:rPr>
            </w:pPr>
            <w:r>
              <w:rPr>
                <w:rFonts w:ascii="Arial" w:cs="Arial" w:eastAsia="Arial" w:hAnsi="Arial"/>
                <w:sz w:val="18"/>
                <w:szCs w:val="18"/>
                <w:color w:val="auto"/>
              </w:rPr>
              <w:t>Organizations and Banks</w:t>
            </w:r>
          </w:p>
        </w:tc>
        <w:tc>
          <w:tcPr>
            <w:tcW w:w="1680" w:type="dxa"/>
            <w:vAlign w:val="bottom"/>
          </w:tcPr>
          <w:p>
            <w:pPr>
              <w:jc w:val="right"/>
              <w:spacing w:after="0"/>
              <w:rPr>
                <w:sz w:val="20"/>
                <w:szCs w:val="20"/>
                <w:color w:val="auto"/>
              </w:rPr>
            </w:pPr>
            <w:r>
              <w:rPr>
                <w:rFonts w:ascii="Arial" w:cs="Arial" w:eastAsia="Arial" w:hAnsi="Arial"/>
                <w:sz w:val="18"/>
                <w:szCs w:val="18"/>
                <w:color w:val="auto"/>
              </w:rPr>
              <w:t>(162)</w:t>
            </w:r>
          </w:p>
        </w:tc>
        <w:tc>
          <w:tcPr>
            <w:tcW w:w="1780" w:type="dxa"/>
            <w:vAlign w:val="bottom"/>
            <w:gridSpan w:val="3"/>
          </w:tcPr>
          <w:p>
            <w:pPr>
              <w:jc w:val="right"/>
              <w:ind w:right="40"/>
              <w:spacing w:after="0"/>
              <w:rPr>
                <w:sz w:val="20"/>
                <w:szCs w:val="20"/>
                <w:color w:val="auto"/>
              </w:rPr>
            </w:pPr>
            <w:r>
              <w:rPr>
                <w:rFonts w:ascii="Arial" w:cs="Arial" w:eastAsia="Arial" w:hAnsi="Arial"/>
                <w:sz w:val="18"/>
                <w:szCs w:val="18"/>
                <w:color w:val="auto"/>
              </w:rPr>
              <w:t>(2,808)</w:t>
            </w:r>
          </w:p>
        </w:tc>
        <w:tc>
          <w:tcPr>
            <w:tcW w:w="1660" w:type="dxa"/>
            <w:vAlign w:val="bottom"/>
          </w:tcPr>
          <w:p>
            <w:pPr>
              <w:jc w:val="right"/>
              <w:spacing w:after="0"/>
              <w:rPr>
                <w:sz w:val="20"/>
                <w:szCs w:val="20"/>
                <w:color w:val="auto"/>
              </w:rPr>
            </w:pPr>
            <w:r>
              <w:rPr>
                <w:rFonts w:ascii="Arial" w:cs="Arial" w:eastAsia="Arial" w:hAnsi="Arial"/>
                <w:sz w:val="18"/>
                <w:szCs w:val="18"/>
                <w:color w:val="auto"/>
              </w:rPr>
              <w:t>(20,762)</w:t>
            </w:r>
          </w:p>
        </w:tc>
      </w:tr>
      <w:tr>
        <w:trPr>
          <w:trHeight w:val="151"/>
        </w:trPr>
        <w:tc>
          <w:tcPr>
            <w:tcW w:w="6280" w:type="dxa"/>
            <w:vAlign w:val="bottom"/>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c>
          <w:tcPr>
            <w:tcW w:w="40" w:type="dxa"/>
            <w:vAlign w:val="bottom"/>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43"/>
        </w:trPr>
        <w:tc>
          <w:tcPr>
            <w:tcW w:w="6280" w:type="dxa"/>
            <w:vAlign w:val="bottom"/>
          </w:tcPr>
          <w:p>
            <w:pPr>
              <w:ind w:left="40"/>
              <w:spacing w:after="0"/>
              <w:rPr>
                <w:sz w:val="20"/>
                <w:szCs w:val="20"/>
                <w:color w:val="auto"/>
              </w:rPr>
            </w:pPr>
            <w:r>
              <w:rPr>
                <w:rFonts w:ascii="Arial" w:cs="Arial" w:eastAsia="Arial" w:hAnsi="Arial"/>
                <w:sz w:val="18"/>
                <w:szCs w:val="18"/>
                <w:color w:val="auto"/>
              </w:rPr>
              <w:t>Total regulatory capital(1)</w:t>
            </w:r>
          </w:p>
        </w:tc>
        <w:tc>
          <w:tcPr>
            <w:tcW w:w="1680" w:type="dxa"/>
            <w:vAlign w:val="bottom"/>
          </w:tcPr>
          <w:p>
            <w:pPr>
              <w:jc w:val="right"/>
              <w:spacing w:after="0"/>
              <w:rPr>
                <w:sz w:val="20"/>
                <w:szCs w:val="20"/>
                <w:color w:val="auto"/>
              </w:rPr>
            </w:pPr>
            <w:r>
              <w:rPr>
                <w:rFonts w:ascii="Arial" w:cs="Arial" w:eastAsia="Arial" w:hAnsi="Arial"/>
                <w:sz w:val="18"/>
                <w:szCs w:val="18"/>
                <w:color w:val="auto"/>
              </w:rPr>
              <w:t>US$ 695,824</w:t>
            </w:r>
          </w:p>
        </w:tc>
        <w:tc>
          <w:tcPr>
            <w:tcW w:w="20" w:type="dxa"/>
            <w:vAlign w:val="bottom"/>
          </w:tcPr>
          <w:p>
            <w:pPr>
              <w:spacing w:after="0"/>
              <w:rPr>
                <w:sz w:val="24"/>
                <w:szCs w:val="24"/>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US$ 738,042</w:t>
            </w:r>
          </w:p>
        </w:tc>
        <w:tc>
          <w:tcPr>
            <w:tcW w:w="1660" w:type="dxa"/>
            <w:vAlign w:val="bottom"/>
          </w:tcPr>
          <w:p>
            <w:pPr>
              <w:jc w:val="right"/>
              <w:spacing w:after="0"/>
              <w:rPr>
                <w:sz w:val="20"/>
                <w:szCs w:val="20"/>
                <w:color w:val="auto"/>
              </w:rPr>
            </w:pPr>
            <w:r>
              <w:rPr>
                <w:rFonts w:ascii="Arial" w:cs="Arial" w:eastAsia="Arial" w:hAnsi="Arial"/>
                <w:sz w:val="18"/>
                <w:szCs w:val="18"/>
                <w:color w:val="auto"/>
              </w:rPr>
              <w:t>US$852,630</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Risk-weighted assets (1)</w:t>
            </w:r>
          </w:p>
        </w:tc>
        <w:tc>
          <w:tcPr>
            <w:tcW w:w="1680" w:type="dxa"/>
            <w:vAlign w:val="bottom"/>
          </w:tcPr>
          <w:p>
            <w:pPr>
              <w:jc w:val="right"/>
              <w:spacing w:after="0"/>
              <w:rPr>
                <w:sz w:val="20"/>
                <w:szCs w:val="20"/>
                <w:color w:val="auto"/>
              </w:rPr>
            </w:pPr>
            <w:r>
              <w:rPr>
                <w:rFonts w:ascii="Arial" w:cs="Arial" w:eastAsia="Arial" w:hAnsi="Arial"/>
                <w:sz w:val="18"/>
                <w:szCs w:val="18"/>
                <w:color w:val="auto"/>
              </w:rPr>
              <w:t>5,912,823</w:t>
            </w:r>
          </w:p>
        </w:tc>
        <w:tc>
          <w:tcPr>
            <w:tcW w:w="1780" w:type="dxa"/>
            <w:vAlign w:val="bottom"/>
            <w:gridSpan w:val="3"/>
          </w:tcPr>
          <w:p>
            <w:pPr>
              <w:jc w:val="right"/>
              <w:ind w:right="40"/>
              <w:spacing w:after="0"/>
              <w:rPr>
                <w:sz w:val="20"/>
                <w:szCs w:val="20"/>
                <w:color w:val="auto"/>
              </w:rPr>
            </w:pPr>
            <w:r>
              <w:rPr>
                <w:rFonts w:ascii="Arial" w:cs="Arial" w:eastAsia="Arial" w:hAnsi="Arial"/>
                <w:sz w:val="18"/>
                <w:szCs w:val="18"/>
                <w:color w:val="auto"/>
              </w:rPr>
              <w:t>6,407,333</w:t>
            </w:r>
          </w:p>
        </w:tc>
        <w:tc>
          <w:tcPr>
            <w:tcW w:w="1660" w:type="dxa"/>
            <w:vAlign w:val="bottom"/>
          </w:tcPr>
          <w:p>
            <w:pPr>
              <w:jc w:val="right"/>
              <w:spacing w:after="0"/>
              <w:rPr>
                <w:sz w:val="20"/>
                <w:szCs w:val="20"/>
                <w:color w:val="auto"/>
              </w:rPr>
            </w:pPr>
            <w:r>
              <w:rPr>
                <w:rFonts w:ascii="Arial" w:cs="Arial" w:eastAsia="Arial" w:hAnsi="Arial"/>
                <w:sz w:val="18"/>
                <w:szCs w:val="18"/>
                <w:color w:val="auto"/>
              </w:rPr>
              <w:t>6,431,535</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Capital Ratios:</w:t>
            </w: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Regulatory capital as a percentage of risk-weighted assets</w:t>
            </w:r>
          </w:p>
        </w:tc>
        <w:tc>
          <w:tcPr>
            <w:tcW w:w="1680" w:type="dxa"/>
            <w:vAlign w:val="bottom"/>
          </w:tcPr>
          <w:p>
            <w:pPr>
              <w:jc w:val="right"/>
              <w:spacing w:after="0"/>
              <w:rPr>
                <w:sz w:val="20"/>
                <w:szCs w:val="20"/>
                <w:color w:val="auto"/>
              </w:rPr>
            </w:pPr>
            <w:r>
              <w:rPr>
                <w:rFonts w:ascii="Arial" w:cs="Arial" w:eastAsia="Arial" w:hAnsi="Arial"/>
                <w:sz w:val="18"/>
                <w:szCs w:val="18"/>
                <w:color w:val="auto"/>
              </w:rPr>
              <w:t>11.77%</w:t>
            </w:r>
          </w:p>
        </w:tc>
        <w:tc>
          <w:tcPr>
            <w:tcW w:w="1780" w:type="dxa"/>
            <w:vAlign w:val="bottom"/>
            <w:gridSpan w:val="3"/>
          </w:tcPr>
          <w:p>
            <w:pPr>
              <w:jc w:val="right"/>
              <w:ind w:right="40"/>
              <w:spacing w:after="0"/>
              <w:rPr>
                <w:sz w:val="20"/>
                <w:szCs w:val="20"/>
                <w:color w:val="auto"/>
              </w:rPr>
            </w:pPr>
            <w:r>
              <w:rPr>
                <w:rFonts w:ascii="Arial" w:cs="Arial" w:eastAsia="Arial" w:hAnsi="Arial"/>
                <w:sz w:val="18"/>
                <w:szCs w:val="18"/>
                <w:color w:val="auto"/>
              </w:rPr>
              <w:t>11.52%</w:t>
            </w:r>
          </w:p>
        </w:tc>
        <w:tc>
          <w:tcPr>
            <w:tcW w:w="1660" w:type="dxa"/>
            <w:vAlign w:val="bottom"/>
          </w:tcPr>
          <w:p>
            <w:pPr>
              <w:jc w:val="right"/>
              <w:spacing w:after="0"/>
              <w:rPr>
                <w:sz w:val="20"/>
                <w:szCs w:val="20"/>
                <w:color w:val="auto"/>
              </w:rPr>
            </w:pPr>
            <w:r>
              <w:rPr>
                <w:rFonts w:ascii="Arial" w:cs="Arial" w:eastAsia="Arial" w:hAnsi="Arial"/>
                <w:sz w:val="18"/>
                <w:szCs w:val="18"/>
                <w:color w:val="auto"/>
              </w:rPr>
              <w:t>13.26%</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Ratio of risk-weighted assets to regulatory capital (1)</w:t>
            </w:r>
          </w:p>
        </w:tc>
        <w:tc>
          <w:tcPr>
            <w:tcW w:w="1680" w:type="dxa"/>
            <w:vAlign w:val="bottom"/>
          </w:tcPr>
          <w:p>
            <w:pPr>
              <w:jc w:val="right"/>
              <w:spacing w:after="0"/>
              <w:rPr>
                <w:sz w:val="20"/>
                <w:szCs w:val="20"/>
                <w:color w:val="auto"/>
              </w:rPr>
            </w:pPr>
            <w:r>
              <w:rPr>
                <w:rFonts w:ascii="Arial" w:cs="Arial" w:eastAsia="Arial" w:hAnsi="Arial"/>
                <w:sz w:val="18"/>
                <w:szCs w:val="18"/>
                <w:color w:val="auto"/>
              </w:rPr>
              <w:t>8.50</w:t>
            </w:r>
          </w:p>
        </w:tc>
        <w:tc>
          <w:tcPr>
            <w:tcW w:w="1780" w:type="dxa"/>
            <w:vAlign w:val="bottom"/>
            <w:gridSpan w:val="3"/>
          </w:tcPr>
          <w:p>
            <w:pPr>
              <w:jc w:val="right"/>
              <w:ind w:right="40"/>
              <w:spacing w:after="0"/>
              <w:rPr>
                <w:sz w:val="20"/>
                <w:szCs w:val="20"/>
                <w:color w:val="auto"/>
              </w:rPr>
            </w:pPr>
            <w:r>
              <w:rPr>
                <w:rFonts w:ascii="Arial" w:cs="Arial" w:eastAsia="Arial" w:hAnsi="Arial"/>
                <w:sz w:val="18"/>
                <w:szCs w:val="18"/>
                <w:color w:val="auto"/>
              </w:rPr>
              <w:t>8.68</w:t>
            </w:r>
          </w:p>
        </w:tc>
        <w:tc>
          <w:tcPr>
            <w:tcW w:w="1660" w:type="dxa"/>
            <w:vAlign w:val="bottom"/>
          </w:tcPr>
          <w:p>
            <w:pPr>
              <w:jc w:val="right"/>
              <w:spacing w:after="0"/>
              <w:rPr>
                <w:sz w:val="20"/>
                <w:szCs w:val="20"/>
                <w:color w:val="auto"/>
              </w:rPr>
            </w:pPr>
            <w:r>
              <w:rPr>
                <w:rFonts w:ascii="Arial" w:cs="Arial" w:eastAsia="Arial" w:hAnsi="Arial"/>
                <w:sz w:val="18"/>
                <w:szCs w:val="18"/>
                <w:color w:val="auto"/>
              </w:rPr>
              <w:t>7.54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-2909570</wp:posOffset>
            </wp:positionV>
            <wp:extent cx="34290" cy="342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-2583815</wp:posOffset>
            </wp:positionV>
            <wp:extent cx="34290" cy="342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6141085</wp:posOffset>
            </wp:positionH>
            <wp:positionV relativeFrom="paragraph">
              <wp:posOffset>-2583815</wp:posOffset>
            </wp:positionV>
            <wp:extent cx="34290" cy="342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-2583815</wp:posOffset>
            </wp:positionV>
            <wp:extent cx="34290" cy="342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-1477010</wp:posOffset>
            </wp:positionV>
            <wp:extent cx="34290" cy="342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6141085</wp:posOffset>
            </wp:positionH>
            <wp:positionV relativeFrom="paragraph">
              <wp:posOffset>-1477010</wp:posOffset>
            </wp:positionV>
            <wp:extent cx="34290" cy="342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-1477010</wp:posOffset>
            </wp:positionV>
            <wp:extent cx="34290" cy="342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-859790</wp:posOffset>
            </wp:positionV>
            <wp:extent cx="34290" cy="342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6141085</wp:posOffset>
            </wp:positionH>
            <wp:positionV relativeFrom="paragraph">
              <wp:posOffset>-859790</wp:posOffset>
            </wp:positionV>
            <wp:extent cx="34290" cy="342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-859790</wp:posOffset>
            </wp:positionV>
            <wp:extent cx="34290" cy="342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1839595" cy="342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839595" cy="34290"/>
                    </a:xfrm>
                    <a:prstGeom prst="rect">
                      <a:avLst/>
                    </a:prstGeom>
                    <a:noFill/>
                  </pic:spPr>
                </pic:pic>
              </a:graphicData>
            </a:graphic>
          </wp:anchor>
        </w:drawing>
      </w:r>
    </w:p>
    <w:p>
      <w:pPr>
        <w:spacing w:after="0" w:line="228" w:lineRule="exact"/>
        <w:rPr>
          <w:sz w:val="20"/>
          <w:szCs w:val="20"/>
          <w:color w:val="auto"/>
        </w:rPr>
      </w:pPr>
    </w:p>
    <w:p>
      <w:pPr>
        <w:jc w:val="both"/>
        <w:ind w:left="580" w:hanging="572"/>
        <w:spacing w:after="0" w:line="233" w:lineRule="auto"/>
        <w:tabs>
          <w:tab w:leader="none" w:pos="5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On an unconsolidated basis, BCP's regulatory capital was US$471.3 million and its risk-weighted assets and equivalent market risks were US$4,306.8 million as of December 31, 2003, yielding a ratio of 9.1 to 1.0 (10.9%). ASB, which determines regulatory capital and risk-weighted assets in accordance with the Basel Accord, had a risk-weighted assets to regulatory capital ratio of 6.3 to 1.0 (15.8%).</w:t>
      </w:r>
    </w:p>
    <w:p>
      <w:pPr>
        <w:spacing w:after="0" w:line="222" w:lineRule="exact"/>
        <w:rPr>
          <w:sz w:val="20"/>
          <w:szCs w:val="20"/>
          <w:color w:val="auto"/>
        </w:rPr>
      </w:pPr>
    </w:p>
    <w:p>
      <w:pPr>
        <w:ind w:firstLine="176"/>
        <w:spacing w:after="0" w:line="268" w:lineRule="auto"/>
        <w:rPr>
          <w:sz w:val="20"/>
          <w:szCs w:val="20"/>
          <w:color w:val="auto"/>
        </w:rPr>
      </w:pPr>
      <w:r>
        <w:rPr>
          <w:rFonts w:ascii="Arial" w:cs="Arial" w:eastAsia="Arial" w:hAnsi="Arial"/>
          <w:sz w:val="18"/>
          <w:szCs w:val="18"/>
          <w:color w:val="auto"/>
        </w:rPr>
        <w:t>Average shareholders' equity as a percentage of average total assets increased from 10.1% in 2001 to 10.4% in 2002 and remained nearly unchanged at 10.3% in 2003.</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341" w:right="239" w:bottom="1440" w:gutter="0" w:footer="0" w:header="0"/>
        </w:sectPr>
      </w:pPr>
    </w:p>
    <w:bookmarkStart w:id="94" w:name="page95"/>
    <w:bookmarkEnd w:id="94"/>
    <w:p>
      <w:pPr>
        <w:ind w:left="180"/>
        <w:spacing w:after="0"/>
        <w:rPr>
          <w:sz w:val="20"/>
          <w:szCs w:val="20"/>
          <w:color w:val="auto"/>
        </w:rPr>
      </w:pPr>
      <w:r>
        <w:rPr>
          <w:rFonts w:ascii="Arial" w:cs="Arial" w:eastAsia="Arial" w:hAnsi="Arial"/>
          <w:sz w:val="18"/>
          <w:szCs w:val="18"/>
          <w:i w:val="1"/>
          <w:iCs w:val="1"/>
          <w:color w:val="auto"/>
        </w:rPr>
        <w:t>Liquidity Risk</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reflects the maturity and currency structure of Credicorp's assets, liabilities and shareholders' equity as of December 31, 2003:</w:t>
      </w: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45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4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87"/>
              </w:rPr>
              <w:t>Year ended December 31, 2003</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45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43"/>
        </w:trPr>
        <w:tc>
          <w:tcPr>
            <w:tcW w:w="4540" w:type="dxa"/>
            <w:vAlign w:val="bottom"/>
          </w:tcPr>
          <w:p>
            <w:pPr>
              <w:spacing w:after="0"/>
              <w:rPr>
                <w:sz w:val="24"/>
                <w:szCs w:val="24"/>
                <w:color w:val="auto"/>
              </w:rPr>
            </w:pPr>
          </w:p>
        </w:tc>
        <w:tc>
          <w:tcPr>
            <w:tcW w:w="17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Nuevos Soles</w:t>
            </w:r>
          </w:p>
        </w:tc>
        <w:tc>
          <w:tcPr>
            <w:tcW w:w="1720" w:type="dxa"/>
            <w:vAlign w:val="bottom"/>
            <w:gridSpan w:val="2"/>
          </w:tcPr>
          <w:p>
            <w:pPr>
              <w:ind w:left="200"/>
              <w:spacing w:after="0"/>
              <w:rPr>
                <w:sz w:val="20"/>
                <w:szCs w:val="20"/>
                <w:color w:val="auto"/>
              </w:rPr>
            </w:pPr>
            <w:r>
              <w:rPr>
                <w:rFonts w:ascii="Arial" w:cs="Arial" w:eastAsia="Arial" w:hAnsi="Arial"/>
                <w:sz w:val="18"/>
                <w:szCs w:val="18"/>
                <w:b w:val="1"/>
                <w:bCs w:val="1"/>
                <w:color w:val="auto"/>
              </w:rPr>
              <w:t>Foreign currency</w:t>
            </w:r>
          </w:p>
        </w:tc>
        <w:tc>
          <w:tcPr>
            <w:tcW w:w="1720" w:type="dxa"/>
            <w:vAlign w:val="bottom"/>
            <w:gridSpan w:val="2"/>
          </w:tcPr>
          <w:p>
            <w:pPr>
              <w:ind w:left="660"/>
              <w:spacing w:after="0"/>
              <w:rPr>
                <w:sz w:val="20"/>
                <w:szCs w:val="20"/>
                <w:color w:val="auto"/>
              </w:rPr>
            </w:pPr>
            <w:r>
              <w:rPr>
                <w:rFonts w:ascii="Arial" w:cs="Arial" w:eastAsia="Arial" w:hAnsi="Arial"/>
                <w:sz w:val="18"/>
                <w:szCs w:val="18"/>
                <w:b w:val="1"/>
                <w:bCs w:val="1"/>
                <w:color w:val="auto"/>
              </w:rPr>
              <w:t>Total</w:t>
            </w:r>
          </w:p>
        </w:tc>
        <w:tc>
          <w:tcPr>
            <w:tcW w:w="1680" w:type="dxa"/>
            <w:vAlign w:val="bottom"/>
          </w:tcPr>
          <w:p>
            <w:pPr>
              <w:jc w:val="right"/>
              <w:ind w:right="292"/>
              <w:spacing w:after="0"/>
              <w:rPr>
                <w:sz w:val="20"/>
                <w:szCs w:val="20"/>
                <w:color w:val="auto"/>
              </w:rPr>
            </w:pPr>
            <w:r>
              <w:rPr>
                <w:rFonts w:ascii="Arial" w:cs="Arial" w:eastAsia="Arial" w:hAnsi="Arial"/>
                <w:sz w:val="18"/>
                <w:szCs w:val="18"/>
                <w:b w:val="1"/>
                <w:bCs w:val="1"/>
                <w:color w:val="auto"/>
              </w:rPr>
              <w:t>Percentage</w:t>
            </w:r>
          </w:p>
        </w:tc>
        <w:tc>
          <w:tcPr>
            <w:tcW w:w="0" w:type="dxa"/>
            <w:vAlign w:val="bottom"/>
          </w:tcPr>
          <w:p>
            <w:pPr>
              <w:spacing w:after="0"/>
              <w:rPr>
                <w:sz w:val="1"/>
                <w:szCs w:val="1"/>
                <w:color w:val="auto"/>
              </w:rPr>
            </w:pPr>
          </w:p>
        </w:tc>
      </w:tr>
      <w:tr>
        <w:trPr>
          <w:trHeight w:val="137"/>
        </w:trPr>
        <w:tc>
          <w:tcPr>
            <w:tcW w:w="45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43"/>
        </w:trPr>
        <w:tc>
          <w:tcPr>
            <w:tcW w:w="45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40" w:type="dxa"/>
            <w:vAlign w:val="bottom"/>
            <w:gridSpan w:val="4"/>
          </w:tcPr>
          <w:p>
            <w:pPr>
              <w:jc w:val="center"/>
              <w:ind w:right="40"/>
              <w:spacing w:after="0"/>
              <w:rPr>
                <w:sz w:val="20"/>
                <w:szCs w:val="20"/>
                <w:color w:val="auto"/>
              </w:rPr>
            </w:pPr>
            <w:r>
              <w:rPr>
                <w:rFonts w:ascii="Arial" w:cs="Arial" w:eastAsia="Arial" w:hAnsi="Arial"/>
                <w:sz w:val="18"/>
                <w:szCs w:val="18"/>
                <w:i w:val="1"/>
                <w:iCs w:val="1"/>
                <w:color w:val="auto"/>
                <w:w w:val="87"/>
              </w:rPr>
              <w:t>(U.S. Dollars in thousands, except percentages)</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40" w:type="dxa"/>
            <w:vAlign w:val="bottom"/>
          </w:tcPr>
          <w:p>
            <w:pPr>
              <w:spacing w:after="0"/>
              <w:rPr>
                <w:sz w:val="20"/>
                <w:szCs w:val="20"/>
                <w:color w:val="auto"/>
              </w:rPr>
            </w:pPr>
            <w:r>
              <w:rPr>
                <w:rFonts w:ascii="Arial" w:cs="Arial" w:eastAsia="Arial" w:hAnsi="Arial"/>
                <w:sz w:val="18"/>
                <w:szCs w:val="18"/>
                <w:b w:val="1"/>
                <w:bCs w:val="1"/>
                <w:i w:val="1"/>
                <w:iCs w:val="1"/>
                <w:color w:val="auto"/>
              </w:rPr>
              <w:t>Assets</w:t>
            </w: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spacing w:after="0"/>
              <w:rPr>
                <w:sz w:val="20"/>
                <w:szCs w:val="20"/>
                <w:color w:val="auto"/>
              </w:rPr>
            </w:pPr>
            <w:r>
              <w:rPr>
                <w:rFonts w:ascii="Arial" w:cs="Arial" w:eastAsia="Arial" w:hAnsi="Arial"/>
                <w:sz w:val="18"/>
                <w:szCs w:val="18"/>
                <w:b w:val="1"/>
                <w:bCs w:val="1"/>
                <w:color w:val="auto"/>
              </w:rPr>
              <w:t>Financial Assets:</w:t>
            </w: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US$139,514</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US$1,473,216</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US$1,612,730</w:t>
            </w:r>
          </w:p>
        </w:tc>
        <w:tc>
          <w:tcPr>
            <w:tcW w:w="1680" w:type="dxa"/>
            <w:vAlign w:val="bottom"/>
          </w:tcPr>
          <w:p>
            <w:pPr>
              <w:jc w:val="right"/>
              <w:spacing w:after="0"/>
              <w:rPr>
                <w:sz w:val="20"/>
                <w:szCs w:val="20"/>
                <w:color w:val="auto"/>
              </w:rPr>
            </w:pPr>
            <w:r>
              <w:rPr>
                <w:rFonts w:ascii="Arial" w:cs="Arial" w:eastAsia="Arial" w:hAnsi="Arial"/>
                <w:sz w:val="18"/>
                <w:szCs w:val="18"/>
                <w:color w:val="auto"/>
              </w:rPr>
              <w:t>19.44%</w:t>
            </w:r>
          </w:p>
        </w:tc>
        <w:tc>
          <w:tcPr>
            <w:tcW w:w="0" w:type="dxa"/>
            <w:vAlign w:val="bottom"/>
          </w:tcPr>
          <w:p>
            <w:pPr>
              <w:spacing w:after="0"/>
              <w:rPr>
                <w:sz w:val="1"/>
                <w:szCs w:val="1"/>
                <w:color w:val="auto"/>
              </w:rPr>
            </w:pP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Other assets (1)</w:t>
            </w: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180"/>
              <w:spacing w:after="0"/>
              <w:rPr>
                <w:sz w:val="20"/>
                <w:szCs w:val="20"/>
                <w:color w:val="auto"/>
              </w:rPr>
            </w:pPr>
            <w:r>
              <w:rPr>
                <w:rFonts w:ascii="Arial" w:cs="Arial" w:eastAsia="Arial" w:hAnsi="Arial"/>
                <w:sz w:val="18"/>
                <w:szCs w:val="18"/>
                <w:color w:val="auto"/>
              </w:rPr>
              <w:t>Less than 3 months</w:t>
            </w:r>
          </w:p>
        </w:tc>
        <w:tc>
          <w:tcPr>
            <w:tcW w:w="1680" w:type="dxa"/>
            <w:vAlign w:val="bottom"/>
          </w:tcPr>
          <w:p>
            <w:pPr>
              <w:jc w:val="right"/>
              <w:spacing w:after="0"/>
              <w:rPr>
                <w:sz w:val="20"/>
                <w:szCs w:val="20"/>
                <w:color w:val="auto"/>
              </w:rPr>
            </w:pPr>
            <w:r>
              <w:rPr>
                <w:rFonts w:ascii="Arial" w:cs="Arial" w:eastAsia="Arial" w:hAnsi="Arial"/>
                <w:sz w:val="18"/>
                <w:szCs w:val="18"/>
                <w:color w:val="auto"/>
              </w:rPr>
              <w:t>403,455</w:t>
            </w:r>
          </w:p>
        </w:tc>
        <w:tc>
          <w:tcPr>
            <w:tcW w:w="20" w:type="dxa"/>
            <w:vAlign w:val="bottom"/>
          </w:tcPr>
          <w:p>
            <w:pPr>
              <w:spacing w:after="0"/>
              <w:rPr>
                <w:sz w:val="21"/>
                <w:szCs w:val="21"/>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1,635,729</w:t>
            </w:r>
          </w:p>
        </w:tc>
        <w:tc>
          <w:tcPr>
            <w:tcW w:w="1700" w:type="dxa"/>
            <w:vAlign w:val="bottom"/>
          </w:tcPr>
          <w:p>
            <w:pPr>
              <w:jc w:val="right"/>
              <w:spacing w:after="0"/>
              <w:rPr>
                <w:sz w:val="20"/>
                <w:szCs w:val="20"/>
                <w:color w:val="auto"/>
              </w:rPr>
            </w:pPr>
            <w:r>
              <w:rPr>
                <w:rFonts w:ascii="Arial" w:cs="Arial" w:eastAsia="Arial" w:hAnsi="Arial"/>
                <w:sz w:val="18"/>
                <w:szCs w:val="18"/>
                <w:color w:val="auto"/>
              </w:rPr>
              <w:t>2,039,184</w:t>
            </w:r>
          </w:p>
        </w:tc>
        <w:tc>
          <w:tcPr>
            <w:tcW w:w="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24.59%</w:t>
            </w:r>
          </w:p>
        </w:tc>
        <w:tc>
          <w:tcPr>
            <w:tcW w:w="0" w:type="dxa"/>
            <w:vAlign w:val="bottom"/>
          </w:tcPr>
          <w:p>
            <w:pPr>
              <w:spacing w:after="0"/>
              <w:rPr>
                <w:sz w:val="1"/>
                <w:szCs w:val="1"/>
                <w:color w:val="auto"/>
              </w:rPr>
            </w:pPr>
          </w:p>
        </w:tc>
      </w:tr>
      <w:tr>
        <w:trPr>
          <w:trHeight w:val="243"/>
        </w:trPr>
        <w:tc>
          <w:tcPr>
            <w:tcW w:w="4540" w:type="dxa"/>
            <w:vAlign w:val="bottom"/>
          </w:tcPr>
          <w:p>
            <w:pPr>
              <w:ind w:left="180"/>
              <w:spacing w:after="0"/>
              <w:rPr>
                <w:sz w:val="20"/>
                <w:szCs w:val="20"/>
                <w:color w:val="auto"/>
              </w:rPr>
            </w:pPr>
            <w:r>
              <w:rPr>
                <w:rFonts w:ascii="Arial" w:cs="Arial" w:eastAsia="Arial" w:hAnsi="Arial"/>
                <w:sz w:val="18"/>
                <w:szCs w:val="18"/>
                <w:color w:val="auto"/>
              </w:rPr>
              <w:t>From 3 months to 12 months</w:t>
            </w:r>
          </w:p>
        </w:tc>
        <w:tc>
          <w:tcPr>
            <w:tcW w:w="1680" w:type="dxa"/>
            <w:vAlign w:val="bottom"/>
          </w:tcPr>
          <w:p>
            <w:pPr>
              <w:jc w:val="right"/>
              <w:spacing w:after="0"/>
              <w:rPr>
                <w:sz w:val="20"/>
                <w:szCs w:val="20"/>
                <w:color w:val="auto"/>
              </w:rPr>
            </w:pPr>
            <w:r>
              <w:rPr>
                <w:rFonts w:ascii="Arial" w:cs="Arial" w:eastAsia="Arial" w:hAnsi="Arial"/>
                <w:sz w:val="18"/>
                <w:szCs w:val="18"/>
                <w:color w:val="auto"/>
              </w:rPr>
              <w:t>248,289</w:t>
            </w:r>
          </w:p>
        </w:tc>
        <w:tc>
          <w:tcPr>
            <w:tcW w:w="20" w:type="dxa"/>
            <w:vAlign w:val="bottom"/>
          </w:tcPr>
          <w:p>
            <w:pPr>
              <w:spacing w:after="0"/>
              <w:rPr>
                <w:sz w:val="21"/>
                <w:szCs w:val="21"/>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889,090</w:t>
            </w:r>
          </w:p>
        </w:tc>
        <w:tc>
          <w:tcPr>
            <w:tcW w:w="1700" w:type="dxa"/>
            <w:vAlign w:val="bottom"/>
          </w:tcPr>
          <w:p>
            <w:pPr>
              <w:jc w:val="right"/>
              <w:spacing w:after="0"/>
              <w:rPr>
                <w:sz w:val="20"/>
                <w:szCs w:val="20"/>
                <w:color w:val="auto"/>
              </w:rPr>
            </w:pPr>
            <w:r>
              <w:rPr>
                <w:rFonts w:ascii="Arial" w:cs="Arial" w:eastAsia="Arial" w:hAnsi="Arial"/>
                <w:sz w:val="18"/>
                <w:szCs w:val="18"/>
                <w:color w:val="auto"/>
              </w:rPr>
              <w:t>1,137,379</w:t>
            </w:r>
          </w:p>
        </w:tc>
        <w:tc>
          <w:tcPr>
            <w:tcW w:w="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43"/>
        </w:trPr>
        <w:tc>
          <w:tcPr>
            <w:tcW w:w="4540" w:type="dxa"/>
            <w:vAlign w:val="bottom"/>
          </w:tcPr>
          <w:p>
            <w:pPr>
              <w:ind w:left="180"/>
              <w:spacing w:after="0"/>
              <w:rPr>
                <w:sz w:val="20"/>
                <w:szCs w:val="20"/>
                <w:color w:val="auto"/>
              </w:rPr>
            </w:pPr>
            <w:r>
              <w:rPr>
                <w:rFonts w:ascii="Arial" w:cs="Arial" w:eastAsia="Arial" w:hAnsi="Arial"/>
                <w:sz w:val="18"/>
                <w:szCs w:val="18"/>
                <w:color w:val="auto"/>
              </w:rPr>
              <w:t>More than 12 months</w:t>
            </w:r>
          </w:p>
        </w:tc>
        <w:tc>
          <w:tcPr>
            <w:tcW w:w="1680" w:type="dxa"/>
            <w:vAlign w:val="bottom"/>
          </w:tcPr>
          <w:p>
            <w:pPr>
              <w:jc w:val="right"/>
              <w:spacing w:after="0"/>
              <w:rPr>
                <w:sz w:val="20"/>
                <w:szCs w:val="20"/>
                <w:color w:val="auto"/>
              </w:rPr>
            </w:pPr>
            <w:r>
              <w:rPr>
                <w:rFonts w:ascii="Arial" w:cs="Arial" w:eastAsia="Arial" w:hAnsi="Arial"/>
                <w:sz w:val="18"/>
                <w:szCs w:val="18"/>
                <w:color w:val="auto"/>
              </w:rPr>
              <w:t>559,519</w:t>
            </w:r>
          </w:p>
        </w:tc>
        <w:tc>
          <w:tcPr>
            <w:tcW w:w="20" w:type="dxa"/>
            <w:vAlign w:val="bottom"/>
          </w:tcPr>
          <w:p>
            <w:pPr>
              <w:spacing w:after="0"/>
              <w:rPr>
                <w:sz w:val="21"/>
                <w:szCs w:val="21"/>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2,641,911</w:t>
            </w:r>
          </w:p>
        </w:tc>
        <w:tc>
          <w:tcPr>
            <w:tcW w:w="1700" w:type="dxa"/>
            <w:vAlign w:val="bottom"/>
          </w:tcPr>
          <w:p>
            <w:pPr>
              <w:jc w:val="right"/>
              <w:spacing w:after="0"/>
              <w:rPr>
                <w:sz w:val="20"/>
                <w:szCs w:val="20"/>
                <w:color w:val="auto"/>
              </w:rPr>
            </w:pPr>
            <w:r>
              <w:rPr>
                <w:rFonts w:ascii="Arial" w:cs="Arial" w:eastAsia="Arial" w:hAnsi="Arial"/>
                <w:sz w:val="18"/>
                <w:szCs w:val="18"/>
                <w:color w:val="auto"/>
              </w:rPr>
              <w:t>3,201,430</w:t>
            </w:r>
          </w:p>
        </w:tc>
        <w:tc>
          <w:tcPr>
            <w:tcW w:w="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38.60%</w:t>
            </w:r>
          </w:p>
        </w:tc>
        <w:tc>
          <w:tcPr>
            <w:tcW w:w="0" w:type="dxa"/>
            <w:vAlign w:val="bottom"/>
          </w:tcPr>
          <w:p>
            <w:pPr>
              <w:spacing w:after="0"/>
              <w:rPr>
                <w:sz w:val="1"/>
                <w:szCs w:val="1"/>
                <w:color w:val="auto"/>
              </w:rPr>
            </w:pPr>
          </w:p>
        </w:tc>
      </w:tr>
      <w:tr>
        <w:trPr>
          <w:trHeight w:val="137"/>
        </w:trPr>
        <w:tc>
          <w:tcPr>
            <w:tcW w:w="45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43"/>
        </w:trPr>
        <w:tc>
          <w:tcPr>
            <w:tcW w:w="4540" w:type="dxa"/>
            <w:vAlign w:val="bottom"/>
          </w:tcPr>
          <w:p>
            <w:pPr>
              <w:ind w:left="340"/>
              <w:spacing w:after="0"/>
              <w:rPr>
                <w:sz w:val="20"/>
                <w:szCs w:val="20"/>
                <w:color w:val="auto"/>
              </w:rPr>
            </w:pPr>
            <w:r>
              <w:rPr>
                <w:rFonts w:ascii="Arial" w:cs="Arial" w:eastAsia="Arial" w:hAnsi="Arial"/>
                <w:sz w:val="18"/>
                <w:szCs w:val="18"/>
                <w:color w:val="auto"/>
              </w:rPr>
              <w:t>Sub-Total</w:t>
            </w:r>
          </w:p>
        </w:tc>
        <w:tc>
          <w:tcPr>
            <w:tcW w:w="1680" w:type="dxa"/>
            <w:vAlign w:val="bottom"/>
          </w:tcPr>
          <w:p>
            <w:pPr>
              <w:jc w:val="right"/>
              <w:spacing w:after="0"/>
              <w:rPr>
                <w:sz w:val="20"/>
                <w:szCs w:val="20"/>
                <w:color w:val="auto"/>
              </w:rPr>
            </w:pPr>
            <w:r>
              <w:rPr>
                <w:rFonts w:ascii="Arial" w:cs="Arial" w:eastAsia="Arial" w:hAnsi="Arial"/>
                <w:sz w:val="18"/>
                <w:szCs w:val="18"/>
                <w:color w:val="auto"/>
              </w:rPr>
              <w:t>1,350,777</w:t>
            </w:r>
          </w:p>
        </w:tc>
        <w:tc>
          <w:tcPr>
            <w:tcW w:w="20" w:type="dxa"/>
            <w:vAlign w:val="bottom"/>
          </w:tcPr>
          <w:p>
            <w:pPr>
              <w:spacing w:after="0"/>
              <w:rPr>
                <w:sz w:val="24"/>
                <w:szCs w:val="24"/>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6,639,946</w:t>
            </w:r>
          </w:p>
        </w:tc>
        <w:tc>
          <w:tcPr>
            <w:tcW w:w="1700" w:type="dxa"/>
            <w:vAlign w:val="bottom"/>
          </w:tcPr>
          <w:p>
            <w:pPr>
              <w:jc w:val="right"/>
              <w:spacing w:after="0"/>
              <w:rPr>
                <w:sz w:val="20"/>
                <w:szCs w:val="20"/>
                <w:color w:val="auto"/>
              </w:rPr>
            </w:pPr>
            <w:r>
              <w:rPr>
                <w:rFonts w:ascii="Arial" w:cs="Arial" w:eastAsia="Arial" w:hAnsi="Arial"/>
                <w:sz w:val="18"/>
                <w:szCs w:val="18"/>
                <w:color w:val="auto"/>
              </w:rPr>
              <w:t>7,990,723</w:t>
            </w:r>
          </w:p>
        </w:tc>
        <w:tc>
          <w:tcPr>
            <w:tcW w:w="2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96.34%</w:t>
            </w:r>
          </w:p>
        </w:tc>
        <w:tc>
          <w:tcPr>
            <w:tcW w:w="0" w:type="dxa"/>
            <w:vAlign w:val="bottom"/>
          </w:tcPr>
          <w:p>
            <w:pPr>
              <w:spacing w:after="0"/>
              <w:rPr>
                <w:sz w:val="1"/>
                <w:szCs w:val="1"/>
                <w:color w:val="auto"/>
              </w:rPr>
            </w:pPr>
          </w:p>
        </w:tc>
      </w:tr>
      <w:tr>
        <w:trPr>
          <w:trHeight w:val="243"/>
        </w:trPr>
        <w:tc>
          <w:tcPr>
            <w:tcW w:w="4540" w:type="dxa"/>
            <w:vAlign w:val="bottom"/>
          </w:tcPr>
          <w:p>
            <w:pPr>
              <w:spacing w:after="0"/>
              <w:rPr>
                <w:sz w:val="20"/>
                <w:szCs w:val="20"/>
                <w:color w:val="auto"/>
              </w:rPr>
            </w:pPr>
            <w:r>
              <w:rPr>
                <w:rFonts w:ascii="Arial" w:cs="Arial" w:eastAsia="Arial" w:hAnsi="Arial"/>
                <w:sz w:val="18"/>
                <w:szCs w:val="18"/>
                <w:b w:val="1"/>
                <w:bCs w:val="1"/>
                <w:color w:val="auto"/>
              </w:rPr>
              <w:t>Non-Financial Assets:</w:t>
            </w: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Bank premises and equipment and others</w:t>
            </w:r>
          </w:p>
        </w:tc>
        <w:tc>
          <w:tcPr>
            <w:tcW w:w="1680" w:type="dxa"/>
            <w:vAlign w:val="bottom"/>
          </w:tcPr>
          <w:p>
            <w:pPr>
              <w:jc w:val="right"/>
              <w:spacing w:after="0"/>
              <w:rPr>
                <w:sz w:val="20"/>
                <w:szCs w:val="20"/>
                <w:color w:val="auto"/>
              </w:rPr>
            </w:pPr>
            <w:r>
              <w:rPr>
                <w:rFonts w:ascii="Arial" w:cs="Arial" w:eastAsia="Arial" w:hAnsi="Arial"/>
                <w:sz w:val="18"/>
                <w:szCs w:val="18"/>
                <w:color w:val="auto"/>
              </w:rPr>
              <w:t>356,618</w:t>
            </w:r>
          </w:p>
        </w:tc>
        <w:tc>
          <w:tcPr>
            <w:tcW w:w="20" w:type="dxa"/>
            <w:vAlign w:val="bottom"/>
          </w:tcPr>
          <w:p>
            <w:pPr>
              <w:spacing w:after="0"/>
              <w:rPr>
                <w:sz w:val="21"/>
                <w:szCs w:val="21"/>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273,730</w:t>
            </w:r>
          </w:p>
        </w:tc>
        <w:tc>
          <w:tcPr>
            <w:tcW w:w="1700" w:type="dxa"/>
            <w:vAlign w:val="bottom"/>
          </w:tcPr>
          <w:p>
            <w:pPr>
              <w:jc w:val="right"/>
              <w:spacing w:after="0"/>
              <w:rPr>
                <w:sz w:val="20"/>
                <w:szCs w:val="20"/>
                <w:color w:val="auto"/>
              </w:rPr>
            </w:pPr>
            <w:r>
              <w:rPr>
                <w:rFonts w:ascii="Arial" w:cs="Arial" w:eastAsia="Arial" w:hAnsi="Arial"/>
                <w:sz w:val="18"/>
                <w:szCs w:val="18"/>
                <w:color w:val="auto"/>
              </w:rPr>
              <w:t>630,348</w:t>
            </w:r>
          </w:p>
        </w:tc>
        <w:tc>
          <w:tcPr>
            <w:tcW w:w="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Reserves for loan losses</w:t>
            </w:r>
          </w:p>
        </w:tc>
        <w:tc>
          <w:tcPr>
            <w:tcW w:w="1680" w:type="dxa"/>
            <w:vAlign w:val="bottom"/>
          </w:tcPr>
          <w:p>
            <w:pPr>
              <w:jc w:val="right"/>
              <w:spacing w:after="0"/>
              <w:rPr>
                <w:sz w:val="20"/>
                <w:szCs w:val="20"/>
                <w:color w:val="auto"/>
              </w:rPr>
            </w:pPr>
            <w:r>
              <w:rPr>
                <w:rFonts w:ascii="Arial" w:cs="Arial" w:eastAsia="Arial" w:hAnsi="Arial"/>
                <w:sz w:val="18"/>
                <w:szCs w:val="18"/>
                <w:color w:val="auto"/>
              </w:rPr>
              <w:t>(40,381)</w:t>
            </w:r>
          </w:p>
        </w:tc>
        <w:tc>
          <w:tcPr>
            <w:tcW w:w="20" w:type="dxa"/>
            <w:vAlign w:val="bottom"/>
          </w:tcPr>
          <w:p>
            <w:pPr>
              <w:spacing w:after="0"/>
              <w:rPr>
                <w:sz w:val="21"/>
                <w:szCs w:val="21"/>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(286,296)</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(326,677)</w:t>
            </w:r>
          </w:p>
        </w:tc>
        <w:tc>
          <w:tcPr>
            <w:tcW w:w="1680" w:type="dxa"/>
            <w:vAlign w:val="bottom"/>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137"/>
        </w:trPr>
        <w:tc>
          <w:tcPr>
            <w:tcW w:w="45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43"/>
        </w:trPr>
        <w:tc>
          <w:tcPr>
            <w:tcW w:w="4540" w:type="dxa"/>
            <w:vAlign w:val="bottom"/>
          </w:tcPr>
          <w:p>
            <w:pPr>
              <w:ind w:left="340"/>
              <w:spacing w:after="0"/>
              <w:rPr>
                <w:sz w:val="20"/>
                <w:szCs w:val="20"/>
                <w:color w:val="auto"/>
              </w:rPr>
            </w:pPr>
            <w:r>
              <w:rPr>
                <w:rFonts w:ascii="Arial" w:cs="Arial" w:eastAsia="Arial" w:hAnsi="Arial"/>
                <w:sz w:val="18"/>
                <w:szCs w:val="18"/>
                <w:color w:val="auto"/>
              </w:rPr>
              <w:t>Sub-Total</w:t>
            </w:r>
          </w:p>
        </w:tc>
        <w:tc>
          <w:tcPr>
            <w:tcW w:w="1680" w:type="dxa"/>
            <w:vAlign w:val="bottom"/>
          </w:tcPr>
          <w:p>
            <w:pPr>
              <w:jc w:val="right"/>
              <w:spacing w:after="0"/>
              <w:rPr>
                <w:sz w:val="20"/>
                <w:szCs w:val="20"/>
                <w:color w:val="auto"/>
              </w:rPr>
            </w:pPr>
            <w:r>
              <w:rPr>
                <w:rFonts w:ascii="Arial" w:cs="Arial" w:eastAsia="Arial" w:hAnsi="Arial"/>
                <w:sz w:val="18"/>
                <w:szCs w:val="18"/>
                <w:color w:val="auto"/>
              </w:rPr>
              <w:t>316,237</w:t>
            </w:r>
          </w:p>
        </w:tc>
        <w:tc>
          <w:tcPr>
            <w:tcW w:w="20" w:type="dxa"/>
            <w:vAlign w:val="bottom"/>
          </w:tcPr>
          <w:p>
            <w:pPr>
              <w:spacing w:after="0"/>
              <w:rPr>
                <w:sz w:val="24"/>
                <w:szCs w:val="24"/>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(12,566)</w:t>
            </w:r>
          </w:p>
        </w:tc>
        <w:tc>
          <w:tcPr>
            <w:tcW w:w="1700" w:type="dxa"/>
            <w:vAlign w:val="bottom"/>
          </w:tcPr>
          <w:p>
            <w:pPr>
              <w:jc w:val="right"/>
              <w:spacing w:after="0"/>
              <w:rPr>
                <w:sz w:val="20"/>
                <w:szCs w:val="20"/>
                <w:color w:val="auto"/>
              </w:rPr>
            </w:pPr>
            <w:r>
              <w:rPr>
                <w:rFonts w:ascii="Arial" w:cs="Arial" w:eastAsia="Arial" w:hAnsi="Arial"/>
                <w:sz w:val="18"/>
                <w:szCs w:val="18"/>
                <w:color w:val="auto"/>
              </w:rPr>
              <w:t>303,671</w:t>
            </w:r>
          </w:p>
        </w:tc>
        <w:tc>
          <w:tcPr>
            <w:tcW w:w="2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137"/>
        </w:trPr>
        <w:tc>
          <w:tcPr>
            <w:tcW w:w="454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Total</w:t>
            </w: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43"/>
        </w:trPr>
        <w:tc>
          <w:tcPr>
            <w:tcW w:w="4540" w:type="dxa"/>
            <w:vAlign w:val="bottom"/>
            <w:vMerge w:val="continue"/>
          </w:tcPr>
          <w:p>
            <w:pPr>
              <w:spacing w:after="0"/>
              <w:rPr>
                <w:sz w:val="24"/>
                <w:szCs w:val="24"/>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US$1,667,014</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US$6,627,380</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US$8,294,394</w:t>
            </w:r>
          </w:p>
        </w:tc>
        <w:tc>
          <w:tcPr>
            <w:tcW w:w="1680" w:type="dxa"/>
            <w:vAlign w:val="bottom"/>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147"/>
        </w:trPr>
        <w:tc>
          <w:tcPr>
            <w:tcW w:w="4540" w:type="dxa"/>
            <w:vAlign w:val="bottom"/>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46"/>
        </w:trPr>
        <w:tc>
          <w:tcPr>
            <w:tcW w:w="4540" w:type="dxa"/>
            <w:vAlign w:val="bottom"/>
          </w:tcPr>
          <w:p>
            <w:pPr>
              <w:ind w:left="340"/>
              <w:spacing w:after="0"/>
              <w:rPr>
                <w:sz w:val="20"/>
                <w:szCs w:val="20"/>
                <w:color w:val="auto"/>
              </w:rPr>
            </w:pPr>
            <w:r>
              <w:rPr>
                <w:rFonts w:ascii="Arial" w:cs="Arial" w:eastAsia="Arial" w:hAnsi="Arial"/>
                <w:sz w:val="18"/>
                <w:szCs w:val="18"/>
                <w:color w:val="auto"/>
              </w:rPr>
              <w:t>Percentage of total assets</w:t>
            </w:r>
          </w:p>
        </w:tc>
        <w:tc>
          <w:tcPr>
            <w:tcW w:w="1680" w:type="dxa"/>
            <w:vAlign w:val="bottom"/>
          </w:tcPr>
          <w:p>
            <w:pPr>
              <w:jc w:val="right"/>
              <w:spacing w:after="0"/>
              <w:rPr>
                <w:sz w:val="20"/>
                <w:szCs w:val="20"/>
                <w:color w:val="auto"/>
              </w:rPr>
            </w:pPr>
            <w:r>
              <w:rPr>
                <w:rFonts w:ascii="Arial" w:cs="Arial" w:eastAsia="Arial" w:hAnsi="Arial"/>
                <w:sz w:val="18"/>
                <w:szCs w:val="18"/>
                <w:color w:val="auto"/>
              </w:rPr>
              <w:t>20.10%</w:t>
            </w:r>
          </w:p>
        </w:tc>
        <w:tc>
          <w:tcPr>
            <w:tcW w:w="20" w:type="dxa"/>
            <w:vAlign w:val="bottom"/>
          </w:tcPr>
          <w:p>
            <w:pPr>
              <w:spacing w:after="0"/>
              <w:rPr>
                <w:sz w:val="24"/>
                <w:szCs w:val="24"/>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79.90%</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40" w:type="dxa"/>
            <w:vAlign w:val="bottom"/>
          </w:tcPr>
          <w:p>
            <w:pPr>
              <w:spacing w:after="0"/>
              <w:rPr>
                <w:sz w:val="20"/>
                <w:szCs w:val="20"/>
                <w:color w:val="auto"/>
              </w:rPr>
            </w:pPr>
            <w:r>
              <w:rPr>
                <w:rFonts w:ascii="Arial" w:cs="Arial" w:eastAsia="Arial" w:hAnsi="Arial"/>
                <w:sz w:val="18"/>
                <w:szCs w:val="18"/>
                <w:b w:val="1"/>
                <w:bCs w:val="1"/>
                <w:i w:val="1"/>
                <w:iCs w:val="1"/>
                <w:color w:val="auto"/>
              </w:rPr>
              <w:t>Liabilities and Shareholders' Equity</w:t>
            </w: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spacing w:after="0"/>
              <w:rPr>
                <w:sz w:val="20"/>
                <w:szCs w:val="20"/>
                <w:color w:val="auto"/>
              </w:rPr>
            </w:pPr>
            <w:r>
              <w:rPr>
                <w:rFonts w:ascii="Arial" w:cs="Arial" w:eastAsia="Arial" w:hAnsi="Arial"/>
                <w:sz w:val="18"/>
                <w:szCs w:val="18"/>
                <w:b w:val="1"/>
                <w:bCs w:val="1"/>
                <w:color w:val="auto"/>
              </w:rPr>
              <w:t>Financial Liabilities:</w:t>
            </w: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180"/>
              <w:spacing w:after="0"/>
              <w:rPr>
                <w:sz w:val="20"/>
                <w:szCs w:val="20"/>
                <w:color w:val="auto"/>
              </w:rPr>
            </w:pPr>
            <w:r>
              <w:rPr>
                <w:rFonts w:ascii="Arial" w:cs="Arial" w:eastAsia="Arial" w:hAnsi="Arial"/>
                <w:sz w:val="18"/>
                <w:szCs w:val="18"/>
                <w:color w:val="auto"/>
              </w:rPr>
              <w:t>Non-interest bearing deposits</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US$238,415</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US$622,170</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US$860,585</w:t>
            </w:r>
          </w:p>
        </w:tc>
        <w:tc>
          <w:tcPr>
            <w:tcW w:w="1680" w:type="dxa"/>
            <w:vAlign w:val="bottom"/>
          </w:tcPr>
          <w:p>
            <w:pPr>
              <w:jc w:val="right"/>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43"/>
        </w:trPr>
        <w:tc>
          <w:tcPr>
            <w:tcW w:w="4540" w:type="dxa"/>
            <w:vAlign w:val="bottom"/>
          </w:tcPr>
          <w:p>
            <w:pPr>
              <w:ind w:left="180"/>
              <w:spacing w:after="0"/>
              <w:rPr>
                <w:sz w:val="20"/>
                <w:szCs w:val="20"/>
                <w:color w:val="auto"/>
              </w:rPr>
            </w:pPr>
            <w:r>
              <w:rPr>
                <w:rFonts w:ascii="Arial" w:cs="Arial" w:eastAsia="Arial" w:hAnsi="Arial"/>
                <w:sz w:val="18"/>
                <w:szCs w:val="18"/>
                <w:color w:val="auto"/>
              </w:rPr>
              <w:t>Other liabilities (2)</w:t>
            </w: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340"/>
              <w:spacing w:after="0"/>
              <w:rPr>
                <w:sz w:val="20"/>
                <w:szCs w:val="20"/>
                <w:color w:val="auto"/>
              </w:rPr>
            </w:pPr>
            <w:r>
              <w:rPr>
                <w:rFonts w:ascii="Arial" w:cs="Arial" w:eastAsia="Arial" w:hAnsi="Arial"/>
                <w:sz w:val="18"/>
                <w:szCs w:val="18"/>
                <w:color w:val="auto"/>
              </w:rPr>
              <w:t>Less than 3 months (3)</w:t>
            </w:r>
          </w:p>
        </w:tc>
        <w:tc>
          <w:tcPr>
            <w:tcW w:w="1680" w:type="dxa"/>
            <w:vAlign w:val="bottom"/>
          </w:tcPr>
          <w:p>
            <w:pPr>
              <w:jc w:val="right"/>
              <w:spacing w:after="0"/>
              <w:rPr>
                <w:sz w:val="20"/>
                <w:szCs w:val="20"/>
                <w:color w:val="auto"/>
              </w:rPr>
            </w:pPr>
            <w:r>
              <w:rPr>
                <w:rFonts w:ascii="Arial" w:cs="Arial" w:eastAsia="Arial" w:hAnsi="Arial"/>
                <w:sz w:val="18"/>
                <w:szCs w:val="18"/>
                <w:color w:val="auto"/>
              </w:rPr>
              <w:t>1,180,875</w:t>
            </w:r>
          </w:p>
        </w:tc>
        <w:tc>
          <w:tcPr>
            <w:tcW w:w="20" w:type="dxa"/>
            <w:vAlign w:val="bottom"/>
          </w:tcPr>
          <w:p>
            <w:pPr>
              <w:spacing w:after="0"/>
              <w:rPr>
                <w:sz w:val="21"/>
                <w:szCs w:val="21"/>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2,911,595</w:t>
            </w:r>
          </w:p>
        </w:tc>
        <w:tc>
          <w:tcPr>
            <w:tcW w:w="1700" w:type="dxa"/>
            <w:vAlign w:val="bottom"/>
          </w:tcPr>
          <w:p>
            <w:pPr>
              <w:jc w:val="right"/>
              <w:spacing w:after="0"/>
              <w:rPr>
                <w:sz w:val="20"/>
                <w:szCs w:val="20"/>
                <w:color w:val="auto"/>
              </w:rPr>
            </w:pPr>
            <w:r>
              <w:rPr>
                <w:rFonts w:ascii="Arial" w:cs="Arial" w:eastAsia="Arial" w:hAnsi="Arial"/>
                <w:sz w:val="18"/>
                <w:szCs w:val="18"/>
                <w:color w:val="auto"/>
              </w:rPr>
              <w:t>4,092,470</w:t>
            </w:r>
          </w:p>
        </w:tc>
        <w:tc>
          <w:tcPr>
            <w:tcW w:w="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49.34%</w:t>
            </w:r>
          </w:p>
        </w:tc>
        <w:tc>
          <w:tcPr>
            <w:tcW w:w="0" w:type="dxa"/>
            <w:vAlign w:val="bottom"/>
          </w:tcPr>
          <w:p>
            <w:pPr>
              <w:spacing w:after="0"/>
              <w:rPr>
                <w:sz w:val="1"/>
                <w:szCs w:val="1"/>
                <w:color w:val="auto"/>
              </w:rPr>
            </w:pPr>
          </w:p>
        </w:tc>
      </w:tr>
      <w:tr>
        <w:trPr>
          <w:trHeight w:val="243"/>
        </w:trPr>
        <w:tc>
          <w:tcPr>
            <w:tcW w:w="4540" w:type="dxa"/>
            <w:vAlign w:val="bottom"/>
          </w:tcPr>
          <w:p>
            <w:pPr>
              <w:ind w:left="340"/>
              <w:spacing w:after="0"/>
              <w:rPr>
                <w:sz w:val="20"/>
                <w:szCs w:val="20"/>
                <w:color w:val="auto"/>
              </w:rPr>
            </w:pPr>
            <w:r>
              <w:rPr>
                <w:rFonts w:ascii="Arial" w:cs="Arial" w:eastAsia="Arial" w:hAnsi="Arial"/>
                <w:sz w:val="18"/>
                <w:szCs w:val="18"/>
                <w:color w:val="auto"/>
              </w:rPr>
              <w:t>From 3 months to 12 months</w:t>
            </w:r>
          </w:p>
        </w:tc>
        <w:tc>
          <w:tcPr>
            <w:tcW w:w="1680" w:type="dxa"/>
            <w:vAlign w:val="bottom"/>
          </w:tcPr>
          <w:p>
            <w:pPr>
              <w:jc w:val="right"/>
              <w:spacing w:after="0"/>
              <w:rPr>
                <w:sz w:val="20"/>
                <w:szCs w:val="20"/>
                <w:color w:val="auto"/>
              </w:rPr>
            </w:pPr>
            <w:r>
              <w:rPr>
                <w:rFonts w:ascii="Arial" w:cs="Arial" w:eastAsia="Arial" w:hAnsi="Arial"/>
                <w:sz w:val="18"/>
                <w:szCs w:val="18"/>
                <w:color w:val="auto"/>
              </w:rPr>
              <w:t>104,589</w:t>
            </w:r>
          </w:p>
        </w:tc>
        <w:tc>
          <w:tcPr>
            <w:tcW w:w="20" w:type="dxa"/>
            <w:vAlign w:val="bottom"/>
          </w:tcPr>
          <w:p>
            <w:pPr>
              <w:spacing w:after="0"/>
              <w:rPr>
                <w:sz w:val="21"/>
                <w:szCs w:val="21"/>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494,175</w:t>
            </w:r>
          </w:p>
        </w:tc>
        <w:tc>
          <w:tcPr>
            <w:tcW w:w="1700" w:type="dxa"/>
            <w:vAlign w:val="bottom"/>
          </w:tcPr>
          <w:p>
            <w:pPr>
              <w:jc w:val="right"/>
              <w:spacing w:after="0"/>
              <w:rPr>
                <w:sz w:val="20"/>
                <w:szCs w:val="20"/>
                <w:color w:val="auto"/>
              </w:rPr>
            </w:pPr>
            <w:r>
              <w:rPr>
                <w:rFonts w:ascii="Arial" w:cs="Arial" w:eastAsia="Arial" w:hAnsi="Arial"/>
                <w:sz w:val="18"/>
                <w:szCs w:val="18"/>
                <w:color w:val="auto"/>
              </w:rPr>
              <w:t>598,764</w:t>
            </w:r>
          </w:p>
        </w:tc>
        <w:tc>
          <w:tcPr>
            <w:tcW w:w="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43"/>
        </w:trPr>
        <w:tc>
          <w:tcPr>
            <w:tcW w:w="4540" w:type="dxa"/>
            <w:vAlign w:val="bottom"/>
          </w:tcPr>
          <w:p>
            <w:pPr>
              <w:ind w:left="340"/>
              <w:spacing w:after="0"/>
              <w:rPr>
                <w:sz w:val="20"/>
                <w:szCs w:val="20"/>
                <w:color w:val="auto"/>
              </w:rPr>
            </w:pPr>
            <w:r>
              <w:rPr>
                <w:rFonts w:ascii="Arial" w:cs="Arial" w:eastAsia="Arial" w:hAnsi="Arial"/>
                <w:sz w:val="18"/>
                <w:szCs w:val="18"/>
                <w:color w:val="auto"/>
              </w:rPr>
              <w:t>More than 12 months</w:t>
            </w:r>
          </w:p>
        </w:tc>
        <w:tc>
          <w:tcPr>
            <w:tcW w:w="1680" w:type="dxa"/>
            <w:vAlign w:val="bottom"/>
          </w:tcPr>
          <w:p>
            <w:pPr>
              <w:jc w:val="right"/>
              <w:spacing w:after="0"/>
              <w:rPr>
                <w:sz w:val="20"/>
                <w:szCs w:val="20"/>
                <w:color w:val="auto"/>
              </w:rPr>
            </w:pPr>
            <w:r>
              <w:rPr>
                <w:rFonts w:ascii="Arial" w:cs="Arial" w:eastAsia="Arial" w:hAnsi="Arial"/>
                <w:sz w:val="18"/>
                <w:szCs w:val="18"/>
                <w:color w:val="auto"/>
              </w:rPr>
              <w:t>174,547</w:t>
            </w:r>
          </w:p>
        </w:tc>
        <w:tc>
          <w:tcPr>
            <w:tcW w:w="20" w:type="dxa"/>
            <w:vAlign w:val="bottom"/>
          </w:tcPr>
          <w:p>
            <w:pPr>
              <w:spacing w:after="0"/>
              <w:rPr>
                <w:sz w:val="21"/>
                <w:szCs w:val="21"/>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986,596</w:t>
            </w:r>
          </w:p>
        </w:tc>
        <w:tc>
          <w:tcPr>
            <w:tcW w:w="1700" w:type="dxa"/>
            <w:vAlign w:val="bottom"/>
          </w:tcPr>
          <w:p>
            <w:pPr>
              <w:jc w:val="right"/>
              <w:spacing w:after="0"/>
              <w:rPr>
                <w:sz w:val="20"/>
                <w:szCs w:val="20"/>
                <w:color w:val="auto"/>
              </w:rPr>
            </w:pPr>
            <w:r>
              <w:rPr>
                <w:rFonts w:ascii="Arial" w:cs="Arial" w:eastAsia="Arial" w:hAnsi="Arial"/>
                <w:sz w:val="18"/>
                <w:szCs w:val="18"/>
                <w:color w:val="auto"/>
              </w:rPr>
              <w:t>1,161,143</w:t>
            </w:r>
          </w:p>
        </w:tc>
        <w:tc>
          <w:tcPr>
            <w:tcW w:w="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137"/>
        </w:trPr>
        <w:tc>
          <w:tcPr>
            <w:tcW w:w="45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43"/>
        </w:trPr>
        <w:tc>
          <w:tcPr>
            <w:tcW w:w="4540" w:type="dxa"/>
            <w:vAlign w:val="bottom"/>
          </w:tcPr>
          <w:p>
            <w:pPr>
              <w:ind w:left="520"/>
              <w:spacing w:after="0"/>
              <w:rPr>
                <w:sz w:val="20"/>
                <w:szCs w:val="20"/>
                <w:color w:val="auto"/>
              </w:rPr>
            </w:pPr>
            <w:r>
              <w:rPr>
                <w:rFonts w:ascii="Arial" w:cs="Arial" w:eastAsia="Arial" w:hAnsi="Arial"/>
                <w:sz w:val="18"/>
                <w:szCs w:val="18"/>
                <w:color w:val="auto"/>
              </w:rPr>
              <w:t>Sub-Total</w:t>
            </w:r>
          </w:p>
        </w:tc>
        <w:tc>
          <w:tcPr>
            <w:tcW w:w="1680" w:type="dxa"/>
            <w:vAlign w:val="bottom"/>
          </w:tcPr>
          <w:p>
            <w:pPr>
              <w:jc w:val="right"/>
              <w:spacing w:after="0"/>
              <w:rPr>
                <w:sz w:val="20"/>
                <w:szCs w:val="20"/>
                <w:color w:val="auto"/>
              </w:rPr>
            </w:pPr>
            <w:r>
              <w:rPr>
                <w:rFonts w:ascii="Arial" w:cs="Arial" w:eastAsia="Arial" w:hAnsi="Arial"/>
                <w:sz w:val="18"/>
                <w:szCs w:val="18"/>
                <w:color w:val="auto"/>
              </w:rPr>
              <w:t>1,698,426</w:t>
            </w:r>
          </w:p>
        </w:tc>
        <w:tc>
          <w:tcPr>
            <w:tcW w:w="20" w:type="dxa"/>
            <w:vAlign w:val="bottom"/>
          </w:tcPr>
          <w:p>
            <w:pPr>
              <w:spacing w:after="0"/>
              <w:rPr>
                <w:sz w:val="24"/>
                <w:szCs w:val="24"/>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5,014,536</w:t>
            </w:r>
          </w:p>
        </w:tc>
        <w:tc>
          <w:tcPr>
            <w:tcW w:w="1700" w:type="dxa"/>
            <w:vAlign w:val="bottom"/>
          </w:tcPr>
          <w:p>
            <w:pPr>
              <w:jc w:val="right"/>
              <w:spacing w:after="0"/>
              <w:rPr>
                <w:sz w:val="20"/>
                <w:szCs w:val="20"/>
                <w:color w:val="auto"/>
              </w:rPr>
            </w:pPr>
            <w:r>
              <w:rPr>
                <w:rFonts w:ascii="Arial" w:cs="Arial" w:eastAsia="Arial" w:hAnsi="Arial"/>
                <w:sz w:val="18"/>
                <w:szCs w:val="18"/>
                <w:color w:val="auto"/>
              </w:rPr>
              <w:t>6,712,962</w:t>
            </w:r>
          </w:p>
        </w:tc>
        <w:tc>
          <w:tcPr>
            <w:tcW w:w="2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80.93%</w:t>
            </w:r>
          </w:p>
        </w:tc>
        <w:tc>
          <w:tcPr>
            <w:tcW w:w="0" w:type="dxa"/>
            <w:vAlign w:val="bottom"/>
          </w:tcPr>
          <w:p>
            <w:pPr>
              <w:spacing w:after="0"/>
              <w:rPr>
                <w:sz w:val="1"/>
                <w:szCs w:val="1"/>
                <w:color w:val="auto"/>
              </w:rPr>
            </w:pPr>
          </w:p>
        </w:tc>
      </w:tr>
      <w:tr>
        <w:trPr>
          <w:trHeight w:val="243"/>
        </w:trPr>
        <w:tc>
          <w:tcPr>
            <w:tcW w:w="4540" w:type="dxa"/>
            <w:vAlign w:val="bottom"/>
          </w:tcPr>
          <w:p>
            <w:pPr>
              <w:spacing w:after="0"/>
              <w:rPr>
                <w:sz w:val="20"/>
                <w:szCs w:val="20"/>
                <w:color w:val="auto"/>
              </w:rPr>
            </w:pPr>
            <w:r>
              <w:rPr>
                <w:rFonts w:ascii="Arial" w:cs="Arial" w:eastAsia="Arial" w:hAnsi="Arial"/>
                <w:sz w:val="18"/>
                <w:szCs w:val="18"/>
                <w:b w:val="1"/>
                <w:bCs w:val="1"/>
                <w:color w:val="auto"/>
              </w:rPr>
              <w:t>Non-Financial Liabilities and Equity:</w:t>
            </w: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180"/>
              <w:spacing w:after="0"/>
              <w:rPr>
                <w:sz w:val="20"/>
                <w:szCs w:val="20"/>
                <w:color w:val="auto"/>
              </w:rPr>
            </w:pPr>
            <w:r>
              <w:rPr>
                <w:rFonts w:ascii="Arial" w:cs="Arial" w:eastAsia="Arial" w:hAnsi="Arial"/>
                <w:sz w:val="18"/>
                <w:szCs w:val="18"/>
                <w:color w:val="auto"/>
              </w:rPr>
              <w:t>Other liabilities</w:t>
            </w:r>
          </w:p>
        </w:tc>
        <w:tc>
          <w:tcPr>
            <w:tcW w:w="1680" w:type="dxa"/>
            <w:vAlign w:val="bottom"/>
          </w:tcPr>
          <w:p>
            <w:pPr>
              <w:jc w:val="right"/>
              <w:spacing w:after="0"/>
              <w:rPr>
                <w:sz w:val="20"/>
                <w:szCs w:val="20"/>
                <w:color w:val="auto"/>
              </w:rPr>
            </w:pPr>
            <w:r>
              <w:rPr>
                <w:rFonts w:ascii="Arial" w:cs="Arial" w:eastAsia="Arial" w:hAnsi="Arial"/>
                <w:sz w:val="18"/>
                <w:szCs w:val="18"/>
                <w:color w:val="auto"/>
              </w:rPr>
              <w:t>48,542</w:t>
            </w:r>
          </w:p>
        </w:tc>
        <w:tc>
          <w:tcPr>
            <w:tcW w:w="20" w:type="dxa"/>
            <w:vAlign w:val="bottom"/>
          </w:tcPr>
          <w:p>
            <w:pPr>
              <w:spacing w:after="0"/>
              <w:rPr>
                <w:sz w:val="21"/>
                <w:szCs w:val="21"/>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622,160</w:t>
            </w:r>
          </w:p>
        </w:tc>
        <w:tc>
          <w:tcPr>
            <w:tcW w:w="1700" w:type="dxa"/>
            <w:vAlign w:val="bottom"/>
          </w:tcPr>
          <w:p>
            <w:pPr>
              <w:jc w:val="right"/>
              <w:spacing w:after="0"/>
              <w:rPr>
                <w:sz w:val="20"/>
                <w:szCs w:val="20"/>
                <w:color w:val="auto"/>
              </w:rPr>
            </w:pPr>
            <w:r>
              <w:rPr>
                <w:rFonts w:ascii="Arial" w:cs="Arial" w:eastAsia="Arial" w:hAnsi="Arial"/>
                <w:sz w:val="18"/>
                <w:szCs w:val="18"/>
                <w:color w:val="auto"/>
              </w:rPr>
              <w:t>670,702</w:t>
            </w:r>
          </w:p>
        </w:tc>
        <w:tc>
          <w:tcPr>
            <w:tcW w:w="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43"/>
        </w:trPr>
        <w:tc>
          <w:tcPr>
            <w:tcW w:w="4540" w:type="dxa"/>
            <w:vAlign w:val="bottom"/>
          </w:tcPr>
          <w:p>
            <w:pPr>
              <w:ind w:left="180"/>
              <w:spacing w:after="0"/>
              <w:rPr>
                <w:sz w:val="20"/>
                <w:szCs w:val="20"/>
                <w:color w:val="auto"/>
              </w:rPr>
            </w:pPr>
            <w:r>
              <w:rPr>
                <w:rFonts w:ascii="Arial" w:cs="Arial" w:eastAsia="Arial" w:hAnsi="Arial"/>
                <w:sz w:val="18"/>
                <w:szCs w:val="18"/>
                <w:color w:val="auto"/>
              </w:rPr>
              <w:t>Shareholders' equity</w:t>
            </w:r>
          </w:p>
        </w:tc>
        <w:tc>
          <w:tcPr>
            <w:tcW w:w="1680" w:type="dxa"/>
            <w:vAlign w:val="bottom"/>
          </w:tcPr>
          <w:p>
            <w:pPr>
              <w:jc w:val="right"/>
              <w:spacing w:after="0"/>
              <w:rPr>
                <w:sz w:val="20"/>
                <w:szCs w:val="20"/>
                <w:color w:val="auto"/>
              </w:rPr>
            </w:pPr>
            <w:r>
              <w:rPr>
                <w:rFonts w:ascii="Arial" w:cs="Arial" w:eastAsia="Arial" w:hAnsi="Arial"/>
                <w:sz w:val="18"/>
                <w:szCs w:val="18"/>
                <w:color w:val="auto"/>
              </w:rPr>
              <w:t>589,042</w:t>
            </w:r>
          </w:p>
        </w:tc>
        <w:tc>
          <w:tcPr>
            <w:tcW w:w="20" w:type="dxa"/>
            <w:vAlign w:val="bottom"/>
          </w:tcPr>
          <w:p>
            <w:pPr>
              <w:spacing w:after="0"/>
              <w:rPr>
                <w:sz w:val="21"/>
                <w:szCs w:val="21"/>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321,688</w:t>
            </w:r>
          </w:p>
        </w:tc>
        <w:tc>
          <w:tcPr>
            <w:tcW w:w="1700" w:type="dxa"/>
            <w:vAlign w:val="bottom"/>
          </w:tcPr>
          <w:p>
            <w:pPr>
              <w:jc w:val="right"/>
              <w:spacing w:after="0"/>
              <w:rPr>
                <w:sz w:val="20"/>
                <w:szCs w:val="20"/>
                <w:color w:val="auto"/>
              </w:rPr>
            </w:pPr>
            <w:r>
              <w:rPr>
                <w:rFonts w:ascii="Arial" w:cs="Arial" w:eastAsia="Arial" w:hAnsi="Arial"/>
                <w:sz w:val="18"/>
                <w:szCs w:val="18"/>
                <w:color w:val="auto"/>
              </w:rPr>
              <w:t>910,730</w:t>
            </w:r>
          </w:p>
        </w:tc>
        <w:tc>
          <w:tcPr>
            <w:tcW w:w="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137"/>
        </w:trPr>
        <w:tc>
          <w:tcPr>
            <w:tcW w:w="45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43"/>
        </w:trPr>
        <w:tc>
          <w:tcPr>
            <w:tcW w:w="4540" w:type="dxa"/>
            <w:vAlign w:val="bottom"/>
          </w:tcPr>
          <w:p>
            <w:pPr>
              <w:ind w:left="340"/>
              <w:spacing w:after="0"/>
              <w:rPr>
                <w:sz w:val="20"/>
                <w:szCs w:val="20"/>
                <w:color w:val="auto"/>
              </w:rPr>
            </w:pPr>
            <w:r>
              <w:rPr>
                <w:rFonts w:ascii="Arial" w:cs="Arial" w:eastAsia="Arial" w:hAnsi="Arial"/>
                <w:sz w:val="18"/>
                <w:szCs w:val="18"/>
                <w:color w:val="auto"/>
              </w:rPr>
              <w:t>Sub-Total</w:t>
            </w:r>
          </w:p>
        </w:tc>
        <w:tc>
          <w:tcPr>
            <w:tcW w:w="1680" w:type="dxa"/>
            <w:vAlign w:val="bottom"/>
          </w:tcPr>
          <w:p>
            <w:pPr>
              <w:jc w:val="right"/>
              <w:spacing w:after="0"/>
              <w:rPr>
                <w:sz w:val="20"/>
                <w:szCs w:val="20"/>
                <w:color w:val="auto"/>
              </w:rPr>
            </w:pPr>
            <w:r>
              <w:rPr>
                <w:rFonts w:ascii="Arial" w:cs="Arial" w:eastAsia="Arial" w:hAnsi="Arial"/>
                <w:sz w:val="18"/>
                <w:szCs w:val="18"/>
                <w:color w:val="auto"/>
              </w:rPr>
              <w:t>637,584</w:t>
            </w:r>
          </w:p>
        </w:tc>
        <w:tc>
          <w:tcPr>
            <w:tcW w:w="20" w:type="dxa"/>
            <w:vAlign w:val="bottom"/>
          </w:tcPr>
          <w:p>
            <w:pPr>
              <w:spacing w:after="0"/>
              <w:rPr>
                <w:sz w:val="24"/>
                <w:szCs w:val="24"/>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943,848</w:t>
            </w:r>
          </w:p>
        </w:tc>
        <w:tc>
          <w:tcPr>
            <w:tcW w:w="1700" w:type="dxa"/>
            <w:vAlign w:val="bottom"/>
          </w:tcPr>
          <w:p>
            <w:pPr>
              <w:jc w:val="right"/>
              <w:spacing w:after="0"/>
              <w:rPr>
                <w:sz w:val="20"/>
                <w:szCs w:val="20"/>
                <w:color w:val="auto"/>
              </w:rPr>
            </w:pPr>
            <w:r>
              <w:rPr>
                <w:rFonts w:ascii="Arial" w:cs="Arial" w:eastAsia="Arial" w:hAnsi="Arial"/>
                <w:sz w:val="18"/>
                <w:szCs w:val="18"/>
                <w:color w:val="auto"/>
              </w:rPr>
              <w:t>1,581,432</w:t>
            </w:r>
          </w:p>
        </w:tc>
        <w:tc>
          <w:tcPr>
            <w:tcW w:w="2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19.07%</w:t>
            </w:r>
          </w:p>
        </w:tc>
        <w:tc>
          <w:tcPr>
            <w:tcW w:w="0" w:type="dxa"/>
            <w:vAlign w:val="bottom"/>
          </w:tcPr>
          <w:p>
            <w:pPr>
              <w:spacing w:after="0"/>
              <w:rPr>
                <w:sz w:val="1"/>
                <w:szCs w:val="1"/>
                <w:color w:val="auto"/>
              </w:rPr>
            </w:pPr>
          </w:p>
        </w:tc>
      </w:tr>
      <w:tr>
        <w:trPr>
          <w:trHeight w:val="137"/>
        </w:trPr>
        <w:tc>
          <w:tcPr>
            <w:tcW w:w="454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Total</w:t>
            </w: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43"/>
        </w:trPr>
        <w:tc>
          <w:tcPr>
            <w:tcW w:w="4540" w:type="dxa"/>
            <w:vAlign w:val="bottom"/>
            <w:vMerge w:val="continue"/>
          </w:tcPr>
          <w:p>
            <w:pPr>
              <w:spacing w:after="0"/>
              <w:rPr>
                <w:sz w:val="24"/>
                <w:szCs w:val="24"/>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US$2,336,009</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US$5,958,385</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US$8,294,394</w:t>
            </w:r>
          </w:p>
        </w:tc>
        <w:tc>
          <w:tcPr>
            <w:tcW w:w="1680" w:type="dxa"/>
            <w:vAlign w:val="bottom"/>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147"/>
        </w:trPr>
        <w:tc>
          <w:tcPr>
            <w:tcW w:w="4540" w:type="dxa"/>
            <w:vAlign w:val="bottom"/>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46"/>
        </w:trPr>
        <w:tc>
          <w:tcPr>
            <w:tcW w:w="4540" w:type="dxa"/>
            <w:vAlign w:val="bottom"/>
          </w:tcPr>
          <w:p>
            <w:pPr>
              <w:spacing w:after="0"/>
              <w:rPr>
                <w:sz w:val="20"/>
                <w:szCs w:val="20"/>
                <w:color w:val="auto"/>
              </w:rPr>
            </w:pPr>
            <w:r>
              <w:rPr>
                <w:rFonts w:ascii="Arial" w:cs="Arial" w:eastAsia="Arial" w:hAnsi="Arial"/>
                <w:sz w:val="18"/>
                <w:szCs w:val="18"/>
                <w:color w:val="auto"/>
              </w:rPr>
              <w:t>Percentage of total liabilities and shareholders' equity</w:t>
            </w:r>
          </w:p>
        </w:tc>
        <w:tc>
          <w:tcPr>
            <w:tcW w:w="1680" w:type="dxa"/>
            <w:vAlign w:val="bottom"/>
          </w:tcPr>
          <w:p>
            <w:pPr>
              <w:jc w:val="right"/>
              <w:spacing w:after="0"/>
              <w:rPr>
                <w:sz w:val="20"/>
                <w:szCs w:val="20"/>
                <w:color w:val="auto"/>
              </w:rPr>
            </w:pPr>
            <w:r>
              <w:rPr>
                <w:rFonts w:ascii="Arial" w:cs="Arial" w:eastAsia="Arial" w:hAnsi="Arial"/>
                <w:sz w:val="18"/>
                <w:szCs w:val="18"/>
                <w:color w:val="auto"/>
              </w:rPr>
              <w:t>28.16%</w:t>
            </w:r>
          </w:p>
        </w:tc>
        <w:tc>
          <w:tcPr>
            <w:tcW w:w="20" w:type="dxa"/>
            <w:vAlign w:val="bottom"/>
          </w:tcPr>
          <w:p>
            <w:pPr>
              <w:spacing w:after="0"/>
              <w:rPr>
                <w:sz w:val="24"/>
                <w:szCs w:val="24"/>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71.84%</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-6202680</wp:posOffset>
            </wp:positionV>
            <wp:extent cx="34290" cy="342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-5885180</wp:posOffset>
            </wp:positionV>
            <wp:extent cx="34290" cy="342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5043805</wp:posOffset>
            </wp:positionH>
            <wp:positionV relativeFrom="paragraph">
              <wp:posOffset>-5885180</wp:posOffset>
            </wp:positionV>
            <wp:extent cx="34290" cy="342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-5885180</wp:posOffset>
            </wp:positionV>
            <wp:extent cx="34290" cy="342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-5885180</wp:posOffset>
            </wp:positionV>
            <wp:extent cx="34290" cy="342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-4487545</wp:posOffset>
            </wp:positionV>
            <wp:extent cx="34290" cy="342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5043805</wp:posOffset>
            </wp:positionH>
            <wp:positionV relativeFrom="paragraph">
              <wp:posOffset>-4487545</wp:posOffset>
            </wp:positionV>
            <wp:extent cx="34290" cy="342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-4487545</wp:posOffset>
            </wp:positionV>
            <wp:extent cx="34290" cy="342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-4487545</wp:posOffset>
            </wp:positionV>
            <wp:extent cx="34290" cy="342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-3707130</wp:posOffset>
            </wp:positionV>
            <wp:extent cx="34290" cy="342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5043805</wp:posOffset>
            </wp:positionH>
            <wp:positionV relativeFrom="paragraph">
              <wp:posOffset>-3707130</wp:posOffset>
            </wp:positionV>
            <wp:extent cx="34290" cy="342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-3707130</wp:posOffset>
            </wp:positionV>
            <wp:extent cx="34290" cy="342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-3707130</wp:posOffset>
            </wp:positionV>
            <wp:extent cx="34290" cy="342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-3389630</wp:posOffset>
            </wp:positionV>
            <wp:extent cx="34290" cy="342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5043805</wp:posOffset>
            </wp:positionH>
            <wp:positionV relativeFrom="paragraph">
              <wp:posOffset>-3389630</wp:posOffset>
            </wp:positionV>
            <wp:extent cx="34290" cy="342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-3389630</wp:posOffset>
            </wp:positionV>
            <wp:extent cx="34290" cy="342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-3389630</wp:posOffset>
            </wp:positionV>
            <wp:extent cx="34290" cy="342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-3055620</wp:posOffset>
            </wp:positionV>
            <wp:extent cx="1270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-3055620</wp:posOffset>
            </wp:positionV>
            <wp:extent cx="1270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-3055620</wp:posOffset>
            </wp:positionV>
            <wp:extent cx="1270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-3055620</wp:posOffset>
            </wp:positionV>
            <wp:extent cx="1270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-3055620</wp:posOffset>
            </wp:positionV>
            <wp:extent cx="1270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-3055620</wp:posOffset>
            </wp:positionV>
            <wp:extent cx="1270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-3055620</wp:posOffset>
            </wp:positionV>
            <wp:extent cx="1270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-3055620</wp:posOffset>
            </wp:positionV>
            <wp:extent cx="1270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-1665605</wp:posOffset>
            </wp:positionV>
            <wp:extent cx="34290" cy="342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5043805</wp:posOffset>
            </wp:positionH>
            <wp:positionV relativeFrom="paragraph">
              <wp:posOffset>-1665605</wp:posOffset>
            </wp:positionV>
            <wp:extent cx="34290" cy="342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-1665605</wp:posOffset>
            </wp:positionV>
            <wp:extent cx="34290" cy="342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-1665605</wp:posOffset>
            </wp:positionV>
            <wp:extent cx="34290" cy="342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-885825</wp:posOffset>
            </wp:positionV>
            <wp:extent cx="34290" cy="342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5043805</wp:posOffset>
            </wp:positionH>
            <wp:positionV relativeFrom="paragraph">
              <wp:posOffset>-885825</wp:posOffset>
            </wp:positionV>
            <wp:extent cx="34290" cy="342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-885825</wp:posOffset>
            </wp:positionV>
            <wp:extent cx="34290" cy="342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-885825</wp:posOffset>
            </wp:positionV>
            <wp:extent cx="34290" cy="342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-568325</wp:posOffset>
            </wp:positionV>
            <wp:extent cx="34290" cy="342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5043805</wp:posOffset>
            </wp:positionH>
            <wp:positionV relativeFrom="paragraph">
              <wp:posOffset>-568325</wp:posOffset>
            </wp:positionV>
            <wp:extent cx="34290" cy="342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-568325</wp:posOffset>
            </wp:positionV>
            <wp:extent cx="34290" cy="342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-568325</wp:posOffset>
            </wp:positionV>
            <wp:extent cx="34290" cy="342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-233680</wp:posOffset>
            </wp:positionV>
            <wp:extent cx="1270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-233680</wp:posOffset>
            </wp:positionV>
            <wp:extent cx="1270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-233680</wp:posOffset>
            </wp:positionV>
            <wp:extent cx="1270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-233680</wp:posOffset>
            </wp:positionV>
            <wp:extent cx="1270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-233680</wp:posOffset>
            </wp:positionV>
            <wp:extent cx="1270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-233680</wp:posOffset>
            </wp:positionV>
            <wp:extent cx="1270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-233680</wp:posOffset>
            </wp:positionV>
            <wp:extent cx="1270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-233680</wp:posOffset>
            </wp:positionV>
            <wp:extent cx="1270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245745</wp:posOffset>
            </wp:positionV>
            <wp:extent cx="1839595" cy="342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839595" cy="342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580" w:hanging="572"/>
        <w:spacing w:after="0"/>
        <w:tabs>
          <w:tab w:leader="none" w:pos="5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Consists of loans, marketable securities, investments, interest and other receivables, deferred expenses and other assets.</w:t>
      </w:r>
    </w:p>
    <w:p>
      <w:pPr>
        <w:ind w:left="580" w:hanging="572"/>
        <w:spacing w:after="0" w:line="221" w:lineRule="auto"/>
        <w:tabs>
          <w:tab w:leader="none" w:pos="5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Demand, savings, certificates of deposit, time deposits and borrowings</w:t>
      </w:r>
    </w:p>
    <w:p>
      <w:pPr>
        <w:ind w:left="580" w:hanging="572"/>
        <w:spacing w:after="0" w:line="230" w:lineRule="auto"/>
        <w:tabs>
          <w:tab w:leader="none" w:pos="5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Includes US$527.4 million of CTS deposits which, subject to certain exceptions, may be withdrawn by the depositor only upon termination of employment or upon transfer to another bank. Although classified as short-term, historically these deposits have been relatively stable.</w:t>
      </w:r>
    </w:p>
    <w:p>
      <w:pPr>
        <w:spacing w:after="0" w:line="195" w:lineRule="exact"/>
        <w:rPr>
          <w:sz w:val="20"/>
          <w:szCs w:val="20"/>
          <w:color w:val="auto"/>
        </w:rPr>
      </w:pPr>
    </w:p>
    <w:p>
      <w:pPr>
        <w:jc w:val="both"/>
        <w:ind w:firstLine="186"/>
        <w:spacing w:after="0" w:line="298" w:lineRule="auto"/>
        <w:rPr>
          <w:sz w:val="20"/>
          <w:szCs w:val="20"/>
          <w:color w:val="auto"/>
        </w:rPr>
      </w:pPr>
      <w:r>
        <w:rPr>
          <w:rFonts w:ascii="Arial" w:cs="Arial" w:eastAsia="Arial" w:hAnsi="Arial"/>
          <w:sz w:val="16"/>
          <w:szCs w:val="16"/>
          <w:color w:val="auto"/>
        </w:rPr>
        <w:t>Credicorp manages its assets and liabilities to ensure that it has sufficient liquidity to meet its present and future financial obligations and that it is able to take advantage of appropriate business opportunities as they arise. Liquidity risk represents the potential for loss as a result of limitations on our ability to adjust future cash flows to meet the needs of depositors and borrowers and to fund operations on a timely and cost-effective basis. Financial obligations arise from withdrawals of deposits, repayment on maturity of purchased funds, extensions of loans or other forms of credit, and working capital needs.</w:t>
      </w:r>
    </w:p>
    <w:p>
      <w:pPr>
        <w:sectPr>
          <w:pgSz w:w="11900" w:h="16838" w:orient="portrait"/>
          <w:cols w:equalWidth="0" w:num="1">
            <w:col w:w="11420"/>
          </w:cols>
          <w:pgMar w:left="240" w:top="347" w:right="239"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420"/>
          </w:cols>
          <w:pgMar w:left="240" w:top="347" w:right="239" w:bottom="1440" w:gutter="0" w:footer="0" w:header="0"/>
          <w:type w:val="continuous"/>
        </w:sectPr>
      </w:pPr>
    </w:p>
    <w:bookmarkStart w:id="95" w:name="page96"/>
    <w:bookmarkEnd w:id="95"/>
    <w:p>
      <w:pPr>
        <w:jc w:val="both"/>
        <w:ind w:firstLine="224"/>
        <w:spacing w:after="0" w:line="255" w:lineRule="auto"/>
        <w:rPr>
          <w:sz w:val="20"/>
          <w:szCs w:val="20"/>
          <w:color w:val="auto"/>
        </w:rPr>
      </w:pPr>
      <w:r>
        <w:rPr>
          <w:rFonts w:ascii="Arial" w:cs="Arial" w:eastAsia="Arial" w:hAnsi="Arial"/>
          <w:sz w:val="18"/>
          <w:szCs w:val="18"/>
          <w:color w:val="auto"/>
        </w:rPr>
        <w:t>BCP is subject to SBS Resolution No. 622-98, enacted in July 1998, which made its Market Risk Unit responsible for liquidity management, and by which minimum liquidity ratios were established. The ratio of liquid assets as a percentage of short-term liabilities, as strictly defined by the SBS, must exceed 8% for Nuevos Soles-based transactions, and 20% for foreign exchange-based transactions. BCP's daily average ratios during the month of December 2003 were 37.8% and 46.3% for Nuevos Soles and foreign exchange-based transactions, respectively (30.5% and 55.7% in 2002, respectively), demonstrating Credicorp's continuing excess liquidity due to declining loan balances.</w:t>
      </w:r>
    </w:p>
    <w:p>
      <w:pPr>
        <w:spacing w:after="0" w:line="197" w:lineRule="exact"/>
        <w:rPr>
          <w:sz w:val="20"/>
          <w:szCs w:val="20"/>
          <w:color w:val="auto"/>
        </w:rPr>
      </w:pPr>
    </w:p>
    <w:p>
      <w:pPr>
        <w:jc w:val="both"/>
        <w:ind w:firstLine="182"/>
        <w:spacing w:after="0" w:line="259" w:lineRule="auto"/>
        <w:rPr>
          <w:sz w:val="20"/>
          <w:szCs w:val="20"/>
          <w:color w:val="auto"/>
        </w:rPr>
      </w:pPr>
      <w:r>
        <w:rPr>
          <w:rFonts w:ascii="Arial" w:cs="Arial" w:eastAsia="Arial" w:hAnsi="Arial"/>
          <w:sz w:val="18"/>
          <w:szCs w:val="18"/>
          <w:color w:val="auto"/>
        </w:rPr>
        <w:t>Credicorp has never defaulted on any of its debt or been forced to reschedule any of its obligations. Even during the early 1980s, when the government of Perú and many Peruvian companies and banks were forced to restructure their debt as a result of the Latin American debt crisis and government restrictions, BCP and PPS complied with all of their payment obligations.</w:t>
      </w:r>
    </w:p>
    <w:p>
      <w:pPr>
        <w:spacing w:after="0" w:line="194" w:lineRule="exact"/>
        <w:rPr>
          <w:sz w:val="20"/>
          <w:szCs w:val="20"/>
          <w:color w:val="auto"/>
        </w:rPr>
      </w:pPr>
    </w:p>
    <w:p>
      <w:pPr>
        <w:jc w:val="both"/>
        <w:ind w:firstLine="240"/>
        <w:spacing w:after="0" w:line="294" w:lineRule="auto"/>
        <w:rPr>
          <w:sz w:val="20"/>
          <w:szCs w:val="20"/>
          <w:color w:val="auto"/>
        </w:rPr>
      </w:pPr>
      <w:r>
        <w:rPr>
          <w:rFonts w:ascii="Arial" w:cs="Arial" w:eastAsia="Arial" w:hAnsi="Arial"/>
          <w:sz w:val="16"/>
          <w:szCs w:val="16"/>
          <w:color w:val="auto"/>
        </w:rPr>
        <w:t>Credicorp's principal source of funding is customer deposits with BCP's Retail Banking division and ASHC's Private Banking division, and premiums and amounts earned on invested assets at PPS. The growth of Credicorp's deposit base over the past years has enabled Credicorp to increase significantly its lending activity. Credicorp believes that funds from its deposit-taking operations generally will continue to meet Credicorp's liquidity needs for the foreseeable future. The Retail Banking division has developed a diversified and stable deposit base and the Private Banking division has developed a stable deposit base that, in each case, provides Credicorp with a low-cost source of funding. This deposit base has traditionally been one of Credicorp's greatest strengths.</w:t>
      </w:r>
    </w:p>
    <w:p>
      <w:pPr>
        <w:spacing w:after="0" w:line="170" w:lineRule="exact"/>
        <w:rPr>
          <w:sz w:val="20"/>
          <w:szCs w:val="20"/>
          <w:color w:val="auto"/>
        </w:rPr>
      </w:pPr>
    </w:p>
    <w:p>
      <w:pPr>
        <w:jc w:val="both"/>
        <w:ind w:firstLine="218"/>
        <w:spacing w:after="0" w:line="256" w:lineRule="auto"/>
        <w:rPr>
          <w:sz w:val="20"/>
          <w:szCs w:val="20"/>
          <w:color w:val="auto"/>
        </w:rPr>
      </w:pPr>
      <w:r>
        <w:rPr>
          <w:rFonts w:ascii="Arial" w:cs="Arial" w:eastAsia="Arial" w:hAnsi="Arial"/>
          <w:sz w:val="18"/>
          <w:szCs w:val="18"/>
          <w:color w:val="auto"/>
        </w:rPr>
        <w:t>BCP at times has accessed Perú's short-term interbank deposit market, although it is generally a lender in this market. The Central Bank's discount window, which makes short-term loans to banks at premium rates, is also available as a short-term funding source, but has been used infrequently by BCP. ASHC also has the ability to borrow from correspondent banks on an overnight basis at rates tied to the Federal Funds rate as well as funding lines from international financial institutions.</w:t>
      </w:r>
    </w:p>
    <w:p>
      <w:pPr>
        <w:spacing w:after="0" w:line="197" w:lineRule="exact"/>
        <w:rPr>
          <w:sz w:val="20"/>
          <w:szCs w:val="20"/>
          <w:color w:val="auto"/>
        </w:rPr>
      </w:pPr>
    </w:p>
    <w:p>
      <w:pPr>
        <w:jc w:val="both"/>
        <w:ind w:firstLine="236"/>
        <w:spacing w:after="0" w:line="294" w:lineRule="auto"/>
        <w:rPr>
          <w:sz w:val="20"/>
          <w:szCs w:val="20"/>
          <w:color w:val="auto"/>
        </w:rPr>
      </w:pPr>
      <w:r>
        <w:rPr>
          <w:rFonts w:ascii="Arial" w:cs="Arial" w:eastAsia="Arial" w:hAnsi="Arial"/>
          <w:sz w:val="16"/>
          <w:szCs w:val="16"/>
          <w:color w:val="auto"/>
        </w:rPr>
        <w:t>At the end of 2003, Credicorp had credit lines available from correspondent banks of approximately US$1.6 billion, including long-term facilities that are mainly used for project financing, of which no significant amount was drawn down. The latter facilities include funding from COFIDE, CAF, the IFC and other international lenders. In 1998 and 2001, a total of approximately US$200 million of funding was received through the securitization of certain credit card receivables and diversified payment rights, with BCP as the originator of such assets. BCP may utilize these funding options in the future. As of December 31, 2003, borrowed funds amounted to US$273.7 million as compared to US$309.7 million in 2002 and US$341.5 million in 2001.</w:t>
      </w:r>
    </w:p>
    <w:p>
      <w:pPr>
        <w:spacing w:after="0" w:line="170" w:lineRule="exact"/>
        <w:rPr>
          <w:sz w:val="20"/>
          <w:szCs w:val="20"/>
          <w:color w:val="auto"/>
        </w:rPr>
      </w:pPr>
    </w:p>
    <w:p>
      <w:pPr>
        <w:jc w:val="both"/>
        <w:ind w:firstLine="188"/>
        <w:spacing w:after="0" w:line="255" w:lineRule="auto"/>
        <w:rPr>
          <w:sz w:val="20"/>
          <w:szCs w:val="20"/>
          <w:color w:val="auto"/>
        </w:rPr>
      </w:pPr>
      <w:r>
        <w:rPr>
          <w:rFonts w:ascii="Arial" w:cs="Arial" w:eastAsia="Arial" w:hAnsi="Arial"/>
          <w:sz w:val="18"/>
          <w:szCs w:val="18"/>
          <w:color w:val="auto"/>
        </w:rPr>
        <w:t>In addition, mortgage loans may be funded by mortgage funding notes and, since 2001, mortgage bonds that are sold by BCP in the market. Mortgage funding notes are instruments sold by BCP with payment terms that are matched to the related mortgage loans, thereby reducing BCP's exposure to interest rate fluctuations and inflation. Mortgage bonds are U.S. Dollar-denominated and have been issued with ten-year terms, with collateral established by real estate acquired through funded home mortgage loans. As of December 31, 2003, BCP had US$30.2 million of outstanding mortgage bonds and notes (US$28.5 million in 2002).</w:t>
      </w:r>
    </w:p>
    <w:p>
      <w:pPr>
        <w:spacing w:after="0" w:line="197" w:lineRule="exact"/>
        <w:rPr>
          <w:sz w:val="20"/>
          <w:szCs w:val="20"/>
          <w:color w:val="auto"/>
        </w:rPr>
      </w:pPr>
    </w:p>
    <w:p>
      <w:pPr>
        <w:jc w:val="both"/>
        <w:ind w:firstLine="172"/>
        <w:spacing w:after="0" w:line="259" w:lineRule="auto"/>
        <w:rPr>
          <w:sz w:val="20"/>
          <w:szCs w:val="20"/>
          <w:color w:val="auto"/>
        </w:rPr>
      </w:pPr>
      <w:r>
        <w:rPr>
          <w:rFonts w:ascii="Arial" w:cs="Arial" w:eastAsia="Arial" w:hAnsi="Arial"/>
          <w:sz w:val="18"/>
          <w:szCs w:val="18"/>
          <w:color w:val="auto"/>
        </w:rPr>
        <w:t>A source of funds specific to leasing operations are leasing bonds issued by lease financing companies, the terms of which are specified in the Peruvian leasing regulations. As of December 31, 2003, BCP had US$233.0 million of outstanding leasing bonds (US$350.2 million in 2002). These bonds have maturities extending from three to five years and bear the same interest as 360-day time deposits.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347" w:right="239" w:bottom="1440" w:gutter="0" w:footer="0" w:header="0"/>
        </w:sectPr>
      </w:pPr>
    </w:p>
    <w:bookmarkStart w:id="96" w:name="page97"/>
    <w:bookmarkEnd w:id="96"/>
    <w:p>
      <w:pPr>
        <w:jc w:val="both"/>
        <w:ind w:firstLine="177"/>
        <w:spacing w:after="0" w:line="268" w:lineRule="auto"/>
        <w:rPr>
          <w:sz w:val="20"/>
          <w:szCs w:val="20"/>
          <w:color w:val="auto"/>
        </w:rPr>
      </w:pPr>
      <w:r>
        <w:rPr>
          <w:rFonts w:ascii="Arial" w:cs="Arial" w:eastAsia="Arial" w:hAnsi="Arial"/>
          <w:sz w:val="18"/>
          <w:szCs w:val="18"/>
          <w:color w:val="auto"/>
        </w:rPr>
        <w:t>Among the policies that Credicorp follows to ensure sufficient liquidity are the active management of interest rates and the active monitoring of market trends, in order to identify and provide for changes in the supply of deposits or the demand for loans.</w:t>
      </w:r>
    </w:p>
    <w:p>
      <w:pPr>
        <w:spacing w:after="0" w:line="186" w:lineRule="exact"/>
        <w:rPr>
          <w:sz w:val="20"/>
          <w:szCs w:val="20"/>
          <w:color w:val="auto"/>
        </w:rPr>
      </w:pPr>
    </w:p>
    <w:p>
      <w:pPr>
        <w:jc w:val="both"/>
        <w:ind w:firstLine="237"/>
        <w:spacing w:after="0" w:line="294" w:lineRule="auto"/>
        <w:rPr>
          <w:sz w:val="20"/>
          <w:szCs w:val="20"/>
          <w:color w:val="auto"/>
        </w:rPr>
      </w:pPr>
      <w:r>
        <w:rPr>
          <w:rFonts w:ascii="Arial" w:cs="Arial" w:eastAsia="Arial" w:hAnsi="Arial"/>
          <w:sz w:val="16"/>
          <w:szCs w:val="16"/>
          <w:color w:val="auto"/>
        </w:rPr>
        <w:t>The principal sources of funds for PPS's insurance operations are premiums and amounts earned on invested assets. The major uses of these funds are the payment of policyholder claims, benefits and related expenses, reinsurance costs, commissions and other operating costs. In general, PPS's insurance operations generate substantial cash flow because most premiums are received in advance of the time when claim payments are required. Positive operating cash flows, along with that portion of the investment portfolio that is held in cash and highly liquid securities, historically have met the liquidity requirements of PPS's insurance operations. See Notes 11 and 12 to Credicorp's Consolidated Financial Statements.</w:t>
      </w:r>
    </w:p>
    <w:p>
      <w:pPr>
        <w:spacing w:after="0" w:line="164" w:lineRule="exact"/>
        <w:rPr>
          <w:sz w:val="20"/>
          <w:szCs w:val="20"/>
          <w:color w:val="auto"/>
        </w:rPr>
      </w:pPr>
    </w:p>
    <w:p>
      <w:pPr>
        <w:ind w:left="360" w:right="9080" w:hanging="352"/>
        <w:spacing w:after="0" w:line="601" w:lineRule="auto"/>
        <w:tabs>
          <w:tab w:leader="none" w:pos="296" w:val="left"/>
        </w:tabs>
        <w:numPr>
          <w:ilvl w:val="0"/>
          <w:numId w:val="2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Research and Development </w:t>
      </w:r>
      <w:r>
        <w:rPr>
          <w:rFonts w:ascii="Arial" w:cs="Arial" w:eastAsia="Arial" w:hAnsi="Arial"/>
          <w:sz w:val="15"/>
          <w:szCs w:val="15"/>
          <w:color w:val="auto"/>
        </w:rPr>
        <w:t>Not applicable.</w:t>
      </w:r>
    </w:p>
    <w:p>
      <w:pPr>
        <w:ind w:left="300" w:hanging="292"/>
        <w:spacing w:after="0"/>
        <w:tabs>
          <w:tab w:leader="none" w:pos="3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Trend Information</w:t>
      </w:r>
    </w:p>
    <w:p>
      <w:pPr>
        <w:spacing w:after="0" w:line="231" w:lineRule="exact"/>
        <w:rPr>
          <w:sz w:val="20"/>
          <w:szCs w:val="20"/>
          <w:color w:val="auto"/>
        </w:rPr>
      </w:pPr>
    </w:p>
    <w:p>
      <w:pPr>
        <w:jc w:val="both"/>
        <w:ind w:firstLine="176"/>
        <w:spacing w:after="0" w:line="255" w:lineRule="auto"/>
        <w:rPr>
          <w:sz w:val="20"/>
          <w:szCs w:val="20"/>
          <w:color w:val="auto"/>
        </w:rPr>
      </w:pPr>
      <w:r>
        <w:rPr>
          <w:rFonts w:ascii="Arial" w:cs="Arial" w:eastAsia="Arial" w:hAnsi="Arial"/>
          <w:sz w:val="18"/>
          <w:szCs w:val="18"/>
          <w:color w:val="auto"/>
        </w:rPr>
        <w:t>Credicorp was able to overcome difficulties presented by the ramifications of the international financial crisis during the years 1998, 1999 and 2000, and turned its focus on improving its core businesses in 2001, 2002 and 2003. Through these past years, Credicorp dedicated significant resources to consolidate its competitive advantages. During 2004, Credicorp expects to continue trends already seen in the preceding year, consolidating its efforts on market segments with greater growth potential and with higher profitability, and further strengthening its balance sheet. See “Item 4. Information on the Company—(B) Business Overview—(1) Introduction – Review of 2003 and —(2) Strategy.”</w:t>
      </w:r>
    </w:p>
    <w:p>
      <w:pPr>
        <w:spacing w:after="0" w:line="197" w:lineRule="exact"/>
        <w:rPr>
          <w:sz w:val="20"/>
          <w:szCs w:val="20"/>
          <w:color w:val="auto"/>
        </w:rPr>
      </w:pPr>
    </w:p>
    <w:p>
      <w:pPr>
        <w:jc w:val="both"/>
        <w:ind w:firstLine="212"/>
        <w:spacing w:after="0" w:line="256" w:lineRule="auto"/>
        <w:rPr>
          <w:sz w:val="20"/>
          <w:szCs w:val="20"/>
          <w:color w:val="auto"/>
        </w:rPr>
      </w:pPr>
      <w:r>
        <w:rPr>
          <w:rFonts w:ascii="Arial" w:cs="Arial" w:eastAsia="Arial" w:hAnsi="Arial"/>
          <w:sz w:val="18"/>
          <w:szCs w:val="18"/>
          <w:color w:val="auto"/>
        </w:rPr>
        <w:t>In 2004, it is likely that banks in Perú will see little growth in loans, financial margins will continue to tighten, pricing for the services they offer will suffer from higher competition, and service volumes will be negatively affected by financial transaction taxes. Credicorp will continue the application of policies that reduce volatility of net income and implement cost control measures to offset decreased profitability, compensate for lower financial margins and raise operating efficiency.</w:t>
      </w:r>
    </w:p>
    <w:p>
      <w:pPr>
        <w:spacing w:after="0" w:line="197" w:lineRule="exact"/>
        <w:rPr>
          <w:sz w:val="20"/>
          <w:szCs w:val="20"/>
          <w:color w:val="auto"/>
        </w:rPr>
      </w:pPr>
    </w:p>
    <w:p>
      <w:pPr>
        <w:jc w:val="both"/>
        <w:ind w:firstLine="196"/>
        <w:spacing w:after="0" w:line="291" w:lineRule="auto"/>
        <w:rPr>
          <w:sz w:val="20"/>
          <w:szCs w:val="20"/>
          <w:color w:val="auto"/>
        </w:rPr>
      </w:pPr>
      <w:r>
        <w:rPr>
          <w:rFonts w:ascii="Arial" w:cs="Arial" w:eastAsia="Arial" w:hAnsi="Arial"/>
          <w:sz w:val="16"/>
          <w:szCs w:val="16"/>
          <w:color w:val="auto"/>
        </w:rPr>
        <w:t xml:space="preserve">For BCP, growth will primarily be directed towards offering loans and adequate financial services in market segments with higher margins and lower banking penetration. In personal banking, BCP expects that in 2004 growth in mortgage loans will continue, especially loans linked to the government's </w:t>
      </w:r>
      <w:r>
        <w:rPr>
          <w:rFonts w:ascii="Arial" w:cs="Arial" w:eastAsia="Arial" w:hAnsi="Arial"/>
          <w:sz w:val="16"/>
          <w:szCs w:val="16"/>
          <w:i w:val="1"/>
          <w:iCs w:val="1"/>
          <w:color w:val="auto"/>
        </w:rPr>
        <w:t>MiVivienda</w:t>
      </w:r>
      <w:r>
        <w:rPr>
          <w:rFonts w:ascii="Arial" w:cs="Arial" w:eastAsia="Arial" w:hAnsi="Arial"/>
          <w:sz w:val="16"/>
          <w:szCs w:val="16"/>
          <w:color w:val="auto"/>
        </w:rPr>
        <w:t xml:space="preserve"> low-income housing program, as well as loans to micro-businesses. In order to generate more fee income from transactional services, BCP will further increase its branches in zones poorly served by banks and which show growth potential. Middle Market Banking, after the removal of bad loans from its loan portfolio, is another market segment which should begin to recover and reach volumes seen prior to the crisis. In 2004, BCP will integrate loan clients previously served by Solución. To accomplish this, BCP has implemented certain organizational changes, including the creation of a unit specializing in micro-business lending.</w:t>
      </w:r>
    </w:p>
    <w:p>
      <w:pPr>
        <w:spacing w:after="0" w:line="174" w:lineRule="exact"/>
        <w:rPr>
          <w:sz w:val="20"/>
          <w:szCs w:val="20"/>
          <w:color w:val="auto"/>
        </w:rPr>
      </w:pPr>
    </w:p>
    <w:p>
      <w:pPr>
        <w:jc w:val="both"/>
        <w:ind w:firstLine="196"/>
        <w:spacing w:after="0" w:line="259" w:lineRule="auto"/>
        <w:rPr>
          <w:sz w:val="20"/>
          <w:szCs w:val="20"/>
          <w:color w:val="auto"/>
        </w:rPr>
      </w:pPr>
      <w:r>
        <w:rPr>
          <w:rFonts w:ascii="Arial" w:cs="Arial" w:eastAsia="Arial" w:hAnsi="Arial"/>
          <w:sz w:val="18"/>
          <w:szCs w:val="18"/>
          <w:color w:val="auto"/>
        </w:rPr>
        <w:t>ASHC will continue its strategy to achieve sustained growth in managing third-party funds and change the composition of its investments towards lower-risk instruments. Implementation of this strategy will result in lower interest income, but this should be offset by the increase in fees from third-party fund management.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347" w:right="239" w:bottom="1440" w:gutter="0" w:footer="0" w:header="0"/>
        </w:sectPr>
      </w:pPr>
    </w:p>
    <w:bookmarkStart w:id="97" w:name="page98"/>
    <w:bookmarkEnd w:id="97"/>
    <w:p>
      <w:pPr>
        <w:jc w:val="both"/>
        <w:ind w:firstLine="240"/>
        <w:spacing w:after="0" w:line="268" w:lineRule="auto"/>
        <w:rPr>
          <w:sz w:val="20"/>
          <w:szCs w:val="20"/>
          <w:color w:val="auto"/>
        </w:rPr>
      </w:pPr>
      <w:r>
        <w:rPr>
          <w:rFonts w:ascii="Arial" w:cs="Arial" w:eastAsia="Arial" w:hAnsi="Arial"/>
          <w:sz w:val="18"/>
          <w:szCs w:val="18"/>
          <w:color w:val="auto"/>
        </w:rPr>
        <w:t>Banco Tequendama will continue its efforts to increase loans and deposits in the personal banking segment, reduce expenses and generate positive results, without requiring additional support from Credicorp.</w:t>
      </w:r>
    </w:p>
    <w:p>
      <w:pPr>
        <w:spacing w:after="0" w:line="186" w:lineRule="exact"/>
        <w:rPr>
          <w:sz w:val="20"/>
          <w:szCs w:val="20"/>
          <w:color w:val="auto"/>
        </w:rPr>
      </w:pPr>
    </w:p>
    <w:p>
      <w:pPr>
        <w:jc w:val="both"/>
        <w:ind w:firstLine="236"/>
        <w:spacing w:after="0" w:line="268" w:lineRule="auto"/>
        <w:rPr>
          <w:sz w:val="20"/>
          <w:szCs w:val="20"/>
          <w:color w:val="auto"/>
        </w:rPr>
      </w:pPr>
      <w:r>
        <w:rPr>
          <w:rFonts w:ascii="Arial" w:cs="Arial" w:eastAsia="Arial" w:hAnsi="Arial"/>
          <w:sz w:val="18"/>
          <w:szCs w:val="18"/>
          <w:color w:val="auto"/>
        </w:rPr>
        <w:t>In 2004, BCP's Bolivian subsidiary is expected to reduce its overdue loans and to require smaller charges for loan loss provisions, for which no additional support from BCP will be required.</w:t>
      </w:r>
    </w:p>
    <w:p>
      <w:pPr>
        <w:spacing w:after="0" w:line="186" w:lineRule="exact"/>
        <w:rPr>
          <w:sz w:val="20"/>
          <w:szCs w:val="20"/>
          <w:color w:val="auto"/>
        </w:rPr>
      </w:pPr>
    </w:p>
    <w:p>
      <w:pPr>
        <w:jc w:val="both"/>
        <w:ind w:firstLine="182"/>
        <w:spacing w:after="0" w:line="306" w:lineRule="auto"/>
        <w:rPr>
          <w:sz w:val="20"/>
          <w:szCs w:val="20"/>
          <w:color w:val="auto"/>
        </w:rPr>
      </w:pPr>
      <w:r>
        <w:rPr>
          <w:rFonts w:ascii="Arial" w:cs="Arial" w:eastAsia="Arial" w:hAnsi="Arial"/>
          <w:sz w:val="16"/>
          <w:szCs w:val="16"/>
          <w:color w:val="auto"/>
        </w:rPr>
        <w:t>Credicorp's insurance business is likely to grow in 2004 in line with economic activity even though its margins will remain low because of greater competition. Credicorp expects that profitability will increase through lower provisioning requirements. Growth in life insurance and life annuities is likely to continue, and, in the field of health insurance, PPS will focus on merging the operations of the recently acquired private health insurance provider into its own.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Off-Balance Sheet Arrangements</w:t>
      </w:r>
    </w:p>
    <w:p>
      <w:pPr>
        <w:spacing w:after="0" w:line="231" w:lineRule="exact"/>
        <w:rPr>
          <w:sz w:val="20"/>
          <w:szCs w:val="20"/>
          <w:color w:val="auto"/>
        </w:rPr>
      </w:pPr>
    </w:p>
    <w:p>
      <w:pPr>
        <w:jc w:val="both"/>
        <w:ind w:firstLine="245"/>
        <w:spacing w:after="0" w:line="255" w:lineRule="auto"/>
        <w:rPr>
          <w:sz w:val="20"/>
          <w:szCs w:val="20"/>
          <w:color w:val="auto"/>
        </w:rPr>
      </w:pPr>
      <w:r>
        <w:rPr>
          <w:rFonts w:ascii="Arial" w:cs="Arial" w:eastAsia="Arial" w:hAnsi="Arial"/>
          <w:sz w:val="18"/>
          <w:szCs w:val="18"/>
          <w:color w:val="auto"/>
        </w:rPr>
        <w:t>Credicorp has various contractual obligations that are recorded as liabilities in its financial statements. Other contractual arrangements, such as contingent credits contracts, are not recognized as liabilities in Credicorp's financial statements but are required to be registered in off-balance sheet accounts. Credicorp enters into these off-balance sheet arrangements in the ordinary course of business in order to take advantage of above average interest margins, in the case of guarantees and letters of credit, and short-term market movements in the equity and bond markets and in currency and interest rates, in the case of derivatives and swaps.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980" w:type="dxa"/>
            <w:vAlign w:val="bottom"/>
            <w:gridSpan w:val="2"/>
          </w:tcPr>
          <w:p>
            <w:pPr>
              <w:ind w:left="180"/>
              <w:spacing w:after="0"/>
              <w:rPr>
                <w:sz w:val="20"/>
                <w:szCs w:val="20"/>
                <w:color w:val="auto"/>
              </w:rPr>
            </w:pPr>
            <w:r>
              <w:rPr>
                <w:rFonts w:ascii="Arial" w:cs="Arial" w:eastAsia="Arial" w:hAnsi="Arial"/>
                <w:sz w:val="18"/>
                <w:szCs w:val="18"/>
                <w:color w:val="auto"/>
                <w:w w:val="90"/>
              </w:rPr>
              <w:t>The following table reflects Credicorp's off-balance sheet arrangements as of December 31, 2003 and 2002:</w:t>
            </w: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59"/>
        </w:trPr>
        <w:tc>
          <w:tcPr>
            <w:tcW w:w="28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2360" w:type="dxa"/>
            <w:vAlign w:val="bottom"/>
            <w:gridSpan w:val="3"/>
          </w:tcPr>
          <w:p>
            <w:pPr>
              <w:ind w:left="1080"/>
              <w:spacing w:after="0"/>
              <w:rPr>
                <w:sz w:val="20"/>
                <w:szCs w:val="20"/>
                <w:color w:val="auto"/>
              </w:rPr>
            </w:pPr>
            <w:r>
              <w:rPr>
                <w:rFonts w:ascii="Arial" w:cs="Arial" w:eastAsia="Arial" w:hAnsi="Arial"/>
                <w:sz w:val="18"/>
                <w:szCs w:val="18"/>
                <w:b w:val="1"/>
                <w:bCs w:val="1"/>
                <w:color w:val="auto"/>
                <w:w w:val="89"/>
              </w:rPr>
              <w:t>At December 31,</w:t>
            </w:r>
          </w:p>
        </w:tc>
        <w:tc>
          <w:tcPr>
            <w:tcW w:w="1060" w:type="dxa"/>
            <w:vAlign w:val="bottom"/>
          </w:tcPr>
          <w:p>
            <w:pPr>
              <w:spacing w:after="0"/>
              <w:rPr>
                <w:sz w:val="24"/>
                <w:szCs w:val="24"/>
                <w:color w:val="auto"/>
              </w:rPr>
            </w:pPr>
          </w:p>
        </w:tc>
      </w:tr>
      <w:tr>
        <w:trPr>
          <w:trHeight w:val="137"/>
        </w:trPr>
        <w:tc>
          <w:tcPr>
            <w:tcW w:w="288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r>
      <w:tr>
        <w:trPr>
          <w:trHeight w:val="356"/>
        </w:trPr>
        <w:tc>
          <w:tcPr>
            <w:tcW w:w="28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700" w:type="dxa"/>
            <w:vAlign w:val="bottom"/>
          </w:tcPr>
          <w:p>
            <w:pPr>
              <w:jc w:val="right"/>
              <w:ind w:right="592"/>
              <w:spacing w:after="0"/>
              <w:rPr>
                <w:sz w:val="20"/>
                <w:szCs w:val="20"/>
                <w:color w:val="auto"/>
              </w:rPr>
            </w:pPr>
            <w:r>
              <w:rPr>
                <w:rFonts w:ascii="Arial" w:cs="Arial" w:eastAsia="Arial" w:hAnsi="Arial"/>
                <w:sz w:val="18"/>
                <w:szCs w:val="18"/>
                <w:b w:val="1"/>
                <w:bCs w:val="1"/>
                <w:color w:val="auto"/>
              </w:rPr>
              <w:t>2002</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jc w:val="right"/>
              <w:ind w:right="592"/>
              <w:spacing w:after="0"/>
              <w:rPr>
                <w:sz w:val="20"/>
                <w:szCs w:val="20"/>
                <w:color w:val="auto"/>
              </w:rPr>
            </w:pPr>
            <w:r>
              <w:rPr>
                <w:rFonts w:ascii="Arial" w:cs="Arial" w:eastAsia="Arial" w:hAnsi="Arial"/>
                <w:sz w:val="18"/>
                <w:szCs w:val="18"/>
                <w:b w:val="1"/>
                <w:bCs w:val="1"/>
                <w:color w:val="auto"/>
                <w:w w:val="89"/>
              </w:rPr>
              <w:t>2003</w:t>
            </w:r>
          </w:p>
        </w:tc>
      </w:tr>
      <w:tr>
        <w:trPr>
          <w:trHeight w:val="137"/>
        </w:trPr>
        <w:tc>
          <w:tcPr>
            <w:tcW w:w="288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gridSpan w:val="2"/>
          </w:tcPr>
          <w:p>
            <w:pPr>
              <w:spacing w:after="0"/>
              <w:rPr>
                <w:sz w:val="11"/>
                <w:szCs w:val="11"/>
                <w:color w:val="auto"/>
              </w:rPr>
            </w:pPr>
          </w:p>
        </w:tc>
      </w:tr>
      <w:tr>
        <w:trPr>
          <w:trHeight w:val="356"/>
        </w:trPr>
        <w:tc>
          <w:tcPr>
            <w:tcW w:w="28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3420" w:type="dxa"/>
            <w:vAlign w:val="bottom"/>
            <w:gridSpan w:val="4"/>
          </w:tcPr>
          <w:p>
            <w:pPr>
              <w:jc w:val="right"/>
              <w:ind w:right="652"/>
              <w:spacing w:after="0"/>
              <w:rPr>
                <w:sz w:val="20"/>
                <w:szCs w:val="20"/>
                <w:color w:val="auto"/>
              </w:rPr>
            </w:pPr>
            <w:r>
              <w:rPr>
                <w:rFonts w:ascii="Arial" w:cs="Arial" w:eastAsia="Arial" w:hAnsi="Arial"/>
                <w:sz w:val="18"/>
                <w:szCs w:val="18"/>
                <w:i w:val="1"/>
                <w:iCs w:val="1"/>
                <w:color w:val="auto"/>
              </w:rPr>
              <w:t>(U.S. Dollars in thousands)</w:t>
            </w:r>
          </w:p>
        </w:tc>
      </w:tr>
      <w:tr>
        <w:trPr>
          <w:trHeight w:val="243"/>
        </w:trPr>
        <w:tc>
          <w:tcPr>
            <w:tcW w:w="7980" w:type="dxa"/>
            <w:vAlign w:val="bottom"/>
            <w:gridSpan w:val="2"/>
          </w:tcPr>
          <w:p>
            <w:pPr>
              <w:ind w:left="40"/>
              <w:spacing w:after="0"/>
              <w:rPr>
                <w:sz w:val="20"/>
                <w:szCs w:val="20"/>
                <w:color w:val="auto"/>
              </w:rPr>
            </w:pPr>
            <w:r>
              <w:rPr>
                <w:rFonts w:ascii="Arial" w:cs="Arial" w:eastAsia="Arial" w:hAnsi="Arial"/>
                <w:sz w:val="18"/>
                <w:szCs w:val="18"/>
                <w:b w:val="1"/>
                <w:bCs w:val="1"/>
                <w:color w:val="auto"/>
              </w:rPr>
              <w:t>Contingent Credits</w:t>
            </w: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486"/>
        </w:trPr>
        <w:tc>
          <w:tcPr>
            <w:tcW w:w="7980" w:type="dxa"/>
            <w:vAlign w:val="bottom"/>
            <w:gridSpan w:val="2"/>
          </w:tcPr>
          <w:p>
            <w:pPr>
              <w:ind w:left="40"/>
              <w:spacing w:after="0"/>
              <w:rPr>
                <w:sz w:val="20"/>
                <w:szCs w:val="20"/>
                <w:color w:val="auto"/>
              </w:rPr>
            </w:pPr>
            <w:r>
              <w:rPr>
                <w:rFonts w:ascii="Arial" w:cs="Arial" w:eastAsia="Arial" w:hAnsi="Arial"/>
                <w:sz w:val="18"/>
                <w:szCs w:val="18"/>
                <w:color w:val="auto"/>
              </w:rPr>
              <w:t>Guarantees and stand by letters</w:t>
            </w:r>
          </w:p>
        </w:tc>
        <w:tc>
          <w:tcPr>
            <w:tcW w:w="2360" w:type="dxa"/>
            <w:vAlign w:val="bottom"/>
            <w:gridSpan w:val="3"/>
          </w:tcPr>
          <w:p>
            <w:pPr>
              <w:jc w:val="right"/>
              <w:ind w:right="660"/>
              <w:spacing w:after="0"/>
              <w:rPr>
                <w:sz w:val="20"/>
                <w:szCs w:val="20"/>
                <w:color w:val="auto"/>
              </w:rPr>
            </w:pPr>
            <w:r>
              <w:rPr>
                <w:rFonts w:ascii="Arial" w:cs="Arial" w:eastAsia="Arial" w:hAnsi="Arial"/>
                <w:sz w:val="18"/>
                <w:szCs w:val="18"/>
                <w:color w:val="auto"/>
              </w:rPr>
              <w:t>US$ 816,844</w:t>
            </w:r>
          </w:p>
        </w:tc>
        <w:tc>
          <w:tcPr>
            <w:tcW w:w="1060" w:type="dxa"/>
            <w:vAlign w:val="bottom"/>
          </w:tcPr>
          <w:p>
            <w:pPr>
              <w:jc w:val="right"/>
              <w:spacing w:after="0"/>
              <w:rPr>
                <w:sz w:val="20"/>
                <w:szCs w:val="20"/>
                <w:color w:val="auto"/>
              </w:rPr>
            </w:pPr>
            <w:r>
              <w:rPr>
                <w:rFonts w:ascii="Arial" w:cs="Arial" w:eastAsia="Arial" w:hAnsi="Arial"/>
                <w:sz w:val="18"/>
                <w:szCs w:val="18"/>
                <w:color w:val="auto"/>
                <w:w w:val="98"/>
              </w:rPr>
              <w:t>US$ 629,944</w:t>
            </w:r>
          </w:p>
        </w:tc>
      </w:tr>
      <w:tr>
        <w:trPr>
          <w:trHeight w:val="243"/>
        </w:trPr>
        <w:tc>
          <w:tcPr>
            <w:tcW w:w="7980" w:type="dxa"/>
            <w:vAlign w:val="bottom"/>
            <w:gridSpan w:val="2"/>
          </w:tcPr>
          <w:p>
            <w:pPr>
              <w:ind w:left="40"/>
              <w:spacing w:after="0"/>
              <w:rPr>
                <w:sz w:val="20"/>
                <w:szCs w:val="20"/>
                <w:color w:val="auto"/>
              </w:rPr>
            </w:pPr>
            <w:r>
              <w:rPr>
                <w:rFonts w:ascii="Arial" w:cs="Arial" w:eastAsia="Arial" w:hAnsi="Arial"/>
                <w:sz w:val="18"/>
                <w:szCs w:val="18"/>
                <w:color w:val="auto"/>
              </w:rPr>
              <w:t>Import and Export letters of Credit</w:t>
            </w:r>
          </w:p>
        </w:tc>
        <w:tc>
          <w:tcPr>
            <w:tcW w:w="1700" w:type="dxa"/>
            <w:vAlign w:val="bottom"/>
          </w:tcPr>
          <w:p>
            <w:pPr>
              <w:jc w:val="right"/>
              <w:spacing w:after="0"/>
              <w:rPr>
                <w:sz w:val="20"/>
                <w:szCs w:val="20"/>
                <w:color w:val="auto"/>
              </w:rPr>
            </w:pPr>
            <w:r>
              <w:rPr>
                <w:rFonts w:ascii="Arial" w:cs="Arial" w:eastAsia="Arial" w:hAnsi="Arial"/>
                <w:sz w:val="18"/>
                <w:szCs w:val="18"/>
                <w:color w:val="auto"/>
              </w:rPr>
              <w:t>140,086</w:t>
            </w: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152,942</w:t>
            </w:r>
          </w:p>
        </w:tc>
      </w:tr>
      <w:tr>
        <w:trPr>
          <w:trHeight w:val="243"/>
        </w:trPr>
        <w:tc>
          <w:tcPr>
            <w:tcW w:w="2880" w:type="dxa"/>
            <w:vAlign w:val="bottom"/>
          </w:tcPr>
          <w:p>
            <w:pPr>
              <w:spacing w:after="0"/>
              <w:rPr>
                <w:sz w:val="21"/>
                <w:szCs w:val="21"/>
                <w:color w:val="auto"/>
              </w:rPr>
            </w:pPr>
          </w:p>
        </w:tc>
        <w:tc>
          <w:tcPr>
            <w:tcW w:w="5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956,930</w:t>
            </w: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782,886</w:t>
            </w:r>
          </w:p>
        </w:tc>
      </w:tr>
      <w:tr>
        <w:trPr>
          <w:trHeight w:val="137"/>
        </w:trPr>
        <w:tc>
          <w:tcPr>
            <w:tcW w:w="288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r>
      <w:tr>
        <w:trPr>
          <w:trHeight w:val="343"/>
        </w:trPr>
        <w:tc>
          <w:tcPr>
            <w:tcW w:w="7980" w:type="dxa"/>
            <w:vAlign w:val="bottom"/>
            <w:gridSpan w:val="2"/>
          </w:tcPr>
          <w:p>
            <w:pPr>
              <w:ind w:left="40"/>
              <w:spacing w:after="0"/>
              <w:rPr>
                <w:sz w:val="20"/>
                <w:szCs w:val="20"/>
                <w:color w:val="auto"/>
              </w:rPr>
            </w:pPr>
            <w:r>
              <w:rPr>
                <w:rFonts w:ascii="Arial" w:cs="Arial" w:eastAsia="Arial" w:hAnsi="Arial"/>
                <w:sz w:val="18"/>
                <w:szCs w:val="18"/>
                <w:color w:val="auto"/>
              </w:rPr>
              <w:t>Responsibilities under credit line agreements</w:t>
            </w:r>
          </w:p>
        </w:tc>
        <w:tc>
          <w:tcPr>
            <w:tcW w:w="1700" w:type="dxa"/>
            <w:vAlign w:val="bottom"/>
          </w:tcPr>
          <w:p>
            <w:pPr>
              <w:jc w:val="right"/>
              <w:spacing w:after="0"/>
              <w:rPr>
                <w:sz w:val="20"/>
                <w:szCs w:val="20"/>
                <w:color w:val="auto"/>
              </w:rPr>
            </w:pPr>
            <w:r>
              <w:rPr>
                <w:rFonts w:ascii="Arial" w:cs="Arial" w:eastAsia="Arial" w:hAnsi="Arial"/>
                <w:sz w:val="18"/>
                <w:szCs w:val="18"/>
                <w:color w:val="auto"/>
              </w:rPr>
              <w:t>188,428</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570,276</w:t>
            </w:r>
          </w:p>
        </w:tc>
      </w:tr>
      <w:tr>
        <w:trPr>
          <w:trHeight w:val="243"/>
        </w:trPr>
        <w:tc>
          <w:tcPr>
            <w:tcW w:w="7980" w:type="dxa"/>
            <w:vAlign w:val="bottom"/>
            <w:gridSpan w:val="2"/>
          </w:tcPr>
          <w:p>
            <w:pPr>
              <w:ind w:left="40"/>
              <w:spacing w:after="0"/>
              <w:rPr>
                <w:sz w:val="20"/>
                <w:szCs w:val="20"/>
                <w:color w:val="auto"/>
              </w:rPr>
            </w:pPr>
            <w:r>
              <w:rPr>
                <w:rFonts w:ascii="Arial" w:cs="Arial" w:eastAsia="Arial" w:hAnsi="Arial"/>
                <w:sz w:val="18"/>
                <w:szCs w:val="18"/>
                <w:color w:val="auto"/>
              </w:rPr>
              <w:t>Financial derivative contracts, net</w:t>
            </w:r>
          </w:p>
        </w:tc>
        <w:tc>
          <w:tcPr>
            <w:tcW w:w="1700" w:type="dxa"/>
            <w:vAlign w:val="bottom"/>
          </w:tcPr>
          <w:p>
            <w:pPr>
              <w:jc w:val="right"/>
              <w:spacing w:after="0"/>
              <w:rPr>
                <w:sz w:val="20"/>
                <w:szCs w:val="20"/>
                <w:color w:val="auto"/>
              </w:rPr>
            </w:pPr>
            <w:r>
              <w:rPr>
                <w:rFonts w:ascii="Arial" w:cs="Arial" w:eastAsia="Arial" w:hAnsi="Arial"/>
                <w:sz w:val="18"/>
                <w:szCs w:val="18"/>
                <w:color w:val="auto"/>
              </w:rPr>
              <w:t>269,500</w:t>
            </w: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135,647</w:t>
            </w:r>
          </w:p>
        </w:tc>
      </w:tr>
      <w:tr>
        <w:trPr>
          <w:trHeight w:val="243"/>
        </w:trPr>
        <w:tc>
          <w:tcPr>
            <w:tcW w:w="7980" w:type="dxa"/>
            <w:vAlign w:val="bottom"/>
            <w:gridSpan w:val="2"/>
          </w:tcPr>
          <w:p>
            <w:pPr>
              <w:ind w:left="40"/>
              <w:spacing w:after="0"/>
              <w:rPr>
                <w:sz w:val="20"/>
                <w:szCs w:val="20"/>
                <w:color w:val="auto"/>
              </w:rPr>
            </w:pPr>
            <w:r>
              <w:rPr>
                <w:rFonts w:ascii="Arial" w:cs="Arial" w:eastAsia="Arial" w:hAnsi="Arial"/>
                <w:sz w:val="18"/>
                <w:szCs w:val="18"/>
                <w:color w:val="auto"/>
              </w:rPr>
              <w:t>Swap contracts</w:t>
            </w:r>
          </w:p>
        </w:tc>
        <w:tc>
          <w:tcPr>
            <w:tcW w:w="1700" w:type="dxa"/>
            <w:vAlign w:val="bottom"/>
          </w:tcPr>
          <w:p>
            <w:pPr>
              <w:jc w:val="right"/>
              <w:spacing w:after="0"/>
              <w:rPr>
                <w:sz w:val="20"/>
                <w:szCs w:val="20"/>
                <w:color w:val="auto"/>
              </w:rPr>
            </w:pPr>
            <w:r>
              <w:rPr>
                <w:rFonts w:ascii="Arial" w:cs="Arial" w:eastAsia="Arial" w:hAnsi="Arial"/>
                <w:sz w:val="18"/>
                <w:szCs w:val="18"/>
                <w:color w:val="auto"/>
              </w:rPr>
              <w:t>10,784</w:t>
            </w: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98,083</w:t>
            </w:r>
          </w:p>
        </w:tc>
      </w:tr>
      <w:tr>
        <w:trPr>
          <w:trHeight w:val="137"/>
        </w:trPr>
        <w:tc>
          <w:tcPr>
            <w:tcW w:w="288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r>
      <w:tr>
        <w:trPr>
          <w:trHeight w:val="343"/>
        </w:trPr>
        <w:tc>
          <w:tcPr>
            <w:tcW w:w="798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2360" w:type="dxa"/>
            <w:vAlign w:val="bottom"/>
            <w:gridSpan w:val="3"/>
          </w:tcPr>
          <w:p>
            <w:pPr>
              <w:jc w:val="right"/>
              <w:ind w:right="660"/>
              <w:spacing w:after="0"/>
              <w:rPr>
                <w:sz w:val="20"/>
                <w:szCs w:val="20"/>
                <w:color w:val="auto"/>
              </w:rPr>
            </w:pPr>
            <w:r>
              <w:rPr>
                <w:rFonts w:ascii="Arial" w:cs="Arial" w:eastAsia="Arial" w:hAnsi="Arial"/>
                <w:sz w:val="18"/>
                <w:szCs w:val="18"/>
                <w:b w:val="1"/>
                <w:bCs w:val="1"/>
                <w:color w:val="auto"/>
              </w:rPr>
              <w:t>US$1,425,642</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w w:val="90"/>
              </w:rPr>
              <w:t>US$1,586,892</w:t>
            </w:r>
          </w:p>
        </w:tc>
      </w:tr>
      <w:tr>
        <w:trPr>
          <w:trHeight w:val="147"/>
        </w:trPr>
        <w:tc>
          <w:tcPr>
            <w:tcW w:w="288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r>
      <w:tr>
        <w:trPr>
          <w:trHeight w:val="240"/>
        </w:trPr>
        <w:tc>
          <w:tcPr>
            <w:tcW w:w="2880" w:type="dxa"/>
            <w:vAlign w:val="bottom"/>
            <w:tcBorders>
              <w:bottom w:val="single" w:sz="8" w:color="9A9A9A"/>
            </w:tcBorders>
          </w:tcPr>
          <w:p>
            <w:pPr>
              <w:spacing w:after="0"/>
              <w:rPr>
                <w:sz w:val="20"/>
                <w:szCs w:val="20"/>
                <w:color w:val="auto"/>
              </w:rPr>
            </w:pPr>
          </w:p>
        </w:tc>
        <w:tc>
          <w:tcPr>
            <w:tcW w:w="5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-2559050</wp:posOffset>
            </wp:positionV>
            <wp:extent cx="34290" cy="342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-2233295</wp:posOffset>
            </wp:positionV>
            <wp:extent cx="34290" cy="342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-2233295</wp:posOffset>
            </wp:positionV>
            <wp:extent cx="34290" cy="342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-1135380</wp:posOffset>
            </wp:positionV>
            <wp:extent cx="34290" cy="342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-1135380</wp:posOffset>
            </wp:positionV>
            <wp:extent cx="34290" cy="342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-509270</wp:posOffset>
            </wp:positionV>
            <wp:extent cx="34290" cy="342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-509270</wp:posOffset>
            </wp:positionV>
            <wp:extent cx="34290" cy="342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-175260</wp:posOffset>
            </wp:positionV>
            <wp:extent cx="1270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-175260</wp:posOffset>
            </wp:positionV>
            <wp:extent cx="1270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-175260</wp:posOffset>
            </wp:positionV>
            <wp:extent cx="1270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-175260</wp:posOffset>
            </wp:positionV>
            <wp:extent cx="1270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-20955</wp:posOffset>
            </wp:positionV>
            <wp:extent cx="34290" cy="342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88" w:lineRule="exact"/>
        <w:rPr>
          <w:sz w:val="20"/>
          <w:szCs w:val="20"/>
          <w:color w:val="auto"/>
        </w:rPr>
      </w:pPr>
    </w:p>
    <w:p>
      <w:pPr>
        <w:jc w:val="both"/>
        <w:ind w:firstLine="179"/>
        <w:spacing w:after="0" w:line="291" w:lineRule="auto"/>
        <w:rPr>
          <w:sz w:val="20"/>
          <w:szCs w:val="20"/>
          <w:color w:val="auto"/>
        </w:rPr>
      </w:pPr>
      <w:r>
        <w:rPr>
          <w:rFonts w:ascii="Arial" w:cs="Arial" w:eastAsia="Arial" w:hAnsi="Arial"/>
          <w:sz w:val="16"/>
          <w:szCs w:val="16"/>
          <w:color w:val="auto"/>
        </w:rPr>
        <w:t>In the normal course of its business, Credicorp is party to transactions with off-balance sheet risk. These transactions expose Credicorp to credit risk in addition to the amounts recognized in the consolidated balance sheets. Credit risk for off-balance sheet financial instruments is defined as the possibility of sustaining a loss because any other party to a financial instrument fails to perform in accordance with the terms of the contract. Exposure to losses under commitments to extend credit is represented by the contractual amount specified in these instruments. Credicorp applies the same credit policies in making commitments and conditional obligations as it does for on-balance sheet instruments, including the requirement to obtain collateral to support off-balance sheet financial instruments, when it is deemed necessary. Collateral held varies, but may include deposits held in financial institutions, securities or other assets.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347" w:right="239" w:bottom="1440" w:gutter="0" w:footer="0" w:header="0"/>
        </w:sectPr>
      </w:pPr>
    </w:p>
    <w:bookmarkStart w:id="98" w:name="page99"/>
    <w:bookmarkEnd w:id="98"/>
    <w:p>
      <w:pPr>
        <w:jc w:val="both"/>
        <w:ind w:right="20" w:firstLine="176"/>
        <w:spacing w:after="0" w:line="268" w:lineRule="auto"/>
        <w:rPr>
          <w:sz w:val="20"/>
          <w:szCs w:val="20"/>
          <w:color w:val="auto"/>
        </w:rPr>
      </w:pPr>
      <w:r>
        <w:rPr>
          <w:rFonts w:ascii="Arial" w:cs="Arial" w:eastAsia="Arial" w:hAnsi="Arial"/>
          <w:sz w:val="18"/>
          <w:szCs w:val="18"/>
          <w:color w:val="auto"/>
        </w:rPr>
        <w:t>Due to the fact that many of the contingent credits are expected to expire without any payment being required from Credicorp, the total committed amounts do not necessarily represent future cash requirements.</w:t>
      </w:r>
    </w:p>
    <w:p>
      <w:pPr>
        <w:spacing w:after="0" w:line="186" w:lineRule="exact"/>
        <w:rPr>
          <w:sz w:val="20"/>
          <w:szCs w:val="20"/>
          <w:color w:val="auto"/>
        </w:rPr>
      </w:pPr>
    </w:p>
    <w:p>
      <w:pPr>
        <w:jc w:val="both"/>
        <w:ind w:firstLine="176"/>
        <w:spacing w:after="0" w:line="259" w:lineRule="auto"/>
        <w:rPr>
          <w:sz w:val="20"/>
          <w:szCs w:val="20"/>
          <w:color w:val="auto"/>
        </w:rPr>
      </w:pPr>
      <w:r>
        <w:rPr>
          <w:rFonts w:ascii="Arial" w:cs="Arial" w:eastAsia="Arial" w:hAnsi="Arial"/>
          <w:sz w:val="18"/>
          <w:szCs w:val="18"/>
          <w:color w:val="auto"/>
        </w:rPr>
        <w:t>Export and import letters of credit and guarantees and stand-by letters of credit are conditional commitments issued by Credicorp to guarantee the performance of a customer to a third party. Export and import letters of credit are mainly issued as credit enhancements for overseas commercial transactions. Risks associated with these credits are reduced by the participation of third parties.</w:t>
      </w:r>
    </w:p>
    <w:p>
      <w:pPr>
        <w:spacing w:after="0" w:line="194" w:lineRule="exact"/>
        <w:rPr>
          <w:sz w:val="20"/>
          <w:szCs w:val="20"/>
          <w:color w:val="auto"/>
        </w:rPr>
      </w:pPr>
    </w:p>
    <w:p>
      <w:pPr>
        <w:jc w:val="both"/>
        <w:ind w:firstLine="176"/>
        <w:spacing w:after="0" w:line="254" w:lineRule="auto"/>
        <w:rPr>
          <w:sz w:val="20"/>
          <w:szCs w:val="20"/>
          <w:color w:val="auto"/>
        </w:rPr>
      </w:pPr>
      <w:r>
        <w:rPr>
          <w:rFonts w:ascii="Arial" w:cs="Arial" w:eastAsia="Arial" w:hAnsi="Arial"/>
          <w:sz w:val="18"/>
          <w:szCs w:val="18"/>
          <w:color w:val="auto"/>
        </w:rPr>
        <w:t>As of December 31, 2003 and 2002, Credicorp has registered as derivatives transactions commitments related to purchase and sale of foreign currency. Foreign currency forwards are commitments to buy or sell currency at a future date at a contracted price. Risk arises from the possibility that the counter-party to the transaction does not perform as agreed. As of December 31, 2003 and 2002, forward foreign currency purchase and sale agreements referred to above include nominal amounts of approximately US$313.9 million and US$530.6 million, respectively, with maturities not greater than one year. These agreements are executed to satisfy client requirements and are recorded by Credicorp in the financial statements at fair market value. See Note 22 to the Credicorp Consolidated Financial Statements.</w:t>
      </w:r>
    </w:p>
    <w:p>
      <w:pPr>
        <w:spacing w:after="0" w:line="198" w:lineRule="exact"/>
        <w:rPr>
          <w:sz w:val="20"/>
          <w:szCs w:val="20"/>
          <w:color w:val="auto"/>
        </w:rPr>
      </w:pPr>
    </w:p>
    <w:p>
      <w:pPr>
        <w:jc w:val="both"/>
        <w:ind w:firstLine="203"/>
        <w:spacing w:after="0" w:line="256" w:lineRule="auto"/>
        <w:rPr>
          <w:sz w:val="20"/>
          <w:szCs w:val="20"/>
          <w:color w:val="auto"/>
        </w:rPr>
      </w:pPr>
      <w:r>
        <w:rPr>
          <w:rFonts w:ascii="Arial" w:cs="Arial" w:eastAsia="Arial" w:hAnsi="Arial"/>
          <w:sz w:val="18"/>
          <w:szCs w:val="18"/>
          <w:color w:val="auto"/>
        </w:rPr>
        <w:t>Interest rate swaps are derivatives contracts, which exchange variable interest rates for fixed interest rates. The risk arises each time the projected level of the variable rate during the term of the operation is higher than the fixed rate, as well as from non-compliance with contractual terms by one of the parties. As of December 31, 2003, the notional amount of outstanding interest rate swap contracts was approximately US$98.1 million (approximately US$10.8 million at December 31, 2002). These contracts are recorded by Credicorp at fair market value.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Contractual Obligations</w:t>
      </w:r>
    </w:p>
    <w:p>
      <w:pPr>
        <w:spacing w:after="0" w:line="2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Credicorp enters into various contractual obligations that may require future cash payments. The following table summarizes Credicorp's contractual obligations by remaining maturity as of December 31, 2003. See “Item 4. Information on the Company—(B) Business Overview—(1) Introduction – Review of 2003.”</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45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40" w:type="dxa"/>
            <w:vAlign w:val="bottom"/>
            <w:gridSpan w:val="5"/>
          </w:tcPr>
          <w:p>
            <w:pPr>
              <w:jc w:val="center"/>
              <w:ind w:left="912"/>
              <w:spacing w:after="0"/>
              <w:rPr>
                <w:sz w:val="20"/>
                <w:szCs w:val="20"/>
                <w:color w:val="auto"/>
              </w:rPr>
            </w:pPr>
            <w:r>
              <w:rPr>
                <w:rFonts w:ascii="Arial" w:cs="Arial" w:eastAsia="Arial" w:hAnsi="Arial"/>
                <w:sz w:val="18"/>
                <w:szCs w:val="18"/>
                <w:b w:val="1"/>
                <w:bCs w:val="1"/>
                <w:color w:val="auto"/>
                <w:w w:val="87"/>
              </w:rPr>
              <w:t>Payments due by period</w:t>
            </w: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151"/>
        </w:trPr>
        <w:tc>
          <w:tcPr>
            <w:tcW w:w="4500" w:type="dxa"/>
            <w:vAlign w:val="bottom"/>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r>
      <w:tr>
        <w:trPr>
          <w:trHeight w:val="330"/>
        </w:trPr>
        <w:tc>
          <w:tcPr>
            <w:tcW w:w="45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0"/>
              </w:rPr>
              <w:t>Total at</w:t>
            </w: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16"/>
        </w:trPr>
        <w:tc>
          <w:tcPr>
            <w:tcW w:w="45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7"/>
              </w:rPr>
              <w:t>December 31,</w:t>
            </w:r>
          </w:p>
        </w:tc>
        <w:tc>
          <w:tcPr>
            <w:tcW w:w="20" w:type="dxa"/>
            <w:vAlign w:val="bottom"/>
          </w:tcPr>
          <w:p>
            <w:pPr>
              <w:spacing w:after="0"/>
              <w:rPr>
                <w:sz w:val="18"/>
                <w:szCs w:val="18"/>
                <w:color w:val="auto"/>
              </w:rPr>
            </w:pPr>
          </w:p>
        </w:tc>
        <w:tc>
          <w:tcPr>
            <w:tcW w:w="1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Less than</w:t>
            </w:r>
          </w:p>
        </w:tc>
        <w:tc>
          <w:tcPr>
            <w:tcW w:w="1720" w:type="dxa"/>
            <w:vAlign w:val="bottom"/>
            <w:gridSpan w:val="3"/>
          </w:tcPr>
          <w:p>
            <w:pPr>
              <w:ind w:left="520"/>
              <w:spacing w:after="0"/>
              <w:rPr>
                <w:sz w:val="20"/>
                <w:szCs w:val="20"/>
                <w:color w:val="auto"/>
              </w:rPr>
            </w:pPr>
            <w:r>
              <w:rPr>
                <w:rFonts w:ascii="Arial" w:cs="Arial" w:eastAsia="Arial" w:hAnsi="Arial"/>
                <w:sz w:val="18"/>
                <w:szCs w:val="18"/>
                <w:b w:val="1"/>
                <w:bCs w:val="1"/>
                <w:color w:val="auto"/>
              </w:rPr>
              <w:t>1–3</w:t>
            </w:r>
          </w:p>
        </w:tc>
        <w:tc>
          <w:tcPr>
            <w:tcW w:w="1020" w:type="dxa"/>
            <w:vAlign w:val="bottom"/>
            <w:gridSpan w:val="2"/>
          </w:tcPr>
          <w:p>
            <w:pPr>
              <w:ind w:left="160"/>
              <w:spacing w:after="0"/>
              <w:rPr>
                <w:sz w:val="20"/>
                <w:szCs w:val="20"/>
                <w:color w:val="auto"/>
              </w:rPr>
            </w:pPr>
            <w:r>
              <w:rPr>
                <w:rFonts w:ascii="Arial" w:cs="Arial" w:eastAsia="Arial" w:hAnsi="Arial"/>
                <w:sz w:val="18"/>
                <w:szCs w:val="18"/>
                <w:b w:val="1"/>
                <w:bCs w:val="1"/>
                <w:color w:val="auto"/>
              </w:rPr>
              <w:t>3–5</w:t>
            </w:r>
          </w:p>
        </w:tc>
        <w:tc>
          <w:tcPr>
            <w:tcW w:w="1340" w:type="dxa"/>
            <w:vAlign w:val="bottom"/>
          </w:tcPr>
          <w:p>
            <w:pPr>
              <w:jc w:val="right"/>
              <w:ind w:right="212"/>
              <w:spacing w:after="0"/>
              <w:rPr>
                <w:sz w:val="20"/>
                <w:szCs w:val="20"/>
                <w:color w:val="auto"/>
              </w:rPr>
            </w:pPr>
            <w:r>
              <w:rPr>
                <w:rFonts w:ascii="Arial" w:cs="Arial" w:eastAsia="Arial" w:hAnsi="Arial"/>
                <w:sz w:val="18"/>
                <w:szCs w:val="18"/>
                <w:b w:val="1"/>
                <w:bCs w:val="1"/>
                <w:color w:val="auto"/>
              </w:rPr>
              <w:t>More than</w:t>
            </w:r>
          </w:p>
        </w:tc>
      </w:tr>
      <w:tr>
        <w:trPr>
          <w:trHeight w:val="228"/>
        </w:trPr>
        <w:tc>
          <w:tcPr>
            <w:tcW w:w="45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4"/>
              </w:rPr>
              <w:t>2003</w:t>
            </w:r>
          </w:p>
        </w:tc>
        <w:tc>
          <w:tcPr>
            <w:tcW w:w="20" w:type="dxa"/>
            <w:vAlign w:val="bottom"/>
          </w:tcPr>
          <w:p>
            <w:pPr>
              <w:spacing w:after="0"/>
              <w:rPr>
                <w:sz w:val="19"/>
                <w:szCs w:val="19"/>
                <w:color w:val="auto"/>
              </w:rPr>
            </w:pPr>
          </w:p>
        </w:tc>
        <w:tc>
          <w:tcPr>
            <w:tcW w:w="1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1 year</w:t>
            </w:r>
          </w:p>
        </w:tc>
        <w:tc>
          <w:tcPr>
            <w:tcW w:w="1720" w:type="dxa"/>
            <w:vAlign w:val="bottom"/>
            <w:gridSpan w:val="3"/>
          </w:tcPr>
          <w:p>
            <w:pPr>
              <w:ind w:left="480"/>
              <w:spacing w:after="0"/>
              <w:rPr>
                <w:sz w:val="20"/>
                <w:szCs w:val="20"/>
                <w:color w:val="auto"/>
              </w:rPr>
            </w:pPr>
            <w:r>
              <w:rPr>
                <w:rFonts w:ascii="Arial" w:cs="Arial" w:eastAsia="Arial" w:hAnsi="Arial"/>
                <w:sz w:val="18"/>
                <w:szCs w:val="18"/>
                <w:b w:val="1"/>
                <w:bCs w:val="1"/>
                <w:color w:val="auto"/>
              </w:rPr>
              <w:t>years</w:t>
            </w:r>
          </w:p>
        </w:tc>
        <w:tc>
          <w:tcPr>
            <w:tcW w:w="1020" w:type="dxa"/>
            <w:vAlign w:val="bottom"/>
            <w:gridSpan w:val="2"/>
          </w:tcPr>
          <w:p>
            <w:pPr>
              <w:ind w:left="120"/>
              <w:spacing w:after="0"/>
              <w:rPr>
                <w:sz w:val="20"/>
                <w:szCs w:val="20"/>
                <w:color w:val="auto"/>
              </w:rPr>
            </w:pPr>
            <w:r>
              <w:rPr>
                <w:rFonts w:ascii="Arial" w:cs="Arial" w:eastAsia="Arial" w:hAnsi="Arial"/>
                <w:sz w:val="18"/>
                <w:szCs w:val="18"/>
                <w:b w:val="1"/>
                <w:bCs w:val="1"/>
                <w:color w:val="auto"/>
              </w:rPr>
              <w:t>years</w:t>
            </w:r>
          </w:p>
        </w:tc>
        <w:tc>
          <w:tcPr>
            <w:tcW w:w="1340" w:type="dxa"/>
            <w:vAlign w:val="bottom"/>
          </w:tcPr>
          <w:p>
            <w:pPr>
              <w:jc w:val="right"/>
              <w:ind w:right="312"/>
              <w:spacing w:after="0"/>
              <w:rPr>
                <w:sz w:val="20"/>
                <w:szCs w:val="20"/>
                <w:color w:val="auto"/>
              </w:rPr>
            </w:pPr>
            <w:r>
              <w:rPr>
                <w:rFonts w:ascii="Arial" w:cs="Arial" w:eastAsia="Arial" w:hAnsi="Arial"/>
                <w:sz w:val="18"/>
                <w:szCs w:val="18"/>
                <w:b w:val="1"/>
                <w:bCs w:val="1"/>
                <w:color w:val="auto"/>
              </w:rPr>
              <w:t>5 years</w:t>
            </w:r>
          </w:p>
        </w:tc>
      </w:tr>
      <w:tr>
        <w:trPr>
          <w:trHeight w:val="151"/>
        </w:trPr>
        <w:tc>
          <w:tcPr>
            <w:tcW w:w="4500" w:type="dxa"/>
            <w:vAlign w:val="bottom"/>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r>
      <w:tr>
        <w:trPr>
          <w:trHeight w:val="343"/>
        </w:trPr>
        <w:tc>
          <w:tcPr>
            <w:tcW w:w="4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40" w:type="dxa"/>
            <w:vAlign w:val="bottom"/>
            <w:gridSpan w:val="5"/>
          </w:tcPr>
          <w:p>
            <w:pPr>
              <w:jc w:val="center"/>
              <w:ind w:left="912"/>
              <w:spacing w:after="0"/>
              <w:rPr>
                <w:sz w:val="20"/>
                <w:szCs w:val="20"/>
                <w:color w:val="auto"/>
              </w:rPr>
            </w:pPr>
            <w:r>
              <w:rPr>
                <w:rFonts w:ascii="Arial" w:cs="Arial" w:eastAsia="Arial" w:hAnsi="Arial"/>
                <w:sz w:val="18"/>
                <w:szCs w:val="18"/>
                <w:i w:val="1"/>
                <w:iCs w:val="1"/>
                <w:color w:val="auto"/>
                <w:w w:val="90"/>
              </w:rPr>
              <w:t>(U.S. Dollars in thousands)</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43"/>
        </w:trPr>
        <w:tc>
          <w:tcPr>
            <w:tcW w:w="4500" w:type="dxa"/>
            <w:vAlign w:val="bottom"/>
          </w:tcPr>
          <w:p>
            <w:pPr>
              <w:spacing w:after="0"/>
              <w:rPr>
                <w:sz w:val="20"/>
                <w:szCs w:val="20"/>
                <w:color w:val="auto"/>
              </w:rPr>
            </w:pPr>
            <w:r>
              <w:rPr>
                <w:rFonts w:ascii="Arial" w:cs="Arial" w:eastAsia="Arial" w:hAnsi="Arial"/>
                <w:sz w:val="18"/>
                <w:szCs w:val="18"/>
                <w:color w:val="auto"/>
              </w:rPr>
              <w:t>Due to banks and correspondents</w:t>
            </w:r>
          </w:p>
        </w:tc>
        <w:tc>
          <w:tcPr>
            <w:tcW w:w="1340" w:type="dxa"/>
            <w:vAlign w:val="bottom"/>
          </w:tcPr>
          <w:p>
            <w:pPr>
              <w:jc w:val="right"/>
              <w:spacing w:after="0"/>
              <w:rPr>
                <w:sz w:val="20"/>
                <w:szCs w:val="20"/>
                <w:color w:val="auto"/>
              </w:rPr>
            </w:pPr>
            <w:r>
              <w:rPr>
                <w:rFonts w:ascii="Arial" w:cs="Arial" w:eastAsia="Arial" w:hAnsi="Arial"/>
                <w:sz w:val="18"/>
                <w:szCs w:val="18"/>
                <w:color w:val="auto"/>
              </w:rPr>
              <w:t>US$ 182,676</w:t>
            </w:r>
          </w:p>
        </w:tc>
        <w:tc>
          <w:tcPr>
            <w:tcW w:w="20" w:type="dxa"/>
            <w:vAlign w:val="bottom"/>
          </w:tcPr>
          <w:p>
            <w:pPr>
              <w:spacing w:after="0"/>
              <w:rPr>
                <w:sz w:val="21"/>
                <w:szCs w:val="21"/>
                <w:color w:val="auto"/>
              </w:rPr>
            </w:pPr>
          </w:p>
        </w:tc>
        <w:tc>
          <w:tcPr>
            <w:tcW w:w="1420" w:type="dxa"/>
            <w:vAlign w:val="bottom"/>
            <w:gridSpan w:val="2"/>
          </w:tcPr>
          <w:p>
            <w:pPr>
              <w:ind w:left="560"/>
              <w:spacing w:after="0"/>
              <w:rPr>
                <w:sz w:val="20"/>
                <w:szCs w:val="20"/>
                <w:color w:val="auto"/>
              </w:rPr>
            </w:pPr>
            <w:r>
              <w:rPr>
                <w:rFonts w:ascii="Arial" w:cs="Arial" w:eastAsia="Arial" w:hAnsi="Arial"/>
                <w:sz w:val="18"/>
                <w:szCs w:val="18"/>
                <w:color w:val="auto"/>
                <w:w w:val="88"/>
              </w:rPr>
              <w:t>US$ 55,656</w:t>
            </w:r>
          </w:p>
        </w:tc>
        <w:tc>
          <w:tcPr>
            <w:tcW w:w="1720" w:type="dxa"/>
            <w:vAlign w:val="bottom"/>
            <w:gridSpan w:val="3"/>
          </w:tcPr>
          <w:p>
            <w:pPr>
              <w:ind w:left="500"/>
              <w:spacing w:after="0"/>
              <w:rPr>
                <w:sz w:val="20"/>
                <w:szCs w:val="20"/>
                <w:color w:val="auto"/>
              </w:rPr>
            </w:pPr>
            <w:r>
              <w:rPr>
                <w:rFonts w:ascii="Arial" w:cs="Arial" w:eastAsia="Arial" w:hAnsi="Arial"/>
                <w:sz w:val="18"/>
                <w:szCs w:val="18"/>
                <w:color w:val="auto"/>
              </w:rPr>
              <w:t>US$ 68,921</w:t>
            </w:r>
          </w:p>
        </w:tc>
        <w:tc>
          <w:tcPr>
            <w:tcW w:w="1020" w:type="dxa"/>
            <w:vAlign w:val="bottom"/>
            <w:gridSpan w:val="2"/>
          </w:tcPr>
          <w:p>
            <w:pPr>
              <w:ind w:left="160"/>
              <w:spacing w:after="0"/>
              <w:rPr>
                <w:sz w:val="20"/>
                <w:szCs w:val="20"/>
                <w:color w:val="auto"/>
              </w:rPr>
            </w:pPr>
            <w:r>
              <w:rPr>
                <w:rFonts w:ascii="Arial" w:cs="Arial" w:eastAsia="Arial" w:hAnsi="Arial"/>
                <w:sz w:val="18"/>
                <w:szCs w:val="18"/>
                <w:color w:val="auto"/>
                <w:w w:val="88"/>
              </w:rPr>
              <w:t>US$ 53,855</w:t>
            </w:r>
          </w:p>
        </w:tc>
        <w:tc>
          <w:tcPr>
            <w:tcW w:w="1340" w:type="dxa"/>
            <w:vAlign w:val="bottom"/>
          </w:tcPr>
          <w:p>
            <w:pPr>
              <w:jc w:val="right"/>
              <w:spacing w:after="0"/>
              <w:rPr>
                <w:sz w:val="20"/>
                <w:szCs w:val="20"/>
                <w:color w:val="auto"/>
              </w:rPr>
            </w:pPr>
            <w:r>
              <w:rPr>
                <w:rFonts w:ascii="Arial" w:cs="Arial" w:eastAsia="Arial" w:hAnsi="Arial"/>
                <w:sz w:val="18"/>
                <w:szCs w:val="18"/>
                <w:color w:val="auto"/>
              </w:rPr>
              <w:t>US$ 4,244</w:t>
            </w:r>
          </w:p>
        </w:tc>
      </w:tr>
      <w:tr>
        <w:trPr>
          <w:trHeight w:val="243"/>
        </w:trPr>
        <w:tc>
          <w:tcPr>
            <w:tcW w:w="4500" w:type="dxa"/>
            <w:vAlign w:val="bottom"/>
          </w:tcPr>
          <w:p>
            <w:pPr>
              <w:spacing w:after="0"/>
              <w:rPr>
                <w:sz w:val="20"/>
                <w:szCs w:val="20"/>
                <w:color w:val="auto"/>
              </w:rPr>
            </w:pPr>
            <w:r>
              <w:rPr>
                <w:rFonts w:ascii="Arial" w:cs="Arial" w:eastAsia="Arial" w:hAnsi="Arial"/>
                <w:sz w:val="18"/>
                <w:szCs w:val="18"/>
                <w:color w:val="auto"/>
              </w:rPr>
              <w:t>Promotional credit lines</w:t>
            </w:r>
          </w:p>
        </w:tc>
        <w:tc>
          <w:tcPr>
            <w:tcW w:w="1340" w:type="dxa"/>
            <w:vAlign w:val="bottom"/>
          </w:tcPr>
          <w:p>
            <w:pPr>
              <w:jc w:val="right"/>
              <w:spacing w:after="0"/>
              <w:rPr>
                <w:sz w:val="20"/>
                <w:szCs w:val="20"/>
                <w:color w:val="auto"/>
              </w:rPr>
            </w:pPr>
            <w:r>
              <w:rPr>
                <w:rFonts w:ascii="Arial" w:cs="Arial" w:eastAsia="Arial" w:hAnsi="Arial"/>
                <w:sz w:val="18"/>
                <w:szCs w:val="18"/>
                <w:color w:val="auto"/>
              </w:rPr>
              <w:t>59,164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8,761</w:t>
            </w:r>
          </w:p>
        </w:tc>
        <w:tc>
          <w:tcPr>
            <w:tcW w:w="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5,620</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9,231</w:t>
            </w:r>
          </w:p>
        </w:tc>
        <w:tc>
          <w:tcPr>
            <w:tcW w:w="1340" w:type="dxa"/>
            <w:vAlign w:val="bottom"/>
          </w:tcPr>
          <w:p>
            <w:pPr>
              <w:jc w:val="right"/>
              <w:spacing w:after="0"/>
              <w:rPr>
                <w:sz w:val="20"/>
                <w:szCs w:val="20"/>
                <w:color w:val="auto"/>
              </w:rPr>
            </w:pPr>
            <w:r>
              <w:rPr>
                <w:rFonts w:ascii="Arial" w:cs="Arial" w:eastAsia="Arial" w:hAnsi="Arial"/>
                <w:sz w:val="18"/>
                <w:szCs w:val="18"/>
                <w:color w:val="auto"/>
              </w:rPr>
              <w:t>35.552</w:t>
            </w:r>
          </w:p>
        </w:tc>
      </w:tr>
      <w:tr>
        <w:trPr>
          <w:trHeight w:val="243"/>
        </w:trPr>
        <w:tc>
          <w:tcPr>
            <w:tcW w:w="4500" w:type="dxa"/>
            <w:vAlign w:val="bottom"/>
          </w:tcPr>
          <w:p>
            <w:pPr>
              <w:spacing w:after="0"/>
              <w:rPr>
                <w:sz w:val="20"/>
                <w:szCs w:val="20"/>
                <w:color w:val="auto"/>
              </w:rPr>
            </w:pPr>
            <w:r>
              <w:rPr>
                <w:rFonts w:ascii="Arial" w:cs="Arial" w:eastAsia="Arial" w:hAnsi="Arial"/>
                <w:sz w:val="18"/>
                <w:szCs w:val="18"/>
                <w:color w:val="auto"/>
              </w:rPr>
              <w:t>Overnight funds</w:t>
            </w:r>
          </w:p>
        </w:tc>
        <w:tc>
          <w:tcPr>
            <w:tcW w:w="1340" w:type="dxa"/>
            <w:vAlign w:val="bottom"/>
          </w:tcPr>
          <w:p>
            <w:pPr>
              <w:jc w:val="right"/>
              <w:spacing w:after="0"/>
              <w:rPr>
                <w:sz w:val="20"/>
                <w:szCs w:val="20"/>
                <w:color w:val="auto"/>
              </w:rPr>
            </w:pPr>
            <w:r>
              <w:rPr>
                <w:rFonts w:ascii="Arial" w:cs="Arial" w:eastAsia="Arial" w:hAnsi="Arial"/>
                <w:sz w:val="18"/>
                <w:szCs w:val="18"/>
                <w:color w:val="auto"/>
              </w:rPr>
              <w:t>28,618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28,618</w:t>
            </w:r>
          </w:p>
        </w:tc>
        <w:tc>
          <w:tcPr>
            <w:tcW w:w="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13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43"/>
        </w:trPr>
        <w:tc>
          <w:tcPr>
            <w:tcW w:w="4500" w:type="dxa"/>
            <w:vAlign w:val="bottom"/>
          </w:tcPr>
          <w:p>
            <w:pPr>
              <w:spacing w:after="0"/>
              <w:rPr>
                <w:sz w:val="20"/>
                <w:szCs w:val="20"/>
                <w:color w:val="auto"/>
              </w:rPr>
            </w:pPr>
            <w:r>
              <w:rPr>
                <w:rFonts w:ascii="Arial" w:cs="Arial" w:eastAsia="Arial" w:hAnsi="Arial"/>
                <w:sz w:val="18"/>
                <w:szCs w:val="18"/>
                <w:color w:val="auto"/>
              </w:rPr>
              <w:t>Loans from multilateral organizations</w:t>
            </w:r>
          </w:p>
        </w:tc>
        <w:tc>
          <w:tcPr>
            <w:tcW w:w="1340" w:type="dxa"/>
            <w:vAlign w:val="bottom"/>
          </w:tcPr>
          <w:p>
            <w:pPr>
              <w:jc w:val="right"/>
              <w:spacing w:after="0"/>
              <w:rPr>
                <w:sz w:val="20"/>
                <w:szCs w:val="20"/>
                <w:color w:val="auto"/>
              </w:rPr>
            </w:pPr>
            <w:r>
              <w:rPr>
                <w:rFonts w:ascii="Arial" w:cs="Arial" w:eastAsia="Arial" w:hAnsi="Arial"/>
                <w:sz w:val="18"/>
                <w:szCs w:val="18"/>
                <w:color w:val="auto"/>
              </w:rPr>
              <w:t>3,276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3,276</w:t>
            </w:r>
          </w:p>
        </w:tc>
        <w:tc>
          <w:tcPr>
            <w:tcW w:w="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13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86"/>
        </w:trPr>
        <w:tc>
          <w:tcPr>
            <w:tcW w:w="4500" w:type="dxa"/>
            <w:vAlign w:val="bottom"/>
          </w:tcPr>
          <w:p>
            <w:pPr>
              <w:spacing w:after="0"/>
              <w:rPr>
                <w:sz w:val="20"/>
                <w:szCs w:val="20"/>
                <w:color w:val="auto"/>
              </w:rPr>
            </w:pPr>
            <w:r>
              <w:rPr>
                <w:rFonts w:ascii="Arial" w:cs="Arial" w:eastAsia="Arial" w:hAnsi="Arial"/>
                <w:sz w:val="18"/>
                <w:szCs w:val="18"/>
                <w:color w:val="auto"/>
              </w:rPr>
              <w:t>Total</w:t>
            </w:r>
          </w:p>
        </w:tc>
        <w:tc>
          <w:tcPr>
            <w:tcW w:w="1340" w:type="dxa"/>
            <w:vAlign w:val="bottom"/>
          </w:tcPr>
          <w:p>
            <w:pPr>
              <w:jc w:val="right"/>
              <w:spacing w:after="0"/>
              <w:rPr>
                <w:sz w:val="20"/>
                <w:szCs w:val="20"/>
                <w:color w:val="auto"/>
              </w:rPr>
            </w:pPr>
            <w:r>
              <w:rPr>
                <w:rFonts w:ascii="Arial" w:cs="Arial" w:eastAsia="Arial" w:hAnsi="Arial"/>
                <w:sz w:val="18"/>
                <w:szCs w:val="18"/>
                <w:color w:val="auto"/>
              </w:rPr>
              <w:t>US$ 273,734</w:t>
            </w:r>
          </w:p>
        </w:tc>
        <w:tc>
          <w:tcPr>
            <w:tcW w:w="20" w:type="dxa"/>
            <w:vAlign w:val="bottom"/>
          </w:tcPr>
          <w:p>
            <w:pPr>
              <w:spacing w:after="0"/>
              <w:rPr>
                <w:sz w:val="24"/>
                <w:szCs w:val="24"/>
                <w:color w:val="auto"/>
              </w:rPr>
            </w:pPr>
          </w:p>
        </w:tc>
        <w:tc>
          <w:tcPr>
            <w:tcW w:w="1420" w:type="dxa"/>
            <w:vAlign w:val="bottom"/>
            <w:gridSpan w:val="2"/>
          </w:tcPr>
          <w:p>
            <w:pPr>
              <w:ind w:left="560"/>
              <w:spacing w:after="0"/>
              <w:rPr>
                <w:sz w:val="20"/>
                <w:szCs w:val="20"/>
                <w:color w:val="auto"/>
              </w:rPr>
            </w:pPr>
            <w:r>
              <w:rPr>
                <w:rFonts w:ascii="Arial" w:cs="Arial" w:eastAsia="Arial" w:hAnsi="Arial"/>
                <w:sz w:val="18"/>
                <w:szCs w:val="18"/>
                <w:color w:val="auto"/>
                <w:w w:val="88"/>
              </w:rPr>
              <w:t>US$ 96,311</w:t>
            </w:r>
          </w:p>
        </w:tc>
        <w:tc>
          <w:tcPr>
            <w:tcW w:w="1720" w:type="dxa"/>
            <w:vAlign w:val="bottom"/>
            <w:gridSpan w:val="3"/>
          </w:tcPr>
          <w:p>
            <w:pPr>
              <w:ind w:left="500"/>
              <w:spacing w:after="0"/>
              <w:rPr>
                <w:sz w:val="20"/>
                <w:szCs w:val="20"/>
                <w:color w:val="auto"/>
              </w:rPr>
            </w:pPr>
            <w:r>
              <w:rPr>
                <w:rFonts w:ascii="Arial" w:cs="Arial" w:eastAsia="Arial" w:hAnsi="Arial"/>
                <w:sz w:val="18"/>
                <w:szCs w:val="18"/>
                <w:color w:val="auto"/>
              </w:rPr>
              <w:t>US$ 74,541</w:t>
            </w:r>
          </w:p>
        </w:tc>
        <w:tc>
          <w:tcPr>
            <w:tcW w:w="1020" w:type="dxa"/>
            <w:vAlign w:val="bottom"/>
            <w:gridSpan w:val="2"/>
          </w:tcPr>
          <w:p>
            <w:pPr>
              <w:ind w:left="160"/>
              <w:spacing w:after="0"/>
              <w:rPr>
                <w:sz w:val="20"/>
                <w:szCs w:val="20"/>
                <w:color w:val="auto"/>
              </w:rPr>
            </w:pPr>
            <w:r>
              <w:rPr>
                <w:rFonts w:ascii="Arial" w:cs="Arial" w:eastAsia="Arial" w:hAnsi="Arial"/>
                <w:sz w:val="18"/>
                <w:szCs w:val="18"/>
                <w:color w:val="auto"/>
                <w:w w:val="88"/>
              </w:rPr>
              <w:t>US$ 63,086</w:t>
            </w:r>
          </w:p>
        </w:tc>
        <w:tc>
          <w:tcPr>
            <w:tcW w:w="1340" w:type="dxa"/>
            <w:vAlign w:val="bottom"/>
          </w:tcPr>
          <w:p>
            <w:pPr>
              <w:jc w:val="right"/>
              <w:spacing w:after="0"/>
              <w:rPr>
                <w:sz w:val="20"/>
                <w:szCs w:val="20"/>
                <w:color w:val="auto"/>
              </w:rPr>
            </w:pPr>
            <w:r>
              <w:rPr>
                <w:rFonts w:ascii="Arial" w:cs="Arial" w:eastAsia="Arial" w:hAnsi="Arial"/>
                <w:sz w:val="18"/>
                <w:szCs w:val="18"/>
                <w:color w:val="auto"/>
              </w:rPr>
              <w:t>US$ 39,796</w:t>
            </w:r>
          </w:p>
        </w:tc>
      </w:tr>
      <w:tr>
        <w:trPr>
          <w:trHeight w:val="147"/>
        </w:trPr>
        <w:tc>
          <w:tcPr>
            <w:tcW w:w="4500" w:type="dxa"/>
            <w:vAlign w:val="bottom"/>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-1875155</wp:posOffset>
            </wp:positionV>
            <wp:extent cx="34290" cy="342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3714115</wp:posOffset>
            </wp:positionH>
            <wp:positionV relativeFrom="paragraph">
              <wp:posOffset>-1275080</wp:posOffset>
            </wp:positionV>
            <wp:extent cx="34290" cy="342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4614545</wp:posOffset>
            </wp:positionH>
            <wp:positionV relativeFrom="paragraph">
              <wp:posOffset>-1275080</wp:posOffset>
            </wp:positionV>
            <wp:extent cx="34290" cy="342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-1275080</wp:posOffset>
            </wp:positionV>
            <wp:extent cx="34290" cy="342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-1275080</wp:posOffset>
            </wp:positionV>
            <wp:extent cx="34290" cy="342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-1275080</wp:posOffset>
            </wp:positionV>
            <wp:extent cx="34290" cy="342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-14605</wp:posOffset>
            </wp:positionV>
            <wp:extent cx="1270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2884805</wp:posOffset>
            </wp:positionH>
            <wp:positionV relativeFrom="paragraph">
              <wp:posOffset>-14605</wp:posOffset>
            </wp:positionV>
            <wp:extent cx="1270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-14605</wp:posOffset>
            </wp:positionV>
            <wp:extent cx="1270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-14605</wp:posOffset>
            </wp:positionV>
            <wp:extent cx="1270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-14605</wp:posOffset>
            </wp:positionV>
            <wp:extent cx="1270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-14605</wp:posOffset>
            </wp:positionV>
            <wp:extent cx="1270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-14605</wp:posOffset>
            </wp:positionV>
            <wp:extent cx="1270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-14605</wp:posOffset>
            </wp:positionV>
            <wp:extent cx="1270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-14605</wp:posOffset>
            </wp:positionV>
            <wp:extent cx="1270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-14605</wp:posOffset>
            </wp:positionV>
            <wp:extent cx="1270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The balance of the Due to banks and correspondents caption in the table above, correspond to the following operations:</w:t>
      </w:r>
    </w:p>
    <w:p>
      <w:pPr>
        <w:spacing w:after="0" w:line="252" w:lineRule="exact"/>
        <w:rPr>
          <w:sz w:val="20"/>
          <w:szCs w:val="20"/>
          <w:color w:val="auto"/>
        </w:rPr>
      </w:pPr>
    </w:p>
    <w:p>
      <w:pPr>
        <w:ind w:left="540" w:right="320"/>
        <w:spacing w:after="0" w:line="299" w:lineRule="auto"/>
        <w:rPr>
          <w:sz w:val="20"/>
          <w:szCs w:val="20"/>
          <w:color w:val="auto"/>
        </w:rPr>
      </w:pPr>
      <w:r>
        <w:rPr>
          <w:rFonts w:ascii="Arial" w:cs="Arial" w:eastAsia="Arial" w:hAnsi="Arial"/>
          <w:sz w:val="18"/>
          <w:szCs w:val="18"/>
          <w:color w:val="auto"/>
        </w:rPr>
        <w:t>Bank loans obtained by Credicorp mainly to finance foreign trade and working capital amounted to US$84.1 million in 2003 and US$103.5 million in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-291465</wp:posOffset>
            </wp:positionV>
            <wp:extent cx="68580" cy="6858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347" w:right="239" w:bottom="1440" w:gutter="0" w:footer="0" w:header="0"/>
        </w:sectPr>
      </w:pPr>
    </w:p>
    <w:bookmarkStart w:id="99" w:name="page100"/>
    <w:bookmarkEnd w:id="99"/>
    <w:p>
      <w:pPr>
        <w:jc w:val="both"/>
        <w:ind w:left="540"/>
        <w:spacing w:after="0" w:line="306" w:lineRule="auto"/>
        <w:rPr>
          <w:sz w:val="20"/>
          <w:szCs w:val="20"/>
          <w:color w:val="auto"/>
        </w:rPr>
      </w:pPr>
      <w:r>
        <w:rPr>
          <w:rFonts w:ascii="Arial" w:cs="Arial" w:eastAsia="Arial" w:hAnsi="Arial"/>
          <w:sz w:val="16"/>
          <w:szCs w:val="16"/>
          <w:color w:val="auto"/>
        </w:rPr>
        <w:t>A loan transaction made in November 1998, amounting to US$100 million, with maturities until November 2005, secured by the collection of BCP’s future inflows corresponding to the consumption and cash advances made in Perú through Visa credit cards issued by foreign banks. This transaction bears an annual interest rate of 5.74%. As of December 31, 2003, the securitization obligation amounted to US$33.3 million (US$48.4 million in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-410845</wp:posOffset>
            </wp:positionV>
            <wp:extent cx="68580" cy="6858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8" w:lineRule="exact"/>
        <w:rPr>
          <w:sz w:val="20"/>
          <w:szCs w:val="20"/>
          <w:color w:val="auto"/>
        </w:rPr>
      </w:pPr>
    </w:p>
    <w:p>
      <w:pPr>
        <w:jc w:val="both"/>
        <w:ind w:left="540"/>
        <w:spacing w:after="0" w:line="256" w:lineRule="auto"/>
        <w:rPr>
          <w:sz w:val="20"/>
          <w:szCs w:val="20"/>
          <w:color w:val="auto"/>
        </w:rPr>
      </w:pPr>
      <w:r>
        <w:rPr>
          <w:rFonts w:ascii="Arial" w:cs="Arial" w:eastAsia="Arial" w:hAnsi="Arial"/>
          <w:sz w:val="18"/>
          <w:szCs w:val="18"/>
          <w:color w:val="auto"/>
        </w:rPr>
        <w:t>A securitization transaction amounting to US$100 million made by BCP in January 2001, amortizing through January 2008. This transaction corresponds to the future collection of payment orders in U.S. Dollars related to the transfers of funds received from banks located outside Perú. This transaction bears monthly interest rates that fluctuated between 1.44% and 1.83% in 2003 (between 1.73% and 2.41% in 2002). As of December 31, 2003, the balance of this obligation amounted to US$65.3 million and US$78.2 million in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-524510</wp:posOffset>
            </wp:positionV>
            <wp:extent cx="68580" cy="6858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77" w:lineRule="exact"/>
        <w:rPr>
          <w:sz w:val="20"/>
          <w:szCs w:val="20"/>
          <w:color w:val="auto"/>
        </w:rPr>
      </w:pPr>
    </w:p>
    <w:p>
      <w:pPr>
        <w:jc w:val="both"/>
        <w:ind w:firstLine="276"/>
        <w:spacing w:after="0" w:line="306" w:lineRule="auto"/>
        <w:rPr>
          <w:sz w:val="20"/>
          <w:szCs w:val="20"/>
          <w:color w:val="auto"/>
        </w:rPr>
      </w:pPr>
      <w:r>
        <w:rPr>
          <w:rFonts w:ascii="Arial" w:cs="Arial" w:eastAsia="Arial" w:hAnsi="Arial"/>
          <w:sz w:val="16"/>
          <w:szCs w:val="16"/>
          <w:color w:val="auto"/>
        </w:rPr>
        <w:t>Promotional credit lines represent loans granted to BCP by COFIDE and the Inter-american Development Bank, for promoting the development of specific activities in Perú. As of December 31, 2003, these credit lines are guaranteed with loans by BCP to customers amounting to US$43.2 million (US$18.4 million in 2002), and include covenants specifying the use of funds, financial conditions that the borrower must maintain and other administrative matters.</w:t>
      </w:r>
    </w:p>
    <w:p>
      <w:pPr>
        <w:spacing w:after="0" w:line="161" w:lineRule="exact"/>
        <w:rPr>
          <w:sz w:val="20"/>
          <w:szCs w:val="20"/>
          <w:color w:val="auto"/>
        </w:rPr>
      </w:pPr>
    </w:p>
    <w:p>
      <w:pPr>
        <w:jc w:val="right"/>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DIRECTORS, SENIOR MANAGEMENT AND EMPLOYEES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Directors and Senior Management</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current Directors of Credicorp.</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40" w:type="dxa"/>
            <w:vAlign w:val="bottom"/>
          </w:tcPr>
          <w:p>
            <w:pPr>
              <w:jc w:val="center"/>
              <w:spacing w:after="0"/>
              <w:rPr>
                <w:sz w:val="20"/>
                <w:szCs w:val="20"/>
                <w:color w:val="auto"/>
              </w:rPr>
            </w:pPr>
            <w:r>
              <w:rPr>
                <w:rFonts w:ascii="Arial" w:cs="Arial" w:eastAsia="Arial" w:hAnsi="Arial"/>
                <w:sz w:val="18"/>
                <w:szCs w:val="18"/>
                <w:b w:val="1"/>
                <w:bCs w:val="1"/>
                <w:color w:val="auto"/>
                <w:w w:val="84"/>
              </w:rPr>
              <w:t>Years served as a</w:t>
            </w:r>
          </w:p>
        </w:tc>
      </w:tr>
      <w:tr>
        <w:trPr>
          <w:trHeight w:val="228"/>
        </w:trPr>
        <w:tc>
          <w:tcPr>
            <w:tcW w:w="4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b w:val="1"/>
                <w:bCs w:val="1"/>
                <w:color w:val="auto"/>
              </w:rPr>
              <w:t>Position</w:t>
            </w:r>
          </w:p>
        </w:tc>
        <w:tc>
          <w:tcPr>
            <w:tcW w:w="40" w:type="dxa"/>
            <w:vAlign w:val="bottom"/>
          </w:tcPr>
          <w:p>
            <w:pPr>
              <w:spacing w:after="0"/>
              <w:rPr>
                <w:sz w:val="19"/>
                <w:szCs w:val="19"/>
                <w:color w:val="auto"/>
              </w:rPr>
            </w:pPr>
          </w:p>
        </w:tc>
        <w:tc>
          <w:tcPr>
            <w:tcW w:w="3740" w:type="dxa"/>
            <w:vAlign w:val="bottom"/>
          </w:tcPr>
          <w:p>
            <w:pPr>
              <w:jc w:val="center"/>
              <w:spacing w:after="0"/>
              <w:rPr>
                <w:sz w:val="20"/>
                <w:szCs w:val="20"/>
                <w:color w:val="auto"/>
              </w:rPr>
            </w:pPr>
            <w:r>
              <w:rPr>
                <w:rFonts w:ascii="Arial" w:cs="Arial" w:eastAsia="Arial" w:hAnsi="Arial"/>
                <w:sz w:val="18"/>
                <w:szCs w:val="18"/>
                <w:b w:val="1"/>
                <w:bCs w:val="1"/>
                <w:color w:val="auto"/>
                <w:w w:val="92"/>
              </w:rPr>
              <w:t>Director(1)</w:t>
            </w:r>
          </w:p>
        </w:tc>
      </w:tr>
      <w:tr>
        <w:trPr>
          <w:trHeight w:val="137"/>
        </w:trPr>
        <w:tc>
          <w:tcPr>
            <w:tcW w:w="40" w:type="dxa"/>
            <w:vAlign w:val="bottom"/>
          </w:tcPr>
          <w:p>
            <w:pPr>
              <w:spacing w:after="0"/>
              <w:rPr>
                <w:sz w:val="11"/>
                <w:szCs w:val="11"/>
                <w:color w:val="auto"/>
              </w:rPr>
            </w:pPr>
          </w:p>
        </w:tc>
        <w:tc>
          <w:tcPr>
            <w:tcW w:w="392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6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3740" w:type="dxa"/>
            <w:vAlign w:val="bottom"/>
            <w:tcBorders>
              <w:bottom w:val="single" w:sz="8" w:color="9A9A9A"/>
            </w:tcBorders>
          </w:tcPr>
          <w:p>
            <w:pPr>
              <w:spacing w:after="0"/>
              <w:rPr>
                <w:sz w:val="11"/>
                <w:szCs w:val="11"/>
                <w:color w:val="auto"/>
              </w:rPr>
            </w:pPr>
          </w:p>
        </w:tc>
      </w:tr>
      <w:tr>
        <w:trPr>
          <w:trHeight w:val="343"/>
        </w:trPr>
        <w:tc>
          <w:tcPr>
            <w:tcW w:w="40" w:type="dxa"/>
            <w:vAlign w:val="bottom"/>
          </w:tcPr>
          <w:p>
            <w:pPr>
              <w:spacing w:after="0"/>
              <w:rPr>
                <w:sz w:val="24"/>
                <w:szCs w:val="24"/>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Dionisio Romero</w:t>
            </w:r>
          </w:p>
        </w:tc>
        <w:tc>
          <w:tcPr>
            <w:tcW w:w="2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Chairman</w:t>
            </w:r>
          </w:p>
        </w:tc>
        <w:tc>
          <w:tcPr>
            <w:tcW w:w="3780" w:type="dxa"/>
            <w:vAlign w:val="bottom"/>
            <w:gridSpan w:val="2"/>
          </w:tcPr>
          <w:p>
            <w:pPr>
              <w:jc w:val="center"/>
              <w:spacing w:after="0"/>
              <w:rPr>
                <w:sz w:val="20"/>
                <w:szCs w:val="20"/>
                <w:color w:val="auto"/>
              </w:rPr>
            </w:pPr>
            <w:r>
              <w:rPr>
                <w:rFonts w:ascii="Arial" w:cs="Arial" w:eastAsia="Arial" w:hAnsi="Arial"/>
                <w:sz w:val="18"/>
                <w:szCs w:val="18"/>
                <w:color w:val="auto"/>
                <w:w w:val="79"/>
              </w:rPr>
              <w:t>34</w:t>
            </w:r>
          </w:p>
        </w:tc>
      </w:tr>
      <w:tr>
        <w:trPr>
          <w:trHeight w:val="243"/>
        </w:trPr>
        <w:tc>
          <w:tcPr>
            <w:tcW w:w="40" w:type="dxa"/>
            <w:vAlign w:val="bottom"/>
          </w:tcPr>
          <w:p>
            <w:pPr>
              <w:spacing w:after="0"/>
              <w:rPr>
                <w:sz w:val="21"/>
                <w:szCs w:val="21"/>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Luis Nicolini</w:t>
            </w:r>
          </w:p>
        </w:tc>
        <w:tc>
          <w:tcPr>
            <w:tcW w:w="20" w:type="dxa"/>
            <w:vAlign w:val="bottom"/>
          </w:tcPr>
          <w:p>
            <w:pPr>
              <w:spacing w:after="0"/>
              <w:rPr>
                <w:sz w:val="21"/>
                <w:szCs w:val="21"/>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Deputy Chairman</w:t>
            </w:r>
          </w:p>
        </w:tc>
        <w:tc>
          <w:tcPr>
            <w:tcW w:w="3780" w:type="dxa"/>
            <w:vAlign w:val="bottom"/>
            <w:gridSpan w:val="2"/>
          </w:tcPr>
          <w:p>
            <w:pPr>
              <w:jc w:val="center"/>
              <w:spacing w:after="0"/>
              <w:rPr>
                <w:sz w:val="20"/>
                <w:szCs w:val="20"/>
                <w:color w:val="auto"/>
              </w:rPr>
            </w:pPr>
            <w:r>
              <w:rPr>
                <w:rFonts w:ascii="Arial" w:cs="Arial" w:eastAsia="Arial" w:hAnsi="Arial"/>
                <w:sz w:val="18"/>
                <w:szCs w:val="18"/>
                <w:color w:val="auto"/>
                <w:w w:val="79"/>
              </w:rPr>
              <w:t>28</w:t>
            </w:r>
          </w:p>
        </w:tc>
      </w:tr>
      <w:tr>
        <w:trPr>
          <w:trHeight w:val="243"/>
        </w:trPr>
        <w:tc>
          <w:tcPr>
            <w:tcW w:w="40" w:type="dxa"/>
            <w:vAlign w:val="bottom"/>
          </w:tcPr>
          <w:p>
            <w:pPr>
              <w:spacing w:after="0"/>
              <w:rPr>
                <w:sz w:val="21"/>
                <w:szCs w:val="21"/>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Fernando Fort</w:t>
            </w:r>
          </w:p>
        </w:tc>
        <w:tc>
          <w:tcPr>
            <w:tcW w:w="20" w:type="dxa"/>
            <w:vAlign w:val="bottom"/>
          </w:tcPr>
          <w:p>
            <w:pPr>
              <w:spacing w:after="0"/>
              <w:rPr>
                <w:sz w:val="21"/>
                <w:szCs w:val="21"/>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Director</w:t>
            </w:r>
          </w:p>
        </w:tc>
        <w:tc>
          <w:tcPr>
            <w:tcW w:w="3780" w:type="dxa"/>
            <w:vAlign w:val="bottom"/>
            <w:gridSpan w:val="2"/>
          </w:tcPr>
          <w:p>
            <w:pPr>
              <w:jc w:val="center"/>
              <w:spacing w:after="0"/>
              <w:rPr>
                <w:sz w:val="20"/>
                <w:szCs w:val="20"/>
                <w:color w:val="auto"/>
              </w:rPr>
            </w:pPr>
            <w:r>
              <w:rPr>
                <w:rFonts w:ascii="Arial" w:cs="Arial" w:eastAsia="Arial" w:hAnsi="Arial"/>
                <w:sz w:val="18"/>
                <w:szCs w:val="18"/>
                <w:color w:val="auto"/>
                <w:w w:val="79"/>
              </w:rPr>
              <w:t>22</w:t>
            </w:r>
          </w:p>
        </w:tc>
      </w:tr>
      <w:tr>
        <w:trPr>
          <w:trHeight w:val="243"/>
        </w:trPr>
        <w:tc>
          <w:tcPr>
            <w:tcW w:w="40" w:type="dxa"/>
            <w:vAlign w:val="bottom"/>
          </w:tcPr>
          <w:p>
            <w:pPr>
              <w:spacing w:after="0"/>
              <w:rPr>
                <w:sz w:val="21"/>
                <w:szCs w:val="21"/>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Reynaldo Llosa</w:t>
            </w:r>
          </w:p>
        </w:tc>
        <w:tc>
          <w:tcPr>
            <w:tcW w:w="20" w:type="dxa"/>
            <w:vAlign w:val="bottom"/>
          </w:tcPr>
          <w:p>
            <w:pPr>
              <w:spacing w:after="0"/>
              <w:rPr>
                <w:sz w:val="21"/>
                <w:szCs w:val="21"/>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Director</w:t>
            </w:r>
          </w:p>
        </w:tc>
        <w:tc>
          <w:tcPr>
            <w:tcW w:w="3780" w:type="dxa"/>
            <w:vAlign w:val="bottom"/>
            <w:gridSpan w:val="2"/>
          </w:tcPr>
          <w:p>
            <w:pPr>
              <w:jc w:val="center"/>
              <w:spacing w:after="0"/>
              <w:rPr>
                <w:sz w:val="20"/>
                <w:szCs w:val="20"/>
                <w:color w:val="auto"/>
              </w:rPr>
            </w:pPr>
            <w:r>
              <w:rPr>
                <w:rFonts w:ascii="Arial" w:cs="Arial" w:eastAsia="Arial" w:hAnsi="Arial"/>
                <w:sz w:val="18"/>
                <w:szCs w:val="18"/>
                <w:color w:val="auto"/>
                <w:w w:val="79"/>
              </w:rPr>
              <w:t>21</w:t>
            </w:r>
          </w:p>
        </w:tc>
      </w:tr>
      <w:tr>
        <w:trPr>
          <w:trHeight w:val="243"/>
        </w:trPr>
        <w:tc>
          <w:tcPr>
            <w:tcW w:w="40" w:type="dxa"/>
            <w:vAlign w:val="bottom"/>
          </w:tcPr>
          <w:p>
            <w:pPr>
              <w:spacing w:after="0"/>
              <w:rPr>
                <w:sz w:val="21"/>
                <w:szCs w:val="21"/>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Juan Carlos Verme</w:t>
            </w:r>
          </w:p>
        </w:tc>
        <w:tc>
          <w:tcPr>
            <w:tcW w:w="20" w:type="dxa"/>
            <w:vAlign w:val="bottom"/>
          </w:tcPr>
          <w:p>
            <w:pPr>
              <w:spacing w:after="0"/>
              <w:rPr>
                <w:sz w:val="21"/>
                <w:szCs w:val="21"/>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Director</w:t>
            </w:r>
          </w:p>
        </w:tc>
        <w:tc>
          <w:tcPr>
            <w:tcW w:w="3780" w:type="dxa"/>
            <w:vAlign w:val="bottom"/>
            <w:gridSpan w:val="2"/>
          </w:tcPr>
          <w:p>
            <w:pPr>
              <w:jc w:val="center"/>
              <w:spacing w:after="0"/>
              <w:rPr>
                <w:sz w:val="20"/>
                <w:szCs w:val="20"/>
                <w:color w:val="auto"/>
              </w:rPr>
            </w:pPr>
            <w:r>
              <w:rPr>
                <w:rFonts w:ascii="Arial" w:cs="Arial" w:eastAsia="Arial" w:hAnsi="Arial"/>
                <w:sz w:val="18"/>
                <w:szCs w:val="18"/>
                <w:color w:val="auto"/>
                <w:w w:val="79"/>
              </w:rPr>
              <w:t>14</w:t>
            </w:r>
          </w:p>
        </w:tc>
      </w:tr>
      <w:tr>
        <w:trPr>
          <w:trHeight w:val="243"/>
        </w:trPr>
        <w:tc>
          <w:tcPr>
            <w:tcW w:w="40" w:type="dxa"/>
            <w:vAlign w:val="bottom"/>
          </w:tcPr>
          <w:p>
            <w:pPr>
              <w:spacing w:after="0"/>
              <w:rPr>
                <w:sz w:val="21"/>
                <w:szCs w:val="21"/>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Luis Enrique Yarur</w:t>
            </w:r>
          </w:p>
        </w:tc>
        <w:tc>
          <w:tcPr>
            <w:tcW w:w="20" w:type="dxa"/>
            <w:vAlign w:val="bottom"/>
          </w:tcPr>
          <w:p>
            <w:pPr>
              <w:spacing w:after="0"/>
              <w:rPr>
                <w:sz w:val="21"/>
                <w:szCs w:val="21"/>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Director</w:t>
            </w:r>
          </w:p>
        </w:tc>
        <w:tc>
          <w:tcPr>
            <w:tcW w:w="3780" w:type="dxa"/>
            <w:vAlign w:val="bottom"/>
            <w:gridSpan w:val="2"/>
          </w:tcPr>
          <w:p>
            <w:pPr>
              <w:jc w:val="center"/>
              <w:spacing w:after="0"/>
              <w:rPr>
                <w:sz w:val="20"/>
                <w:szCs w:val="20"/>
                <w:color w:val="auto"/>
              </w:rPr>
            </w:pPr>
            <w:r>
              <w:rPr>
                <w:rFonts w:ascii="Arial" w:cs="Arial" w:eastAsia="Arial" w:hAnsi="Arial"/>
                <w:sz w:val="18"/>
                <w:szCs w:val="18"/>
                <w:color w:val="auto"/>
                <w:w w:val="79"/>
              </w:rPr>
              <w:t>8</w:t>
            </w:r>
          </w:p>
        </w:tc>
      </w:tr>
      <w:tr>
        <w:trPr>
          <w:trHeight w:val="243"/>
        </w:trPr>
        <w:tc>
          <w:tcPr>
            <w:tcW w:w="3960" w:type="dxa"/>
            <w:vAlign w:val="bottom"/>
            <w:gridSpan w:val="2"/>
          </w:tcPr>
          <w:p>
            <w:pPr>
              <w:jc w:val="right"/>
              <w:ind w:right="2192"/>
              <w:spacing w:after="0"/>
              <w:rPr>
                <w:sz w:val="20"/>
                <w:szCs w:val="20"/>
                <w:color w:val="auto"/>
              </w:rPr>
            </w:pPr>
            <w:r>
              <w:rPr>
                <w:rFonts w:ascii="Arial" w:cs="Arial" w:eastAsia="Arial" w:hAnsi="Arial"/>
                <w:sz w:val="18"/>
                <w:szCs w:val="18"/>
                <w:color w:val="auto"/>
                <w:w w:val="87"/>
              </w:rPr>
              <w:t>___________________</w:t>
            </w:r>
          </w:p>
        </w:tc>
        <w:tc>
          <w:tcPr>
            <w:tcW w:w="2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7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2487930</wp:posOffset>
            </wp:positionH>
            <wp:positionV relativeFrom="paragraph">
              <wp:posOffset>-1168400</wp:posOffset>
            </wp:positionV>
            <wp:extent cx="34290" cy="342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-1168400</wp:posOffset>
            </wp:positionV>
            <wp:extent cx="34290" cy="342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-1168400</wp:posOffset>
            </wp:positionV>
            <wp:extent cx="34290" cy="342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80" w:hanging="572"/>
        <w:spacing w:after="0"/>
        <w:tabs>
          <w:tab w:leader="none" w:pos="5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Of Credicorp, its subsidiaries and their predecessors as of December 31, 2003.</w:t>
      </w:r>
    </w:p>
    <w:p>
      <w:pPr>
        <w:spacing w:after="0" w:line="197" w:lineRule="exact"/>
        <w:rPr>
          <w:sz w:val="20"/>
          <w:szCs w:val="20"/>
          <w:color w:val="auto"/>
        </w:rPr>
      </w:pPr>
    </w:p>
    <w:p>
      <w:pPr>
        <w:jc w:val="both"/>
        <w:ind w:firstLine="260"/>
        <w:spacing w:after="0" w:line="306" w:lineRule="auto"/>
        <w:rPr>
          <w:sz w:val="20"/>
          <w:szCs w:val="20"/>
          <w:color w:val="auto"/>
        </w:rPr>
      </w:pPr>
      <w:r>
        <w:rPr>
          <w:rFonts w:ascii="Arial" w:cs="Arial" w:eastAsia="Arial" w:hAnsi="Arial"/>
          <w:sz w:val="16"/>
          <w:szCs w:val="16"/>
          <w:i w:val="1"/>
          <w:iCs w:val="1"/>
          <w:color w:val="auto"/>
        </w:rPr>
        <w:t xml:space="preserve">Dionisio Romero </w:t>
      </w:r>
      <w:r>
        <w:rPr>
          <w:rFonts w:ascii="Arial" w:cs="Arial" w:eastAsia="Arial" w:hAnsi="Arial"/>
          <w:sz w:val="16"/>
          <w:szCs w:val="16"/>
          <w:color w:val="auto"/>
        </w:rPr>
        <w:t>is an economist with a Masters degree in Business Administration from Stanford University in the United States of America. Mr. Romero</w:t>
      </w:r>
      <w:r>
        <w:rPr>
          <w:rFonts w:ascii="Arial" w:cs="Arial" w:eastAsia="Arial" w:hAnsi="Arial"/>
          <w:sz w:val="16"/>
          <w:szCs w:val="16"/>
          <w:i w:val="1"/>
          <w:iCs w:val="1"/>
          <w:color w:val="auto"/>
        </w:rPr>
        <w:t xml:space="preserve"> </w:t>
      </w:r>
      <w:r>
        <w:rPr>
          <w:rFonts w:ascii="Arial" w:cs="Arial" w:eastAsia="Arial" w:hAnsi="Arial"/>
          <w:sz w:val="16"/>
          <w:szCs w:val="16"/>
          <w:color w:val="auto"/>
        </w:rPr>
        <w:t>was the Chairman of Banco de Crédito del Perú from 1966 to 1987 and has served as a Board Member from December 1990 to the present. He is the Chairman of Credicorp and has held this position since August 1995. Additionally he serves as a Director on the Boards of various other companies.</w:t>
      </w:r>
    </w:p>
    <w:p>
      <w:pPr>
        <w:spacing w:after="0" w:line="161" w:lineRule="exact"/>
        <w:rPr>
          <w:sz w:val="20"/>
          <w:szCs w:val="20"/>
          <w:color w:val="auto"/>
        </w:rPr>
      </w:pPr>
    </w:p>
    <w:p>
      <w:pPr>
        <w:jc w:val="both"/>
        <w:ind w:firstLine="287"/>
        <w:spacing w:after="0" w:line="268" w:lineRule="auto"/>
        <w:rPr>
          <w:sz w:val="20"/>
          <w:szCs w:val="20"/>
          <w:color w:val="auto"/>
        </w:rPr>
      </w:pPr>
      <w:r>
        <w:rPr>
          <w:rFonts w:ascii="Arial" w:cs="Arial" w:eastAsia="Arial" w:hAnsi="Arial"/>
          <w:sz w:val="18"/>
          <w:szCs w:val="18"/>
          <w:i w:val="1"/>
          <w:iCs w:val="1"/>
          <w:color w:val="auto"/>
        </w:rPr>
        <w:t>Luis Nicolini</w:t>
      </w:r>
      <w:r>
        <w:rPr>
          <w:rFonts w:ascii="Arial" w:cs="Arial" w:eastAsia="Arial" w:hAnsi="Arial"/>
          <w:sz w:val="18"/>
          <w:szCs w:val="18"/>
          <w:color w:val="auto"/>
        </w:rPr>
        <w:t>, an industrial banker by profession, has served as Vice Chairman of Banco de Crédito del Perú since August 1995, is also a Director on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Boards of Inversiones Centenario, Alicorp,</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58"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color w:val="auto"/>
        </w:rPr>
        <w:t>and is Chairman of the textile company Fábrica de Tejidos La Bellota. He has been Deputy Chairman of Credicorp since August 1995.</w:t>
      </w:r>
    </w:p>
    <w:p>
      <w:pPr>
        <w:spacing w:after="0" w:line="225" w:lineRule="exact"/>
        <w:rPr>
          <w:sz w:val="20"/>
          <w:szCs w:val="20"/>
          <w:color w:val="auto"/>
        </w:rPr>
      </w:pPr>
    </w:p>
    <w:p>
      <w:pPr>
        <w:jc w:val="both"/>
        <w:ind w:firstLine="220"/>
        <w:spacing w:after="0" w:line="259" w:lineRule="auto"/>
        <w:rPr>
          <w:sz w:val="20"/>
          <w:szCs w:val="20"/>
          <w:color w:val="auto"/>
        </w:rPr>
      </w:pPr>
      <w:r>
        <w:rPr>
          <w:rFonts w:ascii="Arial" w:cs="Arial" w:eastAsia="Arial" w:hAnsi="Arial"/>
          <w:sz w:val="18"/>
          <w:szCs w:val="18"/>
          <w:i w:val="1"/>
          <w:iCs w:val="1"/>
          <w:color w:val="auto"/>
        </w:rPr>
        <w:t xml:space="preserve">Fernando Fort </w:t>
      </w:r>
      <w:r>
        <w:rPr>
          <w:rFonts w:ascii="Arial" w:cs="Arial" w:eastAsia="Arial" w:hAnsi="Arial"/>
          <w:sz w:val="18"/>
          <w:szCs w:val="18"/>
          <w:color w:val="auto"/>
        </w:rPr>
        <w:t>is a lawyer and Partner at the law firm of Fort, Bertorini y Godoy. Mr. Fort has served as a Director of Banco de Crédito del Perú from 1979 to</w:t>
      </w:r>
      <w:r>
        <w:rPr>
          <w:rFonts w:ascii="Arial" w:cs="Arial" w:eastAsia="Arial" w:hAnsi="Arial"/>
          <w:sz w:val="18"/>
          <w:szCs w:val="18"/>
          <w:i w:val="1"/>
          <w:iCs w:val="1"/>
          <w:color w:val="auto"/>
        </w:rPr>
        <w:t xml:space="preserve"> </w:t>
      </w:r>
      <w:r>
        <w:rPr>
          <w:rFonts w:ascii="Arial" w:cs="Arial" w:eastAsia="Arial" w:hAnsi="Arial"/>
          <w:sz w:val="18"/>
          <w:szCs w:val="18"/>
          <w:color w:val="auto"/>
        </w:rPr>
        <w:t>1987 and from March 1990 to the present. He has served as a Director of Credicorp since March 1999. Additionally, Mr. Fort serves as a Director on the Board of Inversiones Centenario and the Boards of various other companies.</w:t>
      </w:r>
    </w:p>
    <w:p>
      <w:pPr>
        <w:spacing w:after="0" w:line="194" w:lineRule="exact"/>
        <w:rPr>
          <w:sz w:val="20"/>
          <w:szCs w:val="20"/>
          <w:color w:val="auto"/>
        </w:rPr>
      </w:pPr>
    </w:p>
    <w:p>
      <w:pPr>
        <w:jc w:val="both"/>
        <w:ind w:firstLine="260"/>
        <w:spacing w:after="0" w:line="259" w:lineRule="auto"/>
        <w:rPr>
          <w:sz w:val="20"/>
          <w:szCs w:val="20"/>
          <w:color w:val="auto"/>
        </w:rPr>
      </w:pPr>
      <w:r>
        <w:rPr>
          <w:rFonts w:ascii="Arial" w:cs="Arial" w:eastAsia="Arial" w:hAnsi="Arial"/>
          <w:sz w:val="18"/>
          <w:szCs w:val="18"/>
          <w:i w:val="1"/>
          <w:iCs w:val="1"/>
          <w:color w:val="auto"/>
        </w:rPr>
        <w:t xml:space="preserve">Reynaldo Llosa </w:t>
      </w:r>
      <w:r>
        <w:rPr>
          <w:rFonts w:ascii="Arial" w:cs="Arial" w:eastAsia="Arial" w:hAnsi="Arial"/>
          <w:sz w:val="18"/>
          <w:szCs w:val="18"/>
          <w:color w:val="auto"/>
        </w:rPr>
        <w:t>is a business manager and has served as a Director of Banco de Crédito del Perú’s from 1980 to October 1987 and from March 1990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He has been a Director of Credicorp since August 1995. Mr. Llosa is also the main partner and general manager of the company F.N. Jones S.R. Ltda., and serves as a Director on the Boards of various other companies.</w:t>
      </w:r>
    </w:p>
    <w:p>
      <w:pPr>
        <w:spacing w:after="0" w:line="194" w:lineRule="exact"/>
        <w:rPr>
          <w:sz w:val="20"/>
          <w:szCs w:val="20"/>
          <w:color w:val="auto"/>
        </w:rPr>
      </w:pPr>
    </w:p>
    <w:p>
      <w:pPr>
        <w:jc w:val="both"/>
        <w:ind w:firstLine="247"/>
        <w:spacing w:after="0" w:line="268" w:lineRule="auto"/>
        <w:rPr>
          <w:sz w:val="20"/>
          <w:szCs w:val="20"/>
          <w:color w:val="auto"/>
        </w:rPr>
      </w:pPr>
      <w:r>
        <w:rPr>
          <w:rFonts w:ascii="Arial" w:cs="Arial" w:eastAsia="Arial" w:hAnsi="Arial"/>
          <w:sz w:val="18"/>
          <w:szCs w:val="18"/>
          <w:i w:val="1"/>
          <w:iCs w:val="1"/>
          <w:color w:val="auto"/>
        </w:rPr>
        <w:t xml:space="preserve">Juan Carlos Verme </w:t>
      </w:r>
      <w:r>
        <w:rPr>
          <w:rFonts w:ascii="Arial" w:cs="Arial" w:eastAsia="Arial" w:hAnsi="Arial"/>
          <w:sz w:val="18"/>
          <w:szCs w:val="18"/>
          <w:color w:val="auto"/>
        </w:rPr>
        <w:t>is a businessman and has served as Director of Banco de Crédito del Perú since March 1990 and as a Director of Credicorp since August</w:t>
      </w:r>
      <w:r>
        <w:rPr>
          <w:rFonts w:ascii="Arial" w:cs="Arial" w:eastAsia="Arial" w:hAnsi="Arial"/>
          <w:sz w:val="18"/>
          <w:szCs w:val="18"/>
          <w:i w:val="1"/>
          <w:iCs w:val="1"/>
          <w:color w:val="auto"/>
        </w:rPr>
        <w:t xml:space="preserve"> </w:t>
      </w:r>
      <w:r>
        <w:rPr>
          <w:rFonts w:ascii="Arial" w:cs="Arial" w:eastAsia="Arial" w:hAnsi="Arial"/>
          <w:sz w:val="18"/>
          <w:szCs w:val="18"/>
          <w:color w:val="auto"/>
        </w:rPr>
        <w:t>1995. Mr. Verme also serves as a Director on the Boards of various other companies.</w:t>
      </w:r>
    </w:p>
    <w:p>
      <w:pPr>
        <w:spacing w:after="0" w:line="186" w:lineRule="exact"/>
        <w:rPr>
          <w:sz w:val="20"/>
          <w:szCs w:val="20"/>
          <w:color w:val="auto"/>
        </w:rPr>
      </w:pPr>
    </w:p>
    <w:p>
      <w:pPr>
        <w:jc w:val="both"/>
        <w:ind w:firstLine="301"/>
        <w:spacing w:after="0" w:line="259" w:lineRule="auto"/>
        <w:rPr>
          <w:sz w:val="20"/>
          <w:szCs w:val="20"/>
          <w:color w:val="auto"/>
        </w:rPr>
      </w:pPr>
      <w:r>
        <w:rPr>
          <w:rFonts w:ascii="Arial" w:cs="Arial" w:eastAsia="Arial" w:hAnsi="Arial"/>
          <w:sz w:val="18"/>
          <w:szCs w:val="18"/>
          <w:i w:val="1"/>
          <w:iCs w:val="1"/>
          <w:color w:val="auto"/>
        </w:rPr>
        <w:t xml:space="preserve">Luis Enrique Yarur </w:t>
      </w:r>
      <w:r>
        <w:rPr>
          <w:rFonts w:ascii="Arial" w:cs="Arial" w:eastAsia="Arial" w:hAnsi="Arial"/>
          <w:sz w:val="18"/>
          <w:szCs w:val="18"/>
          <w:color w:val="auto"/>
        </w:rPr>
        <w:t>is a businessman with an undergraduate degree in law and graduate degrees in economics and management. He became a Director of</w:t>
      </w:r>
      <w:r>
        <w:rPr>
          <w:rFonts w:ascii="Arial" w:cs="Arial" w:eastAsia="Arial" w:hAnsi="Arial"/>
          <w:sz w:val="18"/>
          <w:szCs w:val="18"/>
          <w:i w:val="1"/>
          <w:iCs w:val="1"/>
          <w:color w:val="auto"/>
        </w:rPr>
        <w:t xml:space="preserve"> </w:t>
      </w:r>
      <w:r>
        <w:rPr>
          <w:rFonts w:ascii="Arial" w:cs="Arial" w:eastAsia="Arial" w:hAnsi="Arial"/>
          <w:sz w:val="18"/>
          <w:szCs w:val="18"/>
          <w:color w:val="auto"/>
        </w:rPr>
        <w:t>Credicorp on October 31, 2002. Mr. Yarur is Chairman of the Board of Banco de Crédito e Inversiones, of Chile, and member of the Boards of various other Chilean companies.</w:t>
      </w:r>
    </w:p>
    <w:p>
      <w:pPr>
        <w:spacing w:after="0" w:line="194" w:lineRule="exact"/>
        <w:rPr>
          <w:sz w:val="20"/>
          <w:szCs w:val="20"/>
          <w:color w:val="auto"/>
        </w:rPr>
      </w:pPr>
    </w:p>
    <w:p>
      <w:pPr>
        <w:jc w:val="both"/>
        <w:ind w:firstLine="305"/>
        <w:spacing w:after="0" w:line="268" w:lineRule="auto"/>
        <w:rPr>
          <w:sz w:val="20"/>
          <w:szCs w:val="20"/>
          <w:color w:val="auto"/>
        </w:rPr>
      </w:pPr>
      <w:r>
        <w:rPr>
          <w:rFonts w:ascii="Arial" w:cs="Arial" w:eastAsia="Arial" w:hAnsi="Arial"/>
          <w:sz w:val="18"/>
          <w:szCs w:val="18"/>
          <w:color w:val="auto"/>
        </w:rPr>
        <w:t>The Secretary of Credicorp is Dawna L. Ferguson. The Assistant Secretary of Credicorp is Fernando Palao. The Resident Representative of Credicorp in Bermuda is Nicholas G. Trollope.</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25" w:lineRule="exact"/>
        <w:rPr>
          <w:sz w:val="20"/>
          <w:szCs w:val="20"/>
          <w:color w:val="auto"/>
        </w:rPr>
      </w:pPr>
    </w:p>
    <w:p>
      <w:pPr>
        <w:jc w:val="both"/>
        <w:ind w:firstLine="239"/>
        <w:spacing w:after="0" w:line="268" w:lineRule="auto"/>
        <w:rPr>
          <w:sz w:val="20"/>
          <w:szCs w:val="20"/>
          <w:color w:val="auto"/>
        </w:rPr>
      </w:pPr>
      <w:r>
        <w:rPr>
          <w:rFonts w:ascii="Arial" w:cs="Arial" w:eastAsia="Arial" w:hAnsi="Arial"/>
          <w:sz w:val="18"/>
          <w:szCs w:val="18"/>
          <w:color w:val="auto"/>
        </w:rPr>
        <w:t>Pursuant to Credicorp’s bye-laws, the Board of Directors has the power to delegate its power over day-to-day management to one or more Directors, officers, employees or agents. The following table sets forth information concerning the principal executive officers of Credicorp.</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tcPr>
          <w:p>
            <w:pPr>
              <w:jc w:val="right"/>
              <w:ind w:right="52"/>
              <w:spacing w:after="0"/>
              <w:rPr>
                <w:sz w:val="20"/>
                <w:szCs w:val="20"/>
                <w:color w:val="auto"/>
              </w:rPr>
            </w:pPr>
            <w:r>
              <w:rPr>
                <w:rFonts w:ascii="Arial" w:cs="Arial" w:eastAsia="Arial" w:hAnsi="Arial"/>
                <w:sz w:val="18"/>
                <w:szCs w:val="18"/>
                <w:b w:val="1"/>
                <w:bCs w:val="1"/>
                <w:color w:val="auto"/>
                <w:w w:val="93"/>
              </w:rPr>
              <w:t>Years Served as an</w:t>
            </w:r>
          </w:p>
        </w:tc>
      </w:tr>
      <w:tr>
        <w:trPr>
          <w:trHeight w:val="228"/>
        </w:trPr>
        <w:tc>
          <w:tcPr>
            <w:tcW w:w="4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4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b w:val="1"/>
                <w:bCs w:val="1"/>
                <w:color w:val="auto"/>
              </w:rPr>
              <w:t>Position</w:t>
            </w:r>
          </w:p>
        </w:tc>
        <w:tc>
          <w:tcPr>
            <w:tcW w:w="2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2"/>
              </w:rPr>
              <w:t>Officer(1)</w:t>
            </w:r>
          </w:p>
        </w:tc>
      </w:tr>
      <w:tr>
        <w:trPr>
          <w:trHeight w:val="137"/>
        </w:trPr>
        <w:tc>
          <w:tcPr>
            <w:tcW w:w="40" w:type="dxa"/>
            <w:vAlign w:val="bottom"/>
          </w:tcPr>
          <w:p>
            <w:pPr>
              <w:spacing w:after="0"/>
              <w:rPr>
                <w:sz w:val="11"/>
                <w:szCs w:val="11"/>
                <w:color w:val="auto"/>
              </w:rPr>
            </w:pPr>
          </w:p>
        </w:tc>
        <w:tc>
          <w:tcPr>
            <w:tcW w:w="508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452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r>
      <w:tr>
        <w:trPr>
          <w:trHeight w:val="613"/>
        </w:trPr>
        <w:tc>
          <w:tcPr>
            <w:tcW w:w="4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Dionisio Romero</w:t>
            </w:r>
          </w:p>
        </w:tc>
        <w:tc>
          <w:tcPr>
            <w:tcW w:w="4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720" w:type="dxa"/>
            <w:vAlign w:val="bottom"/>
            <w:gridSpan w:val="2"/>
          </w:tcPr>
          <w:p>
            <w:pPr>
              <w:jc w:val="center"/>
              <w:spacing w:after="0"/>
              <w:rPr>
                <w:sz w:val="20"/>
                <w:szCs w:val="20"/>
                <w:color w:val="auto"/>
              </w:rPr>
            </w:pPr>
            <w:r>
              <w:rPr>
                <w:rFonts w:ascii="Arial" w:cs="Arial" w:eastAsia="Arial" w:hAnsi="Arial"/>
                <w:sz w:val="18"/>
                <w:szCs w:val="18"/>
                <w:color w:val="auto"/>
                <w:w w:val="90"/>
              </w:rPr>
              <w:t>34(2)</w:t>
            </w:r>
          </w:p>
        </w:tc>
      </w:tr>
      <w:tr>
        <w:trPr>
          <w:trHeight w:val="243"/>
        </w:trPr>
        <w:tc>
          <w:tcPr>
            <w:tcW w:w="4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Raimundo Morales</w:t>
            </w:r>
          </w:p>
        </w:tc>
        <w:tc>
          <w:tcPr>
            <w:tcW w:w="40" w:type="dxa"/>
            <w:vAlign w:val="bottom"/>
          </w:tcPr>
          <w:p>
            <w:pPr>
              <w:spacing w:after="0"/>
              <w:rPr>
                <w:sz w:val="21"/>
                <w:szCs w:val="21"/>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Operating Officer</w:t>
            </w:r>
          </w:p>
        </w:tc>
        <w:tc>
          <w:tcPr>
            <w:tcW w:w="1720" w:type="dxa"/>
            <w:vAlign w:val="bottom"/>
            <w:gridSpan w:val="2"/>
          </w:tcPr>
          <w:p>
            <w:pPr>
              <w:jc w:val="right"/>
              <w:ind w:right="772"/>
              <w:spacing w:after="0"/>
              <w:rPr>
                <w:sz w:val="20"/>
                <w:szCs w:val="20"/>
                <w:color w:val="auto"/>
              </w:rPr>
            </w:pPr>
            <w:r>
              <w:rPr>
                <w:rFonts w:ascii="Arial" w:cs="Arial" w:eastAsia="Arial" w:hAnsi="Arial"/>
                <w:sz w:val="18"/>
                <w:szCs w:val="18"/>
                <w:color w:val="auto"/>
              </w:rPr>
              <w:t>24</w:t>
            </w:r>
          </w:p>
        </w:tc>
      </w:tr>
      <w:tr>
        <w:trPr>
          <w:trHeight w:val="243"/>
        </w:trPr>
        <w:tc>
          <w:tcPr>
            <w:tcW w:w="4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Carlos Muñoz</w:t>
            </w:r>
          </w:p>
        </w:tc>
        <w:tc>
          <w:tcPr>
            <w:tcW w:w="40" w:type="dxa"/>
            <w:vAlign w:val="bottom"/>
          </w:tcPr>
          <w:p>
            <w:pPr>
              <w:spacing w:after="0"/>
              <w:rPr>
                <w:sz w:val="21"/>
                <w:szCs w:val="21"/>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Executive Vice President</w:t>
            </w:r>
          </w:p>
        </w:tc>
        <w:tc>
          <w:tcPr>
            <w:tcW w:w="1720" w:type="dxa"/>
            <w:vAlign w:val="bottom"/>
            <w:gridSpan w:val="2"/>
          </w:tcPr>
          <w:p>
            <w:pPr>
              <w:jc w:val="right"/>
              <w:ind w:right="772"/>
              <w:spacing w:after="0"/>
              <w:rPr>
                <w:sz w:val="20"/>
                <w:szCs w:val="20"/>
                <w:color w:val="auto"/>
              </w:rPr>
            </w:pPr>
            <w:r>
              <w:rPr>
                <w:rFonts w:ascii="Arial" w:cs="Arial" w:eastAsia="Arial" w:hAnsi="Arial"/>
                <w:sz w:val="18"/>
                <w:szCs w:val="18"/>
                <w:color w:val="auto"/>
              </w:rPr>
              <w:t>23</w:t>
            </w:r>
          </w:p>
        </w:tc>
      </w:tr>
      <w:tr>
        <w:trPr>
          <w:trHeight w:val="243"/>
        </w:trPr>
        <w:tc>
          <w:tcPr>
            <w:tcW w:w="4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Benedicto Cigüeñas</w:t>
            </w:r>
          </w:p>
        </w:tc>
        <w:tc>
          <w:tcPr>
            <w:tcW w:w="40" w:type="dxa"/>
            <w:vAlign w:val="bottom"/>
          </w:tcPr>
          <w:p>
            <w:pPr>
              <w:spacing w:after="0"/>
              <w:rPr>
                <w:sz w:val="21"/>
                <w:szCs w:val="21"/>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Financial and Accounting</w:t>
            </w: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Officer (until March 31, 2004)</w:t>
            </w:r>
          </w:p>
        </w:tc>
        <w:tc>
          <w:tcPr>
            <w:tcW w:w="1720" w:type="dxa"/>
            <w:vAlign w:val="bottom"/>
            <w:gridSpan w:val="2"/>
          </w:tcPr>
          <w:p>
            <w:pPr>
              <w:jc w:val="right"/>
              <w:ind w:right="772"/>
              <w:spacing w:after="0"/>
              <w:rPr>
                <w:sz w:val="20"/>
                <w:szCs w:val="20"/>
                <w:color w:val="auto"/>
              </w:rPr>
            </w:pPr>
            <w:r>
              <w:rPr>
                <w:rFonts w:ascii="Arial" w:cs="Arial" w:eastAsia="Arial" w:hAnsi="Arial"/>
                <w:sz w:val="18"/>
                <w:szCs w:val="18"/>
                <w:color w:val="auto"/>
              </w:rPr>
              <w:t>13</w:t>
            </w:r>
          </w:p>
        </w:tc>
      </w:tr>
      <w:tr>
        <w:trPr>
          <w:trHeight w:val="243"/>
        </w:trPr>
        <w:tc>
          <w:tcPr>
            <w:tcW w:w="4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Walter Bayly</w:t>
            </w:r>
          </w:p>
        </w:tc>
        <w:tc>
          <w:tcPr>
            <w:tcW w:w="40" w:type="dxa"/>
            <w:vAlign w:val="bottom"/>
          </w:tcPr>
          <w:p>
            <w:pPr>
              <w:spacing w:after="0"/>
              <w:rPr>
                <w:sz w:val="21"/>
                <w:szCs w:val="21"/>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Financial and Accounting</w:t>
            </w: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Officer (from March 31, 2004)</w:t>
            </w:r>
          </w:p>
        </w:tc>
        <w:tc>
          <w:tcPr>
            <w:tcW w:w="1720" w:type="dxa"/>
            <w:vAlign w:val="bottom"/>
            <w:gridSpan w:val="2"/>
          </w:tcPr>
          <w:p>
            <w:pPr>
              <w:jc w:val="right"/>
              <w:ind w:right="772"/>
              <w:spacing w:after="0"/>
              <w:rPr>
                <w:sz w:val="20"/>
                <w:szCs w:val="20"/>
                <w:color w:val="auto"/>
              </w:rPr>
            </w:pPr>
            <w:r>
              <w:rPr>
                <w:rFonts w:ascii="Arial" w:cs="Arial" w:eastAsia="Arial" w:hAnsi="Arial"/>
                <w:sz w:val="18"/>
                <w:szCs w:val="18"/>
                <w:color w:val="auto"/>
              </w:rPr>
              <w:t>11</w:t>
            </w:r>
          </w:p>
        </w:tc>
      </w:tr>
      <w:tr>
        <w:trPr>
          <w:trHeight w:val="243"/>
        </w:trPr>
        <w:tc>
          <w:tcPr>
            <w:tcW w:w="4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José Luis Gagliardi</w:t>
            </w:r>
          </w:p>
        </w:tc>
        <w:tc>
          <w:tcPr>
            <w:tcW w:w="40" w:type="dxa"/>
            <w:vAlign w:val="bottom"/>
          </w:tcPr>
          <w:p>
            <w:pPr>
              <w:spacing w:after="0"/>
              <w:rPr>
                <w:sz w:val="21"/>
                <w:szCs w:val="21"/>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Senior Vice President,</w:t>
            </w: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Administration and Human</w:t>
            </w:r>
          </w:p>
        </w:tc>
        <w:tc>
          <w:tcPr>
            <w:tcW w:w="1720" w:type="dxa"/>
            <w:vAlign w:val="bottom"/>
            <w:gridSpan w:val="2"/>
          </w:tcPr>
          <w:p>
            <w:pPr>
              <w:jc w:val="center"/>
              <w:spacing w:after="0"/>
              <w:rPr>
                <w:sz w:val="20"/>
                <w:szCs w:val="20"/>
                <w:color w:val="auto"/>
              </w:rPr>
            </w:pPr>
            <w:r>
              <w:rPr>
                <w:rFonts w:ascii="Arial" w:cs="Arial" w:eastAsia="Arial" w:hAnsi="Arial"/>
                <w:sz w:val="18"/>
                <w:szCs w:val="18"/>
                <w:color w:val="auto"/>
                <w:w w:val="90"/>
              </w:rPr>
              <w:t>23(3)</w:t>
            </w:r>
          </w:p>
        </w:tc>
      </w:tr>
      <w:tr>
        <w:trPr>
          <w:trHeight w:val="243"/>
        </w:trPr>
        <w:tc>
          <w:tcPr>
            <w:tcW w:w="40" w:type="dxa"/>
            <w:vAlign w:val="bottom"/>
          </w:tcPr>
          <w:p>
            <w:pPr>
              <w:spacing w:after="0"/>
              <w:rPr>
                <w:sz w:val="21"/>
                <w:szCs w:val="21"/>
                <w:color w:val="auto"/>
              </w:rPr>
            </w:pPr>
          </w:p>
        </w:tc>
        <w:tc>
          <w:tcPr>
            <w:tcW w:w="5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Resources</w:t>
            </w: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Arturo Rodrigo</w:t>
            </w:r>
          </w:p>
        </w:tc>
        <w:tc>
          <w:tcPr>
            <w:tcW w:w="40" w:type="dxa"/>
            <w:vAlign w:val="bottom"/>
          </w:tcPr>
          <w:p>
            <w:pPr>
              <w:spacing w:after="0"/>
              <w:rPr>
                <w:sz w:val="21"/>
                <w:szCs w:val="21"/>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Senior Vice President, Insurance</w:t>
            </w:r>
          </w:p>
        </w:tc>
        <w:tc>
          <w:tcPr>
            <w:tcW w:w="1720" w:type="dxa"/>
            <w:vAlign w:val="bottom"/>
            <w:gridSpan w:val="2"/>
          </w:tcPr>
          <w:p>
            <w:pPr>
              <w:jc w:val="right"/>
              <w:ind w:right="772"/>
              <w:spacing w:after="0"/>
              <w:rPr>
                <w:sz w:val="20"/>
                <w:szCs w:val="20"/>
                <w:color w:val="auto"/>
              </w:rPr>
            </w:pPr>
            <w:r>
              <w:rPr>
                <w:rFonts w:ascii="Arial" w:cs="Arial" w:eastAsia="Arial" w:hAnsi="Arial"/>
                <w:sz w:val="18"/>
                <w:szCs w:val="18"/>
                <w:color w:val="auto"/>
              </w:rPr>
              <w:t>28</w:t>
            </w:r>
          </w:p>
        </w:tc>
      </w:tr>
      <w:tr>
        <w:trPr>
          <w:trHeight w:val="243"/>
        </w:trPr>
        <w:tc>
          <w:tcPr>
            <w:tcW w:w="5120" w:type="dxa"/>
            <w:vAlign w:val="bottom"/>
            <w:gridSpan w:val="2"/>
          </w:tcPr>
          <w:p>
            <w:pPr>
              <w:jc w:val="right"/>
              <w:ind w:right="2572"/>
              <w:spacing w:after="0"/>
              <w:rPr>
                <w:sz w:val="20"/>
                <w:szCs w:val="20"/>
                <w:color w:val="auto"/>
              </w:rPr>
            </w:pPr>
            <w:r>
              <w:rPr>
                <w:rFonts w:ascii="Arial" w:cs="Arial" w:eastAsia="Arial" w:hAnsi="Arial"/>
                <w:sz w:val="18"/>
                <w:szCs w:val="18"/>
                <w:color w:val="auto"/>
                <w:w w:val="87"/>
              </w:rPr>
              <w:t>____________________________</w:t>
            </w:r>
          </w:p>
        </w:tc>
        <w:tc>
          <w:tcPr>
            <w:tcW w:w="40" w:type="dxa"/>
            <w:vAlign w:val="bottom"/>
          </w:tcPr>
          <w:p>
            <w:pPr>
              <w:spacing w:after="0"/>
              <w:rPr>
                <w:sz w:val="21"/>
                <w:szCs w:val="21"/>
                <w:color w:val="auto"/>
              </w:rPr>
            </w:pPr>
          </w:p>
        </w:tc>
        <w:tc>
          <w:tcPr>
            <w:tcW w:w="4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3234055</wp:posOffset>
            </wp:positionH>
            <wp:positionV relativeFrom="paragraph">
              <wp:posOffset>-2112010</wp:posOffset>
            </wp:positionV>
            <wp:extent cx="34290" cy="342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-2112010</wp:posOffset>
            </wp:positionV>
            <wp:extent cx="34290" cy="342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-2112010</wp:posOffset>
            </wp:positionV>
            <wp:extent cx="34290" cy="342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80" w:hanging="572"/>
        <w:spacing w:after="0" w:line="226" w:lineRule="auto"/>
        <w:tabs>
          <w:tab w:leader="none" w:pos="5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Of Credicorp, its subsidiaries and their predecessors as of December 31, 2003.</w:t>
      </w:r>
    </w:p>
    <w:p>
      <w:pPr>
        <w:ind w:left="580" w:hanging="572"/>
        <w:spacing w:after="0" w:line="221" w:lineRule="auto"/>
        <w:tabs>
          <w:tab w:leader="none" w:pos="5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Mr. Romero served as an officer of BCP from 1966 through 1987 and from 1990 to the present. Mr. Romero has been an officer of PPS since 1972.</w:t>
      </w:r>
    </w:p>
    <w:p>
      <w:pPr>
        <w:ind w:left="580" w:hanging="572"/>
        <w:spacing w:after="0"/>
        <w:tabs>
          <w:tab w:leader="none" w:pos="5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Mr. Gagliardi served as an officer of BCP from 1981 through 1988.</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347" w:right="239" w:bottom="1440" w:gutter="0" w:footer="0" w:header="0"/>
        </w:sectPr>
      </w:pPr>
    </w:p>
    <w:bookmarkStart w:id="101" w:name="page102"/>
    <w:bookmarkEnd w:id="101"/>
    <w:p>
      <w:pPr>
        <w:ind w:left="220"/>
        <w:spacing w:after="0"/>
        <w:rPr>
          <w:sz w:val="20"/>
          <w:szCs w:val="20"/>
          <w:color w:val="auto"/>
        </w:rPr>
      </w:pPr>
      <w:r>
        <w:rPr>
          <w:rFonts w:ascii="Arial" w:cs="Arial" w:eastAsia="Arial" w:hAnsi="Arial"/>
          <w:sz w:val="18"/>
          <w:szCs w:val="18"/>
          <w:i w:val="1"/>
          <w:iCs w:val="1"/>
          <w:color w:val="auto"/>
        </w:rPr>
        <w:t>Dionisio Romero</w:t>
      </w:r>
      <w:r>
        <w:rPr>
          <w:rFonts w:ascii="Arial" w:cs="Arial" w:eastAsia="Arial" w:hAnsi="Arial"/>
          <w:sz w:val="18"/>
          <w:szCs w:val="18"/>
          <w:color w:val="auto"/>
        </w:rPr>
        <w:t>, the Chief Executive Officer of Credicorp, also serves on Credicorp’s Board of Directors. See “—Directors.”</w:t>
      </w:r>
    </w:p>
    <w:p>
      <w:pPr>
        <w:spacing w:after="0" w:line="225" w:lineRule="exact"/>
        <w:rPr>
          <w:sz w:val="20"/>
          <w:szCs w:val="20"/>
          <w:color w:val="auto"/>
        </w:rPr>
      </w:pPr>
    </w:p>
    <w:p>
      <w:pPr>
        <w:jc w:val="both"/>
        <w:ind w:firstLine="233"/>
        <w:spacing w:after="0" w:line="255" w:lineRule="auto"/>
        <w:rPr>
          <w:sz w:val="20"/>
          <w:szCs w:val="20"/>
          <w:color w:val="auto"/>
        </w:rPr>
      </w:pPr>
      <w:r>
        <w:rPr>
          <w:rFonts w:ascii="Arial" w:cs="Arial" w:eastAsia="Arial" w:hAnsi="Arial"/>
          <w:sz w:val="18"/>
          <w:szCs w:val="18"/>
          <w:i w:val="1"/>
          <w:iCs w:val="1"/>
          <w:color w:val="auto"/>
        </w:rPr>
        <w:t>Raimundo Morales</w:t>
      </w:r>
      <w:r>
        <w:rPr>
          <w:rFonts w:ascii="Arial" w:cs="Arial" w:eastAsia="Arial" w:hAnsi="Arial"/>
          <w:sz w:val="18"/>
          <w:szCs w:val="18"/>
          <w:color w:val="auto"/>
        </w:rPr>
        <w:t>, the Chief Operating Officer of Credicorp, is also the General Manager of BCP, having joined BCP in 1980. Previously, Mr. Morales held</w:t>
      </w:r>
      <w:r>
        <w:rPr>
          <w:rFonts w:ascii="Arial" w:cs="Arial" w:eastAsia="Arial" w:hAnsi="Arial"/>
          <w:sz w:val="18"/>
          <w:szCs w:val="18"/>
          <w:i w:val="1"/>
          <w:iCs w:val="1"/>
          <w:color w:val="auto"/>
        </w:rPr>
        <w:t xml:space="preserve"> </w:t>
      </w:r>
      <w:r>
        <w:rPr>
          <w:rFonts w:ascii="Arial" w:cs="Arial" w:eastAsia="Arial" w:hAnsi="Arial"/>
          <w:sz w:val="18"/>
          <w:szCs w:val="18"/>
          <w:color w:val="auto"/>
        </w:rPr>
        <w:t>various positions during his ten years at Wells Fargo Bank in its San Francisco, São Paulo, Caracas, Miami and Buenos Aires offices. His last position was Vice President for the Southern Region of Wells Fargo. From 1980 to 1987, Mr. Morales was Executive Vice President in charge of BCP’s Wholesale Banking Group. From 1987 to 1990 he was the General Manager of ASB in Miami. He rejoined BCP as General Manager in 1990. Mr. Morales received his Masters degree in Finance from the Wharton School of Business in the United States.</w:t>
      </w:r>
    </w:p>
    <w:p>
      <w:pPr>
        <w:spacing w:after="0" w:line="197" w:lineRule="exact"/>
        <w:rPr>
          <w:sz w:val="20"/>
          <w:szCs w:val="20"/>
          <w:color w:val="auto"/>
        </w:rPr>
      </w:pPr>
    </w:p>
    <w:p>
      <w:pPr>
        <w:jc w:val="both"/>
        <w:ind w:firstLine="274"/>
        <w:spacing w:after="0" w:line="254" w:lineRule="auto"/>
        <w:rPr>
          <w:sz w:val="20"/>
          <w:szCs w:val="20"/>
          <w:color w:val="auto"/>
        </w:rPr>
      </w:pPr>
      <w:r>
        <w:rPr>
          <w:rFonts w:ascii="Arial" w:cs="Arial" w:eastAsia="Arial" w:hAnsi="Arial"/>
          <w:sz w:val="18"/>
          <w:szCs w:val="18"/>
          <w:i w:val="1"/>
          <w:iCs w:val="1"/>
          <w:color w:val="auto"/>
        </w:rPr>
        <w:t>Carlos Muñoz</w:t>
      </w:r>
      <w:r>
        <w:rPr>
          <w:rFonts w:ascii="Arial" w:cs="Arial" w:eastAsia="Arial" w:hAnsi="Arial"/>
          <w:sz w:val="18"/>
          <w:szCs w:val="18"/>
          <w:color w:val="auto"/>
        </w:rPr>
        <w:t>, the Executive Vice President of Credicorp and, the Deputy General Manager of BCP, is also the President of ASB. He previously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Senior Vice President and Manager of BCP’s Metropolitan Division Group and later managed the Retail Banking Group as an Executive Vice President. Previously, Mr. Muñoz held positions as an Investment Officer for the International Finance Corporation (World Bank Group) in Washington, D.C. and with the Philadelphia National Bank in Philadelphia, Paris and Buenos Aires, where his last position was Assistant Vice President and Regional Representative. From 1988 to 1990, Mr. Muñoz served as Executive Vice President of ASB. Mr. Muñoz received his Masters degree in Finance from the Wharton School of Business in the United States.</w:t>
      </w:r>
    </w:p>
    <w:p>
      <w:pPr>
        <w:spacing w:after="0" w:line="198" w:lineRule="exact"/>
        <w:rPr>
          <w:sz w:val="20"/>
          <w:szCs w:val="20"/>
          <w:color w:val="auto"/>
        </w:rPr>
      </w:pPr>
    </w:p>
    <w:p>
      <w:pPr>
        <w:jc w:val="both"/>
        <w:ind w:firstLine="301"/>
        <w:spacing w:after="0" w:line="291" w:lineRule="auto"/>
        <w:rPr>
          <w:sz w:val="20"/>
          <w:szCs w:val="20"/>
          <w:color w:val="auto"/>
        </w:rPr>
      </w:pPr>
      <w:r>
        <w:rPr>
          <w:rFonts w:ascii="Arial" w:cs="Arial" w:eastAsia="Arial" w:hAnsi="Arial"/>
          <w:sz w:val="16"/>
          <w:szCs w:val="16"/>
          <w:i w:val="1"/>
          <w:iCs w:val="1"/>
          <w:color w:val="auto"/>
        </w:rPr>
        <w:t xml:space="preserve">Walter Bayly </w:t>
      </w:r>
      <w:r>
        <w:rPr>
          <w:rFonts w:ascii="Arial" w:cs="Arial" w:eastAsia="Arial" w:hAnsi="Arial"/>
          <w:sz w:val="16"/>
          <w:szCs w:val="16"/>
          <w:color w:val="auto"/>
        </w:rPr>
        <w:t>was appointed Chief Financial and Accounting Officer of Credicorp and Executive Vice President of Planning and Finance of BCP in April</w:t>
      </w:r>
      <w:r>
        <w:rPr>
          <w:rFonts w:ascii="Arial" w:cs="Arial" w:eastAsia="Arial" w:hAnsi="Arial"/>
          <w:sz w:val="16"/>
          <w:szCs w:val="16"/>
          <w:i w:val="1"/>
          <w:iCs w:val="1"/>
          <w:color w:val="auto"/>
        </w:rPr>
        <w:t xml:space="preserve"> </w:t>
      </w:r>
      <w:r>
        <w:rPr>
          <w:rFonts w:ascii="Arial" w:cs="Arial" w:eastAsia="Arial" w:hAnsi="Arial"/>
          <w:sz w:val="16"/>
          <w:szCs w:val="16"/>
          <w:color w:val="auto"/>
        </w:rPr>
        <w:t>2004. Previously, Mr. Bayly held various other management positions within BCP, having managed the Wholesale Banking, Middle Market Banking, Systems and Organization, and Investment Banking groups. Mr. Bayly joined BCP in 1993, after three years at Casa Bolsa México where he was Partner and Managing Director in Corporate Finance and after ten years at Citibank in Lima, New York, México, and Caracas, where he worked primarily in the Corporate Finance and Loan Syndication groups. Mr. Bayly received a Bachelor degree in Business Administration from Universidad del Pacífico in Lima, Perú, and a Masters degree in Management from Arthur D. Little Management in Cambridge, Massachusetts.</w:t>
      </w:r>
    </w:p>
    <w:p>
      <w:pPr>
        <w:spacing w:after="0" w:line="174" w:lineRule="exact"/>
        <w:rPr>
          <w:sz w:val="20"/>
          <w:szCs w:val="20"/>
          <w:color w:val="auto"/>
        </w:rPr>
      </w:pPr>
    </w:p>
    <w:p>
      <w:pPr>
        <w:jc w:val="both"/>
        <w:ind w:firstLine="260"/>
        <w:spacing w:after="0" w:line="256" w:lineRule="auto"/>
        <w:rPr>
          <w:sz w:val="20"/>
          <w:szCs w:val="20"/>
          <w:color w:val="auto"/>
        </w:rPr>
      </w:pPr>
      <w:r>
        <w:rPr>
          <w:rFonts w:ascii="Arial" w:cs="Arial" w:eastAsia="Arial" w:hAnsi="Arial"/>
          <w:sz w:val="18"/>
          <w:szCs w:val="18"/>
          <w:i w:val="1"/>
          <w:iCs w:val="1"/>
          <w:color w:val="auto"/>
        </w:rPr>
        <w:t>José Luis Gagliardi</w:t>
      </w:r>
      <w:r>
        <w:rPr>
          <w:rFonts w:ascii="Arial" w:cs="Arial" w:eastAsia="Arial" w:hAnsi="Arial"/>
          <w:sz w:val="18"/>
          <w:szCs w:val="18"/>
          <w:color w:val="auto"/>
        </w:rPr>
        <w:t>, the Senior Vice President, Administration and Human Resources of Credicorp and Executive Vice President of Administration of BCP,</w:t>
      </w:r>
      <w:r>
        <w:rPr>
          <w:rFonts w:ascii="Arial" w:cs="Arial" w:eastAsia="Arial" w:hAnsi="Arial"/>
          <w:sz w:val="18"/>
          <w:szCs w:val="18"/>
          <w:i w:val="1"/>
          <w:iCs w:val="1"/>
          <w:color w:val="auto"/>
        </w:rPr>
        <w:t xml:space="preserve"> </w:t>
      </w:r>
      <w:r>
        <w:rPr>
          <w:rFonts w:ascii="Arial" w:cs="Arial" w:eastAsia="Arial" w:hAnsi="Arial"/>
          <w:sz w:val="18"/>
          <w:szCs w:val="18"/>
          <w:color w:val="auto"/>
        </w:rPr>
        <w:t>first joined BCP in 1981. From March 1981 until December 1988 he served as the Manager of Human Resources and Central Manager of Resources and Administration. In 1988, Mr. Gagliardi left BCP to manage Human Resources for Bank of America’s Latin American Division. He rejoined BCP in November 1990.</w:t>
      </w:r>
    </w:p>
    <w:p>
      <w:pPr>
        <w:spacing w:after="0" w:line="197" w:lineRule="exact"/>
        <w:rPr>
          <w:sz w:val="20"/>
          <w:szCs w:val="20"/>
          <w:color w:val="auto"/>
        </w:rPr>
      </w:pPr>
    </w:p>
    <w:p>
      <w:pPr>
        <w:jc w:val="both"/>
        <w:ind w:firstLine="220"/>
        <w:spacing w:after="0" w:line="259" w:lineRule="auto"/>
        <w:rPr>
          <w:sz w:val="20"/>
          <w:szCs w:val="20"/>
          <w:color w:val="auto"/>
        </w:rPr>
      </w:pPr>
      <w:r>
        <w:rPr>
          <w:rFonts w:ascii="Arial" w:cs="Arial" w:eastAsia="Arial" w:hAnsi="Arial"/>
          <w:sz w:val="18"/>
          <w:szCs w:val="18"/>
          <w:i w:val="1"/>
          <w:iCs w:val="1"/>
          <w:color w:val="auto"/>
        </w:rPr>
        <w:t xml:space="preserve">Arturo Rodrigo </w:t>
      </w:r>
      <w:r>
        <w:rPr>
          <w:rFonts w:ascii="Arial" w:cs="Arial" w:eastAsia="Arial" w:hAnsi="Arial"/>
          <w:sz w:val="18"/>
          <w:szCs w:val="18"/>
          <w:color w:val="auto"/>
        </w:rPr>
        <w:t>is the Senior Vice President, Insurance for Credicorp and is the General Manager of PPS. Prior to joining PPS in 1976, Mr. Rodrigo worked at</w:t>
      </w:r>
      <w:r>
        <w:rPr>
          <w:rFonts w:ascii="Arial" w:cs="Arial" w:eastAsia="Arial" w:hAnsi="Arial"/>
          <w:sz w:val="18"/>
          <w:szCs w:val="18"/>
          <w:i w:val="1"/>
          <w:iCs w:val="1"/>
          <w:color w:val="auto"/>
        </w:rPr>
        <w:t xml:space="preserve"> </w:t>
      </w:r>
      <w:r>
        <w:rPr>
          <w:rFonts w:ascii="Arial" w:cs="Arial" w:eastAsia="Arial" w:hAnsi="Arial"/>
          <w:sz w:val="18"/>
          <w:szCs w:val="18"/>
          <w:color w:val="auto"/>
        </w:rPr>
        <w:t>La Vitalicia Compañía de Seguros. Before becoming General Manager of PPS, Mr. Rodrigo held various management positions at PPS, managing both the technical area and the commercial property line.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Compensation</w:t>
      </w:r>
    </w:p>
    <w:p>
      <w:pPr>
        <w:spacing w:after="0" w:line="231" w:lineRule="exact"/>
        <w:rPr>
          <w:sz w:val="20"/>
          <w:szCs w:val="20"/>
          <w:color w:val="auto"/>
        </w:rPr>
      </w:pPr>
    </w:p>
    <w:p>
      <w:pPr>
        <w:jc w:val="both"/>
        <w:ind w:firstLine="236"/>
        <w:spacing w:after="0" w:line="332" w:lineRule="auto"/>
        <w:rPr>
          <w:sz w:val="20"/>
          <w:szCs w:val="20"/>
          <w:color w:val="auto"/>
        </w:rPr>
      </w:pPr>
      <w:r>
        <w:rPr>
          <w:rFonts w:ascii="Arial" w:cs="Arial" w:eastAsia="Arial" w:hAnsi="Arial"/>
          <w:sz w:val="16"/>
          <w:szCs w:val="16"/>
          <w:color w:val="auto"/>
        </w:rPr>
        <w:t>The aggregate amount of compensation paid by Credicorp to all Directors and executive officers for 2003 was US$4.9 million. Credicorp does not disclose to its shareholders or otherwise make available to the public information as to the compensation of its individual directors or executive officers.</w:t>
      </w:r>
    </w:p>
    <w:p>
      <w:pPr>
        <w:spacing w:after="0" w:line="139" w:lineRule="exact"/>
        <w:rPr>
          <w:sz w:val="20"/>
          <w:szCs w:val="20"/>
          <w:color w:val="auto"/>
        </w:rPr>
      </w:pPr>
    </w:p>
    <w:p>
      <w:pPr>
        <w:jc w:val="both"/>
        <w:ind w:firstLine="299"/>
        <w:spacing w:after="0" w:line="259" w:lineRule="auto"/>
        <w:rPr>
          <w:sz w:val="20"/>
          <w:szCs w:val="20"/>
          <w:color w:val="auto"/>
        </w:rPr>
      </w:pPr>
      <w:r>
        <w:rPr>
          <w:rFonts w:ascii="Arial" w:cs="Arial" w:eastAsia="Arial" w:hAnsi="Arial"/>
          <w:sz w:val="18"/>
          <w:szCs w:val="18"/>
          <w:color w:val="auto"/>
        </w:rPr>
        <w:t>Pursuant to the Credicorp Shares Purchase Options Plan (the “Plan”) which Credicorp instituted to grant options beginning in fiscal year 1999, Credicorp granted options to purchase Common Shares to certain Directors and administrative, supervisory and management personnel during each year since 1999 and through 2003 (each individually an “Option” and collectively the “Options”). Each Option expires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347" w:right="239" w:bottom="1440" w:gutter="0" w:footer="0" w:header="0"/>
        </w:sectPr>
      </w:pPr>
    </w:p>
    <w:bookmarkStart w:id="102" w:name="page103"/>
    <w:bookmarkEnd w:id="102"/>
    <w:p>
      <w:pPr>
        <w:jc w:val="both"/>
        <w:spacing w:after="0" w:line="289" w:lineRule="auto"/>
        <w:rPr>
          <w:sz w:val="20"/>
          <w:szCs w:val="20"/>
          <w:color w:val="auto"/>
        </w:rPr>
      </w:pPr>
      <w:r>
        <w:rPr>
          <w:rFonts w:ascii="Arial" w:cs="Arial" w:eastAsia="Arial" w:hAnsi="Arial"/>
          <w:sz w:val="16"/>
          <w:szCs w:val="16"/>
          <w:color w:val="auto"/>
        </w:rPr>
        <w:t>eight years after the date of grant. The Options vest in 25% increments during the first four years following the date of grant. From the end of the fourth year after the grant of an Option until the expiration date of the Option, all or a portion of such Option still outstanding under the Plan may be exercised at any time. The Options granted in 1999 amounted to 475,000 Common Shares with an exercise price of US$8.94. Options granted in 2000 amounted to 534,000 Common Shares with an exercise price of US$10.10, Options granted in 2001 amounted to 573,000 Common Shares with an exercise price of US$6.90, Options granted in 2002 amounted to 575,000 Common Shares with an exercise price of US$8.58, and Options granted in 2003 amounted to 569,750 Common Shares with an exercise price of US$9.77. In 2002 and 2003, prices of the Options were modified. The exercise prices of the Options are reduced by an amount equal to the excess over US$0.20 of total dividends paid per share in a given year. As of December 31, 2003, Options on 298,500 Common Shares had been exercised (1,250 as of December 31, 2002) for an approximate amount of US$1 million. See Note 16 to Credicorp’s Consolidated Financial Statements.</w:t>
      </w:r>
    </w:p>
    <w:p>
      <w:pPr>
        <w:spacing w:after="0" w:line="172"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following table reflects the number of Options outstanding and the exercise price of such Options, as reduced according to the formula described above, at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2003, 2002 and 2001:</w:t>
      </w: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134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00" w:type="dxa"/>
            <w:vAlign w:val="bottom"/>
          </w:tcPr>
          <w:p>
            <w:pPr>
              <w:jc w:val="right"/>
              <w:ind w:right="332"/>
              <w:spacing w:after="0"/>
              <w:rPr>
                <w:sz w:val="20"/>
                <w:szCs w:val="20"/>
                <w:color w:val="auto"/>
              </w:rPr>
            </w:pPr>
            <w:r>
              <w:rPr>
                <w:rFonts w:ascii="Arial" w:cs="Arial" w:eastAsia="Arial" w:hAnsi="Arial"/>
                <w:sz w:val="18"/>
                <w:szCs w:val="18"/>
                <w:b w:val="1"/>
                <w:bCs w:val="1"/>
                <w:color w:val="auto"/>
              </w:rPr>
              <w:t>At December 31,</w:t>
            </w:r>
          </w:p>
        </w:tc>
        <w:tc>
          <w:tcPr>
            <w:tcW w:w="2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137"/>
        </w:trPr>
        <w:tc>
          <w:tcPr>
            <w:tcW w:w="134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208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21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2100" w:type="dxa"/>
            <w:vAlign w:val="bottom"/>
            <w:tcBorders>
              <w:bottom w:val="single" w:sz="8" w:color="9A9A9A"/>
            </w:tcBorders>
          </w:tcPr>
          <w:p>
            <w:pPr>
              <w:spacing w:after="0"/>
              <w:rPr>
                <w:sz w:val="11"/>
                <w:szCs w:val="11"/>
                <w:color w:val="auto"/>
              </w:rPr>
            </w:pPr>
          </w:p>
        </w:tc>
      </w:tr>
      <w:tr>
        <w:trPr>
          <w:trHeight w:val="356"/>
        </w:trPr>
        <w:tc>
          <w:tcPr>
            <w:tcW w:w="1340" w:type="dxa"/>
            <w:vAlign w:val="bottom"/>
          </w:tcPr>
          <w:p>
            <w:pPr>
              <w:spacing w:after="0"/>
              <w:rPr>
                <w:sz w:val="20"/>
                <w:szCs w:val="20"/>
                <w:color w:val="auto"/>
              </w:rPr>
            </w:pPr>
            <w:r>
              <w:rPr>
                <w:rFonts w:ascii="Arial" w:cs="Arial" w:eastAsia="Arial" w:hAnsi="Arial"/>
                <w:sz w:val="18"/>
                <w:szCs w:val="18"/>
                <w:b w:val="1"/>
                <w:bCs w:val="1"/>
                <w:color w:val="auto"/>
              </w:rPr>
              <w:t>Year</w:t>
            </w:r>
          </w:p>
        </w:tc>
        <w:tc>
          <w:tcPr>
            <w:tcW w:w="3700" w:type="dxa"/>
            <w:vAlign w:val="bottom"/>
          </w:tcPr>
          <w:p>
            <w:pPr>
              <w:jc w:val="center"/>
              <w:ind w:right="252"/>
              <w:spacing w:after="0"/>
              <w:rPr>
                <w:sz w:val="20"/>
                <w:szCs w:val="20"/>
                <w:color w:val="auto"/>
              </w:rPr>
            </w:pPr>
            <w:r>
              <w:rPr>
                <w:rFonts w:ascii="Arial" w:cs="Arial" w:eastAsia="Arial" w:hAnsi="Arial"/>
                <w:sz w:val="18"/>
                <w:szCs w:val="18"/>
                <w:b w:val="1"/>
                <w:bCs w:val="1"/>
                <w:color w:val="auto"/>
                <w:w w:val="87"/>
              </w:rPr>
              <w:t>Number of Shares</w:t>
            </w:r>
          </w:p>
        </w:tc>
        <w:tc>
          <w:tcPr>
            <w:tcW w:w="2080" w:type="dxa"/>
            <w:vAlign w:val="bottom"/>
          </w:tcPr>
          <w:p>
            <w:pPr>
              <w:jc w:val="right"/>
              <w:ind w:right="812"/>
              <w:spacing w:after="0"/>
              <w:rPr>
                <w:sz w:val="20"/>
                <w:szCs w:val="20"/>
                <w:color w:val="auto"/>
              </w:rPr>
            </w:pPr>
            <w:r>
              <w:rPr>
                <w:rFonts w:ascii="Arial" w:cs="Arial" w:eastAsia="Arial" w:hAnsi="Arial"/>
                <w:sz w:val="18"/>
                <w:szCs w:val="18"/>
                <w:b w:val="1"/>
                <w:bCs w:val="1"/>
                <w:color w:val="auto"/>
              </w:rPr>
              <w:t>2003</w:t>
            </w:r>
          </w:p>
        </w:tc>
        <w:tc>
          <w:tcPr>
            <w:tcW w:w="2120" w:type="dxa"/>
            <w:vAlign w:val="bottom"/>
            <w:gridSpan w:val="2"/>
          </w:tcPr>
          <w:p>
            <w:pPr>
              <w:jc w:val="right"/>
              <w:ind w:right="812"/>
              <w:spacing w:after="0"/>
              <w:rPr>
                <w:sz w:val="20"/>
                <w:szCs w:val="20"/>
                <w:color w:val="auto"/>
              </w:rPr>
            </w:pPr>
            <w:r>
              <w:rPr>
                <w:rFonts w:ascii="Arial" w:cs="Arial" w:eastAsia="Arial" w:hAnsi="Arial"/>
                <w:sz w:val="18"/>
                <w:szCs w:val="18"/>
                <w:b w:val="1"/>
                <w:bCs w:val="1"/>
                <w:color w:val="auto"/>
              </w:rPr>
              <w:t>2002</w:t>
            </w:r>
          </w:p>
        </w:tc>
        <w:tc>
          <w:tcPr>
            <w:tcW w:w="2120" w:type="dxa"/>
            <w:vAlign w:val="bottom"/>
            <w:gridSpan w:val="2"/>
          </w:tcPr>
          <w:p>
            <w:pPr>
              <w:jc w:val="right"/>
              <w:ind w:right="812"/>
              <w:spacing w:after="0"/>
              <w:rPr>
                <w:sz w:val="20"/>
                <w:szCs w:val="20"/>
                <w:color w:val="auto"/>
              </w:rPr>
            </w:pPr>
            <w:r>
              <w:rPr>
                <w:rFonts w:ascii="Arial" w:cs="Arial" w:eastAsia="Arial" w:hAnsi="Arial"/>
                <w:sz w:val="18"/>
                <w:szCs w:val="18"/>
                <w:b w:val="1"/>
                <w:bCs w:val="1"/>
                <w:color w:val="auto"/>
              </w:rPr>
              <w:t>2001</w:t>
            </w:r>
          </w:p>
        </w:tc>
      </w:tr>
      <w:tr>
        <w:trPr>
          <w:trHeight w:val="137"/>
        </w:trPr>
        <w:tc>
          <w:tcPr>
            <w:tcW w:w="134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20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21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2100" w:type="dxa"/>
            <w:vAlign w:val="bottom"/>
            <w:tcBorders>
              <w:bottom w:val="single" w:sz="8" w:color="9A9A9A"/>
            </w:tcBorders>
          </w:tcPr>
          <w:p>
            <w:pPr>
              <w:spacing w:after="0"/>
              <w:rPr>
                <w:sz w:val="11"/>
                <w:szCs w:val="11"/>
                <w:color w:val="auto"/>
              </w:rPr>
            </w:pPr>
          </w:p>
        </w:tc>
      </w:tr>
      <w:tr>
        <w:trPr>
          <w:trHeight w:val="356"/>
        </w:trPr>
        <w:tc>
          <w:tcPr>
            <w:tcW w:w="1340" w:type="dxa"/>
            <w:vAlign w:val="bottom"/>
          </w:tcPr>
          <w:p>
            <w:pPr>
              <w:spacing w:after="0"/>
              <w:rPr>
                <w:sz w:val="20"/>
                <w:szCs w:val="20"/>
                <w:color w:val="auto"/>
              </w:rPr>
            </w:pPr>
            <w:r>
              <w:rPr>
                <w:rFonts w:ascii="Arial" w:cs="Arial" w:eastAsia="Arial" w:hAnsi="Arial"/>
                <w:sz w:val="18"/>
                <w:szCs w:val="18"/>
                <w:color w:val="auto"/>
              </w:rPr>
              <w:t>1999</w:t>
            </w:r>
          </w:p>
        </w:tc>
        <w:tc>
          <w:tcPr>
            <w:tcW w:w="3700" w:type="dxa"/>
            <w:vAlign w:val="bottom"/>
          </w:tcPr>
          <w:p>
            <w:pPr>
              <w:jc w:val="center"/>
              <w:ind w:right="292"/>
              <w:spacing w:after="0"/>
              <w:rPr>
                <w:sz w:val="20"/>
                <w:szCs w:val="20"/>
                <w:color w:val="auto"/>
              </w:rPr>
            </w:pPr>
            <w:r>
              <w:rPr>
                <w:rFonts w:ascii="Arial" w:cs="Arial" w:eastAsia="Arial" w:hAnsi="Arial"/>
                <w:sz w:val="18"/>
                <w:szCs w:val="18"/>
                <w:color w:val="auto"/>
                <w:w w:val="86"/>
              </w:rPr>
              <w:t>366,000</w:t>
            </w:r>
          </w:p>
        </w:tc>
        <w:tc>
          <w:tcPr>
            <w:tcW w:w="2080" w:type="dxa"/>
            <w:vAlign w:val="bottom"/>
          </w:tcPr>
          <w:p>
            <w:pPr>
              <w:jc w:val="right"/>
              <w:spacing w:after="0"/>
              <w:rPr>
                <w:sz w:val="20"/>
                <w:szCs w:val="20"/>
                <w:color w:val="auto"/>
              </w:rPr>
            </w:pPr>
            <w:r>
              <w:rPr>
                <w:rFonts w:ascii="Arial" w:cs="Arial" w:eastAsia="Arial" w:hAnsi="Arial"/>
                <w:sz w:val="18"/>
                <w:szCs w:val="18"/>
                <w:color w:val="auto"/>
              </w:rPr>
              <w:t>US$ 8.94</w:t>
            </w:r>
          </w:p>
        </w:tc>
        <w:tc>
          <w:tcPr>
            <w:tcW w:w="2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US$ 9.09</w:t>
            </w:r>
          </w:p>
        </w:tc>
        <w:tc>
          <w:tcPr>
            <w:tcW w:w="2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US$ 9.39</w:t>
            </w:r>
          </w:p>
        </w:tc>
      </w:tr>
      <w:tr>
        <w:trPr>
          <w:trHeight w:val="243"/>
        </w:trPr>
        <w:tc>
          <w:tcPr>
            <w:tcW w:w="1340" w:type="dxa"/>
            <w:vAlign w:val="bottom"/>
          </w:tcPr>
          <w:p>
            <w:pPr>
              <w:spacing w:after="0"/>
              <w:rPr>
                <w:sz w:val="20"/>
                <w:szCs w:val="20"/>
                <w:color w:val="auto"/>
              </w:rPr>
            </w:pPr>
            <w:r>
              <w:rPr>
                <w:rFonts w:ascii="Arial" w:cs="Arial" w:eastAsia="Arial" w:hAnsi="Arial"/>
                <w:sz w:val="18"/>
                <w:szCs w:val="18"/>
                <w:color w:val="auto"/>
              </w:rPr>
              <w:t>2000</w:t>
            </w:r>
          </w:p>
        </w:tc>
        <w:tc>
          <w:tcPr>
            <w:tcW w:w="3700" w:type="dxa"/>
            <w:vAlign w:val="bottom"/>
          </w:tcPr>
          <w:p>
            <w:pPr>
              <w:jc w:val="center"/>
              <w:ind w:right="292"/>
              <w:spacing w:after="0"/>
              <w:rPr>
                <w:sz w:val="20"/>
                <w:szCs w:val="20"/>
                <w:color w:val="auto"/>
              </w:rPr>
            </w:pPr>
            <w:r>
              <w:rPr>
                <w:rFonts w:ascii="Arial" w:cs="Arial" w:eastAsia="Arial" w:hAnsi="Arial"/>
                <w:sz w:val="18"/>
                <w:szCs w:val="18"/>
                <w:color w:val="auto"/>
                <w:w w:val="86"/>
              </w:rPr>
              <w:t>429,000</w:t>
            </w:r>
          </w:p>
        </w:tc>
        <w:tc>
          <w:tcPr>
            <w:tcW w:w="2080" w:type="dxa"/>
            <w:vAlign w:val="bottom"/>
          </w:tcPr>
          <w:p>
            <w:pPr>
              <w:jc w:val="right"/>
              <w:spacing w:after="0"/>
              <w:rPr>
                <w:sz w:val="20"/>
                <w:szCs w:val="20"/>
                <w:color w:val="auto"/>
              </w:rPr>
            </w:pPr>
            <w:r>
              <w:rPr>
                <w:rFonts w:ascii="Arial" w:cs="Arial" w:eastAsia="Arial" w:hAnsi="Arial"/>
                <w:sz w:val="18"/>
                <w:szCs w:val="18"/>
                <w:color w:val="auto"/>
              </w:rPr>
              <w:t>10.10</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10.25</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10.50</w:t>
            </w:r>
          </w:p>
        </w:tc>
      </w:tr>
      <w:tr>
        <w:trPr>
          <w:trHeight w:val="243"/>
        </w:trPr>
        <w:tc>
          <w:tcPr>
            <w:tcW w:w="1340" w:type="dxa"/>
            <w:vAlign w:val="bottom"/>
          </w:tcPr>
          <w:p>
            <w:pPr>
              <w:spacing w:after="0"/>
              <w:rPr>
                <w:sz w:val="20"/>
                <w:szCs w:val="20"/>
                <w:color w:val="auto"/>
              </w:rPr>
            </w:pPr>
            <w:r>
              <w:rPr>
                <w:rFonts w:ascii="Arial" w:cs="Arial" w:eastAsia="Arial" w:hAnsi="Arial"/>
                <w:sz w:val="18"/>
                <w:szCs w:val="18"/>
                <w:color w:val="auto"/>
              </w:rPr>
              <w:t>2001</w:t>
            </w:r>
          </w:p>
        </w:tc>
        <w:tc>
          <w:tcPr>
            <w:tcW w:w="3700" w:type="dxa"/>
            <w:vAlign w:val="bottom"/>
          </w:tcPr>
          <w:p>
            <w:pPr>
              <w:jc w:val="center"/>
              <w:ind w:right="292"/>
              <w:spacing w:after="0"/>
              <w:rPr>
                <w:sz w:val="20"/>
                <w:szCs w:val="20"/>
                <w:color w:val="auto"/>
              </w:rPr>
            </w:pPr>
            <w:r>
              <w:rPr>
                <w:rFonts w:ascii="Arial" w:cs="Arial" w:eastAsia="Arial" w:hAnsi="Arial"/>
                <w:sz w:val="18"/>
                <w:szCs w:val="18"/>
                <w:color w:val="auto"/>
                <w:w w:val="86"/>
              </w:rPr>
              <w:t>481,500</w:t>
            </w:r>
          </w:p>
        </w:tc>
        <w:tc>
          <w:tcPr>
            <w:tcW w:w="2080" w:type="dxa"/>
            <w:vAlign w:val="bottom"/>
          </w:tcPr>
          <w:p>
            <w:pPr>
              <w:jc w:val="right"/>
              <w:spacing w:after="0"/>
              <w:rPr>
                <w:sz w:val="20"/>
                <w:szCs w:val="20"/>
                <w:color w:val="auto"/>
              </w:rPr>
            </w:pPr>
            <w:r>
              <w:rPr>
                <w:rFonts w:ascii="Arial" w:cs="Arial" w:eastAsia="Arial" w:hAnsi="Arial"/>
                <w:sz w:val="18"/>
                <w:szCs w:val="18"/>
                <w:color w:val="auto"/>
              </w:rPr>
              <w:t>6.90</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7.05</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7.30</w:t>
            </w:r>
          </w:p>
        </w:tc>
      </w:tr>
      <w:tr>
        <w:trPr>
          <w:trHeight w:val="243"/>
        </w:trPr>
        <w:tc>
          <w:tcPr>
            <w:tcW w:w="1340" w:type="dxa"/>
            <w:vAlign w:val="bottom"/>
          </w:tcPr>
          <w:p>
            <w:pPr>
              <w:spacing w:after="0"/>
              <w:rPr>
                <w:sz w:val="20"/>
                <w:szCs w:val="20"/>
                <w:color w:val="auto"/>
              </w:rPr>
            </w:pPr>
            <w:r>
              <w:rPr>
                <w:rFonts w:ascii="Arial" w:cs="Arial" w:eastAsia="Arial" w:hAnsi="Arial"/>
                <w:sz w:val="18"/>
                <w:szCs w:val="18"/>
                <w:color w:val="auto"/>
              </w:rPr>
              <w:t>2002</w:t>
            </w:r>
          </w:p>
        </w:tc>
        <w:tc>
          <w:tcPr>
            <w:tcW w:w="3700" w:type="dxa"/>
            <w:vAlign w:val="bottom"/>
          </w:tcPr>
          <w:p>
            <w:pPr>
              <w:jc w:val="center"/>
              <w:ind w:right="292"/>
              <w:spacing w:after="0"/>
              <w:rPr>
                <w:sz w:val="20"/>
                <w:szCs w:val="20"/>
                <w:color w:val="auto"/>
              </w:rPr>
            </w:pPr>
            <w:r>
              <w:rPr>
                <w:rFonts w:ascii="Arial" w:cs="Arial" w:eastAsia="Arial" w:hAnsi="Arial"/>
                <w:sz w:val="18"/>
                <w:szCs w:val="18"/>
                <w:color w:val="auto"/>
                <w:w w:val="86"/>
              </w:rPr>
              <w:t>515,000</w:t>
            </w:r>
          </w:p>
        </w:tc>
        <w:tc>
          <w:tcPr>
            <w:tcW w:w="2080" w:type="dxa"/>
            <w:vAlign w:val="bottom"/>
          </w:tcPr>
          <w:p>
            <w:pPr>
              <w:jc w:val="right"/>
              <w:spacing w:after="0"/>
              <w:rPr>
                <w:sz w:val="20"/>
                <w:szCs w:val="20"/>
                <w:color w:val="auto"/>
              </w:rPr>
            </w:pPr>
            <w:r>
              <w:rPr>
                <w:rFonts w:ascii="Arial" w:cs="Arial" w:eastAsia="Arial" w:hAnsi="Arial"/>
                <w:sz w:val="18"/>
                <w:szCs w:val="18"/>
                <w:color w:val="auto"/>
              </w:rPr>
              <w:t>8.58</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8.73</w:t>
            </w:r>
          </w:p>
        </w:tc>
        <w:tc>
          <w:tcPr>
            <w:tcW w:w="2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1340" w:type="dxa"/>
            <w:vAlign w:val="bottom"/>
          </w:tcPr>
          <w:p>
            <w:pPr>
              <w:spacing w:after="0"/>
              <w:rPr>
                <w:sz w:val="20"/>
                <w:szCs w:val="20"/>
                <w:color w:val="auto"/>
              </w:rPr>
            </w:pPr>
            <w:r>
              <w:rPr>
                <w:rFonts w:ascii="Arial" w:cs="Arial" w:eastAsia="Arial" w:hAnsi="Arial"/>
                <w:sz w:val="18"/>
                <w:szCs w:val="18"/>
                <w:color w:val="auto"/>
              </w:rPr>
              <w:t>2003</w:t>
            </w:r>
          </w:p>
        </w:tc>
        <w:tc>
          <w:tcPr>
            <w:tcW w:w="3700" w:type="dxa"/>
            <w:vAlign w:val="bottom"/>
          </w:tcPr>
          <w:p>
            <w:pPr>
              <w:jc w:val="center"/>
              <w:ind w:right="292"/>
              <w:spacing w:after="0"/>
              <w:rPr>
                <w:sz w:val="20"/>
                <w:szCs w:val="20"/>
                <w:color w:val="auto"/>
              </w:rPr>
            </w:pPr>
            <w:r>
              <w:rPr>
                <w:rFonts w:ascii="Arial" w:cs="Arial" w:eastAsia="Arial" w:hAnsi="Arial"/>
                <w:sz w:val="18"/>
                <w:szCs w:val="18"/>
                <w:color w:val="auto"/>
                <w:w w:val="86"/>
              </w:rPr>
              <w:t>569,750</w:t>
            </w:r>
          </w:p>
        </w:tc>
        <w:tc>
          <w:tcPr>
            <w:tcW w:w="2080" w:type="dxa"/>
            <w:vAlign w:val="bottom"/>
          </w:tcPr>
          <w:p>
            <w:pPr>
              <w:jc w:val="right"/>
              <w:spacing w:after="0"/>
              <w:rPr>
                <w:sz w:val="20"/>
                <w:szCs w:val="20"/>
                <w:color w:val="auto"/>
              </w:rPr>
            </w:pPr>
            <w:r>
              <w:rPr>
                <w:rFonts w:ascii="Arial" w:cs="Arial" w:eastAsia="Arial" w:hAnsi="Arial"/>
                <w:sz w:val="18"/>
                <w:szCs w:val="18"/>
                <w:color w:val="auto"/>
              </w:rPr>
              <w:t>9.77</w:t>
            </w:r>
          </w:p>
        </w:tc>
        <w:tc>
          <w:tcPr>
            <w:tcW w:w="2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-1194435</wp:posOffset>
            </wp:positionV>
            <wp:extent cx="34290" cy="342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4520565</wp:posOffset>
            </wp:positionH>
            <wp:positionV relativeFrom="paragraph">
              <wp:posOffset>-868680</wp:posOffset>
            </wp:positionV>
            <wp:extent cx="34290" cy="342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5866765</wp:posOffset>
            </wp:positionH>
            <wp:positionV relativeFrom="paragraph">
              <wp:posOffset>-868680</wp:posOffset>
            </wp:positionV>
            <wp:extent cx="34290" cy="342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-868680</wp:posOffset>
            </wp:positionV>
            <wp:extent cx="34290" cy="342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Board Practices</w:t>
      </w:r>
    </w:p>
    <w:p>
      <w:pPr>
        <w:spacing w:after="0" w:line="231" w:lineRule="exact"/>
        <w:rPr>
          <w:sz w:val="20"/>
          <w:szCs w:val="20"/>
          <w:color w:val="auto"/>
        </w:rPr>
      </w:pPr>
    </w:p>
    <w:p>
      <w:pPr>
        <w:jc w:val="both"/>
        <w:ind w:firstLine="220"/>
        <w:spacing w:after="0" w:line="255" w:lineRule="auto"/>
        <w:rPr>
          <w:sz w:val="20"/>
          <w:szCs w:val="20"/>
          <w:color w:val="auto"/>
        </w:rPr>
      </w:pPr>
      <w:r>
        <w:rPr>
          <w:rFonts w:ascii="Arial" w:cs="Arial" w:eastAsia="Arial" w:hAnsi="Arial"/>
          <w:sz w:val="18"/>
          <w:szCs w:val="18"/>
          <w:color w:val="auto"/>
        </w:rPr>
        <w:t>The management of Credicorp is the responsibility of the Board of Directors, which, pursuant to the Bye-Laws, is composed of six persons. Directors need not be shareholders. Directors are elected and their remuneration is determined at Annual General Shareholders’ Meetings. Directors hold office for three-year terms. The terms of only two Directors expire at a given Annual General Shareholders’ Meeting, and at such meeting their successors are elected. Credicorp’s current Directors have no benefits in addition to the remuneration agreed at the Annual General Shareholders’ Meetings, nor benefits that could be enjoyed at the termination of their service terms.</w:t>
      </w:r>
    </w:p>
    <w:p>
      <w:pPr>
        <w:spacing w:after="0" w:line="197" w:lineRule="exact"/>
        <w:rPr>
          <w:sz w:val="20"/>
          <w:szCs w:val="20"/>
          <w:color w:val="auto"/>
        </w:rPr>
      </w:pPr>
    </w:p>
    <w:p>
      <w:pPr>
        <w:jc w:val="both"/>
        <w:ind w:firstLine="220"/>
        <w:spacing w:after="0" w:line="259" w:lineRule="auto"/>
        <w:rPr>
          <w:sz w:val="20"/>
          <w:szCs w:val="20"/>
          <w:color w:val="auto"/>
        </w:rPr>
      </w:pPr>
      <w:r>
        <w:rPr>
          <w:rFonts w:ascii="Arial" w:cs="Arial" w:eastAsia="Arial" w:hAnsi="Arial"/>
          <w:sz w:val="18"/>
          <w:szCs w:val="18"/>
          <w:color w:val="auto"/>
        </w:rPr>
        <w:t>Pursuant to the Bye-Laws, the number of Directors required to constitute a quorum is a majority of the Directors. A quorum must exist throughout any meeting of Directors. A Director can appoint another Director to act as his representative at a meeting of the Board of Directors. The Board of Directors may act by the unanimous written consent of all Directors.</w:t>
      </w:r>
    </w:p>
    <w:p>
      <w:pPr>
        <w:spacing w:after="0" w:line="194" w:lineRule="exact"/>
        <w:rPr>
          <w:sz w:val="20"/>
          <w:szCs w:val="20"/>
          <w:color w:val="auto"/>
        </w:rPr>
      </w:pPr>
    </w:p>
    <w:p>
      <w:pPr>
        <w:jc w:val="both"/>
        <w:ind w:firstLine="221"/>
        <w:spacing w:after="0" w:line="298" w:lineRule="auto"/>
        <w:rPr>
          <w:sz w:val="20"/>
          <w:szCs w:val="20"/>
          <w:color w:val="auto"/>
        </w:rPr>
      </w:pPr>
      <w:r>
        <w:rPr>
          <w:rFonts w:ascii="Arial" w:cs="Arial" w:eastAsia="Arial" w:hAnsi="Arial"/>
          <w:sz w:val="16"/>
          <w:szCs w:val="16"/>
          <w:color w:val="auto"/>
        </w:rPr>
        <w:t>The Audit Committee is responsible for assisting in the recommendation of independent auditors to be appointed at the Annual General Shareholders’ Meeting of Credicorp and reviewing the scope of internal and external audits. The Audit Committee also reviews compliance with internal control systems, reviews Credicorp’s annual and quarterly financial statements before their presentation to regulatory bodies and maintains the integrity of the preparation of audits. The members of the Audit Committee are currently Messrs. Yarur (Chairman), Nicolini, Llosa and Verme.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347" w:right="239" w:bottom="1440" w:gutter="0" w:footer="0" w:header="0"/>
        </w:sectPr>
      </w:pPr>
    </w:p>
    <w:bookmarkStart w:id="103" w:name="page104"/>
    <w:bookmarkEnd w:id="103"/>
    <w:p>
      <w:pPr>
        <w:jc w:val="both"/>
        <w:ind w:firstLine="276"/>
        <w:spacing w:after="0" w:line="268" w:lineRule="auto"/>
        <w:rPr>
          <w:sz w:val="20"/>
          <w:szCs w:val="20"/>
          <w:color w:val="auto"/>
        </w:rPr>
      </w:pPr>
      <w:r>
        <w:rPr>
          <w:rFonts w:ascii="Arial" w:cs="Arial" w:eastAsia="Arial" w:hAnsi="Arial"/>
          <w:sz w:val="18"/>
          <w:szCs w:val="18"/>
          <w:color w:val="auto"/>
        </w:rPr>
        <w:t>Credicorp’s Audit Committee has also been assigned by the Board of Directors to oversee the internal audit departments at BCP and PPS. As permitted by SBS Resolution No. 1041-99, BCP’s Internal Audit Division has responsibility over all financial activities of its subsidiaries.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Employees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At December 31, 2003, Credicorp had 9,318 full-time employees, distributed as shown in the following table.</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49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20" w:type="dxa"/>
            <w:vAlign w:val="bottom"/>
          </w:tcPr>
          <w:p>
            <w:pPr>
              <w:jc w:val="right"/>
              <w:ind w:right="332"/>
              <w:spacing w:after="0"/>
              <w:rPr>
                <w:sz w:val="20"/>
                <w:szCs w:val="20"/>
                <w:color w:val="auto"/>
              </w:rPr>
            </w:pPr>
            <w:r>
              <w:rPr>
                <w:rFonts w:ascii="Arial" w:cs="Arial" w:eastAsia="Arial" w:hAnsi="Arial"/>
                <w:sz w:val="18"/>
                <w:szCs w:val="18"/>
                <w:b w:val="1"/>
                <w:bCs w:val="1"/>
                <w:color w:val="auto"/>
              </w:rPr>
              <w:t>At December 31,</w:t>
            </w:r>
          </w:p>
        </w:tc>
        <w:tc>
          <w:tcPr>
            <w:tcW w:w="4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137"/>
        </w:trPr>
        <w:tc>
          <w:tcPr>
            <w:tcW w:w="4960" w:type="dxa"/>
            <w:vAlign w:val="bottom"/>
          </w:tcPr>
          <w:p>
            <w:pPr>
              <w:spacing w:after="0"/>
              <w:rPr>
                <w:sz w:val="11"/>
                <w:szCs w:val="11"/>
                <w:color w:val="auto"/>
              </w:rPr>
            </w:pPr>
          </w:p>
        </w:tc>
        <w:tc>
          <w:tcPr>
            <w:tcW w:w="142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212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2120" w:type="dxa"/>
            <w:vAlign w:val="bottom"/>
            <w:tcBorders>
              <w:bottom w:val="single" w:sz="8" w:color="9A9A9A"/>
            </w:tcBorders>
          </w:tcPr>
          <w:p>
            <w:pPr>
              <w:spacing w:after="0"/>
              <w:rPr>
                <w:sz w:val="11"/>
                <w:szCs w:val="11"/>
                <w:color w:val="auto"/>
              </w:rPr>
            </w:pPr>
          </w:p>
        </w:tc>
      </w:tr>
      <w:tr>
        <w:trPr>
          <w:trHeight w:val="356"/>
        </w:trPr>
        <w:tc>
          <w:tcPr>
            <w:tcW w:w="6380" w:type="dxa"/>
            <w:vAlign w:val="bottom"/>
            <w:gridSpan w:val="2"/>
          </w:tcPr>
          <w:p>
            <w:pPr>
              <w:ind w:left="5800"/>
              <w:spacing w:after="0"/>
              <w:rPr>
                <w:sz w:val="20"/>
                <w:szCs w:val="20"/>
                <w:color w:val="auto"/>
              </w:rPr>
            </w:pPr>
            <w:r>
              <w:rPr>
                <w:rFonts w:ascii="Arial" w:cs="Arial" w:eastAsia="Arial" w:hAnsi="Arial"/>
                <w:sz w:val="18"/>
                <w:szCs w:val="18"/>
                <w:b w:val="1"/>
                <w:bCs w:val="1"/>
                <w:color w:val="auto"/>
              </w:rPr>
              <w:t>2001</w:t>
            </w:r>
          </w:p>
        </w:tc>
        <w:tc>
          <w:tcPr>
            <w:tcW w:w="680" w:type="dxa"/>
            <w:vAlign w:val="bottom"/>
          </w:tcPr>
          <w:p>
            <w:pPr>
              <w:spacing w:after="0"/>
              <w:rPr>
                <w:sz w:val="24"/>
                <w:szCs w:val="24"/>
                <w:color w:val="auto"/>
              </w:rPr>
            </w:pPr>
          </w:p>
        </w:tc>
        <w:tc>
          <w:tcPr>
            <w:tcW w:w="2140" w:type="dxa"/>
            <w:vAlign w:val="bottom"/>
            <w:gridSpan w:val="2"/>
          </w:tcPr>
          <w:p>
            <w:pPr>
              <w:jc w:val="right"/>
              <w:ind w:right="812"/>
              <w:spacing w:after="0"/>
              <w:rPr>
                <w:sz w:val="20"/>
                <w:szCs w:val="20"/>
                <w:color w:val="auto"/>
              </w:rPr>
            </w:pPr>
            <w:r>
              <w:rPr>
                <w:rFonts w:ascii="Arial" w:cs="Arial" w:eastAsia="Arial" w:hAnsi="Arial"/>
                <w:sz w:val="18"/>
                <w:szCs w:val="18"/>
                <w:b w:val="1"/>
                <w:bCs w:val="1"/>
                <w:color w:val="auto"/>
              </w:rPr>
              <w:t>2002</w:t>
            </w:r>
          </w:p>
        </w:tc>
        <w:tc>
          <w:tcPr>
            <w:tcW w:w="2160" w:type="dxa"/>
            <w:vAlign w:val="bottom"/>
            <w:gridSpan w:val="2"/>
          </w:tcPr>
          <w:p>
            <w:pPr>
              <w:jc w:val="right"/>
              <w:ind w:right="920"/>
              <w:spacing w:after="0"/>
              <w:rPr>
                <w:sz w:val="20"/>
                <w:szCs w:val="20"/>
                <w:color w:val="auto"/>
              </w:rPr>
            </w:pPr>
            <w:r>
              <w:rPr>
                <w:rFonts w:ascii="Arial" w:cs="Arial" w:eastAsia="Arial" w:hAnsi="Arial"/>
                <w:sz w:val="18"/>
                <w:szCs w:val="18"/>
                <w:b w:val="1"/>
                <w:bCs w:val="1"/>
                <w:color w:val="auto"/>
              </w:rPr>
              <w:t>2003</w:t>
            </w:r>
          </w:p>
        </w:tc>
      </w:tr>
      <w:tr>
        <w:trPr>
          <w:trHeight w:val="137"/>
        </w:trPr>
        <w:tc>
          <w:tcPr>
            <w:tcW w:w="4960" w:type="dxa"/>
            <w:vAlign w:val="bottom"/>
          </w:tcPr>
          <w:p>
            <w:pPr>
              <w:spacing w:after="0"/>
              <w:rPr>
                <w:sz w:val="11"/>
                <w:szCs w:val="11"/>
                <w:color w:val="auto"/>
              </w:rPr>
            </w:pPr>
          </w:p>
        </w:tc>
        <w:tc>
          <w:tcPr>
            <w:tcW w:w="142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212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tcBorders>
              <w:bottom w:val="single" w:sz="8" w:color="9A9A9A"/>
            </w:tcBorders>
          </w:tcPr>
          <w:p>
            <w:pPr>
              <w:spacing w:after="0"/>
              <w:rPr>
                <w:sz w:val="11"/>
                <w:szCs w:val="11"/>
                <w:color w:val="auto"/>
              </w:rPr>
            </w:pPr>
          </w:p>
        </w:tc>
      </w:tr>
      <w:tr>
        <w:trPr>
          <w:trHeight w:val="356"/>
        </w:trPr>
        <w:tc>
          <w:tcPr>
            <w:tcW w:w="4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tcPr>
          <w:p>
            <w:pPr>
              <w:jc w:val="right"/>
              <w:ind w:right="192"/>
              <w:spacing w:after="0"/>
              <w:rPr>
                <w:sz w:val="20"/>
                <w:szCs w:val="20"/>
                <w:color w:val="auto"/>
              </w:rPr>
            </w:pPr>
            <w:r>
              <w:rPr>
                <w:rFonts w:ascii="Arial" w:cs="Arial" w:eastAsia="Arial" w:hAnsi="Arial"/>
                <w:sz w:val="18"/>
                <w:szCs w:val="18"/>
                <w:i w:val="1"/>
                <w:iCs w:val="1"/>
                <w:color w:val="auto"/>
              </w:rPr>
              <w:t>(Full-time employees)</w:t>
            </w:r>
          </w:p>
        </w:tc>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43"/>
        </w:trPr>
        <w:tc>
          <w:tcPr>
            <w:tcW w:w="6380" w:type="dxa"/>
            <w:vAlign w:val="bottom"/>
            <w:gridSpan w:val="2"/>
          </w:tcPr>
          <w:p>
            <w:pPr>
              <w:spacing w:after="0"/>
              <w:rPr>
                <w:sz w:val="20"/>
                <w:szCs w:val="20"/>
                <w:color w:val="auto"/>
              </w:rPr>
            </w:pPr>
            <w:r>
              <w:rPr>
                <w:rFonts w:ascii="Arial" w:cs="Arial" w:eastAsia="Arial" w:hAnsi="Arial"/>
                <w:sz w:val="18"/>
                <w:szCs w:val="18"/>
                <w:color w:val="auto"/>
              </w:rPr>
              <w:t>BCP</w:t>
            </w:r>
          </w:p>
        </w:tc>
        <w:tc>
          <w:tcPr>
            <w:tcW w:w="680" w:type="dxa"/>
            <w:vAlign w:val="bottom"/>
          </w:tcPr>
          <w:p>
            <w:pPr>
              <w:jc w:val="right"/>
              <w:spacing w:after="0"/>
              <w:rPr>
                <w:sz w:val="20"/>
                <w:szCs w:val="20"/>
                <w:color w:val="auto"/>
              </w:rPr>
            </w:pPr>
            <w:r>
              <w:rPr>
                <w:rFonts w:ascii="Arial" w:cs="Arial" w:eastAsia="Arial" w:hAnsi="Arial"/>
                <w:sz w:val="18"/>
                <w:szCs w:val="18"/>
                <w:color w:val="auto"/>
              </w:rPr>
              <w:t>7,747</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8,356</w:t>
            </w:r>
          </w:p>
        </w:tc>
        <w:tc>
          <w:tcPr>
            <w:tcW w:w="2160" w:type="dxa"/>
            <w:vAlign w:val="bottom"/>
            <w:gridSpan w:val="2"/>
          </w:tcPr>
          <w:p>
            <w:pPr>
              <w:jc w:val="right"/>
              <w:ind w:right="60"/>
              <w:spacing w:after="0"/>
              <w:rPr>
                <w:sz w:val="20"/>
                <w:szCs w:val="20"/>
                <w:color w:val="auto"/>
              </w:rPr>
            </w:pPr>
            <w:r>
              <w:rPr>
                <w:rFonts w:ascii="Arial" w:cs="Arial" w:eastAsia="Arial" w:hAnsi="Arial"/>
                <w:sz w:val="18"/>
                <w:szCs w:val="18"/>
                <w:color w:val="auto"/>
              </w:rPr>
              <w:t>7,530</w:t>
            </w:r>
          </w:p>
        </w:tc>
      </w:tr>
      <w:tr>
        <w:trPr>
          <w:trHeight w:val="243"/>
        </w:trPr>
        <w:tc>
          <w:tcPr>
            <w:tcW w:w="6380" w:type="dxa"/>
            <w:vAlign w:val="bottom"/>
            <w:gridSpan w:val="2"/>
          </w:tcPr>
          <w:p>
            <w:pPr>
              <w:spacing w:after="0"/>
              <w:rPr>
                <w:sz w:val="20"/>
                <w:szCs w:val="20"/>
                <w:color w:val="auto"/>
              </w:rPr>
            </w:pPr>
            <w:r>
              <w:rPr>
                <w:rFonts w:ascii="Arial" w:cs="Arial" w:eastAsia="Arial" w:hAnsi="Arial"/>
                <w:sz w:val="18"/>
                <w:szCs w:val="18"/>
                <w:color w:val="auto"/>
              </w:rPr>
              <w:t>Banco Tequendama</w:t>
            </w:r>
          </w:p>
        </w:tc>
        <w:tc>
          <w:tcPr>
            <w:tcW w:w="680" w:type="dxa"/>
            <w:vAlign w:val="bottom"/>
          </w:tcPr>
          <w:p>
            <w:pPr>
              <w:jc w:val="right"/>
              <w:spacing w:after="0"/>
              <w:rPr>
                <w:sz w:val="20"/>
                <w:szCs w:val="20"/>
                <w:color w:val="auto"/>
              </w:rPr>
            </w:pPr>
            <w:r>
              <w:rPr>
                <w:rFonts w:ascii="Arial" w:cs="Arial" w:eastAsia="Arial" w:hAnsi="Arial"/>
                <w:sz w:val="18"/>
                <w:szCs w:val="18"/>
                <w:color w:val="auto"/>
              </w:rPr>
              <w:t>457</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380</w:t>
            </w:r>
          </w:p>
        </w:tc>
        <w:tc>
          <w:tcPr>
            <w:tcW w:w="2160" w:type="dxa"/>
            <w:vAlign w:val="bottom"/>
            <w:gridSpan w:val="2"/>
          </w:tcPr>
          <w:p>
            <w:pPr>
              <w:jc w:val="right"/>
              <w:ind w:right="60"/>
              <w:spacing w:after="0"/>
              <w:rPr>
                <w:sz w:val="20"/>
                <w:szCs w:val="20"/>
                <w:color w:val="auto"/>
              </w:rPr>
            </w:pPr>
            <w:r>
              <w:rPr>
                <w:rFonts w:ascii="Arial" w:cs="Arial" w:eastAsia="Arial" w:hAnsi="Arial"/>
                <w:sz w:val="18"/>
                <w:szCs w:val="18"/>
                <w:color w:val="auto"/>
              </w:rPr>
              <w:t>306</w:t>
            </w:r>
          </w:p>
        </w:tc>
      </w:tr>
      <w:tr>
        <w:trPr>
          <w:trHeight w:val="243"/>
        </w:trPr>
        <w:tc>
          <w:tcPr>
            <w:tcW w:w="6380" w:type="dxa"/>
            <w:vAlign w:val="bottom"/>
            <w:gridSpan w:val="2"/>
          </w:tcPr>
          <w:p>
            <w:pPr>
              <w:spacing w:after="0"/>
              <w:rPr>
                <w:sz w:val="20"/>
                <w:szCs w:val="20"/>
                <w:color w:val="auto"/>
              </w:rPr>
            </w:pPr>
            <w:r>
              <w:rPr>
                <w:rFonts w:ascii="Arial" w:cs="Arial" w:eastAsia="Arial" w:hAnsi="Arial"/>
                <w:sz w:val="18"/>
                <w:szCs w:val="18"/>
                <w:color w:val="auto"/>
              </w:rPr>
              <w:t>PPS</w:t>
            </w:r>
          </w:p>
        </w:tc>
        <w:tc>
          <w:tcPr>
            <w:tcW w:w="680" w:type="dxa"/>
            <w:vAlign w:val="bottom"/>
          </w:tcPr>
          <w:p>
            <w:pPr>
              <w:jc w:val="right"/>
              <w:spacing w:after="0"/>
              <w:rPr>
                <w:sz w:val="20"/>
                <w:szCs w:val="20"/>
                <w:color w:val="auto"/>
              </w:rPr>
            </w:pPr>
            <w:r>
              <w:rPr>
                <w:rFonts w:ascii="Arial" w:cs="Arial" w:eastAsia="Arial" w:hAnsi="Arial"/>
                <w:sz w:val="18"/>
                <w:szCs w:val="18"/>
                <w:color w:val="auto"/>
              </w:rPr>
              <w:t>946</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954</w:t>
            </w:r>
          </w:p>
        </w:tc>
        <w:tc>
          <w:tcPr>
            <w:tcW w:w="2160" w:type="dxa"/>
            <w:vAlign w:val="bottom"/>
            <w:gridSpan w:val="2"/>
          </w:tcPr>
          <w:p>
            <w:pPr>
              <w:jc w:val="right"/>
              <w:ind w:right="60"/>
              <w:spacing w:after="0"/>
              <w:rPr>
                <w:sz w:val="20"/>
                <w:szCs w:val="20"/>
                <w:color w:val="auto"/>
              </w:rPr>
            </w:pPr>
            <w:r>
              <w:rPr>
                <w:rFonts w:ascii="Arial" w:cs="Arial" w:eastAsia="Arial" w:hAnsi="Arial"/>
                <w:sz w:val="18"/>
                <w:szCs w:val="18"/>
                <w:color w:val="auto"/>
              </w:rPr>
              <w:t>1,107</w:t>
            </w:r>
          </w:p>
        </w:tc>
      </w:tr>
      <w:tr>
        <w:trPr>
          <w:trHeight w:val="243"/>
        </w:trPr>
        <w:tc>
          <w:tcPr>
            <w:tcW w:w="6380" w:type="dxa"/>
            <w:vAlign w:val="bottom"/>
            <w:gridSpan w:val="2"/>
          </w:tcPr>
          <w:p>
            <w:pPr>
              <w:spacing w:after="0"/>
              <w:rPr>
                <w:sz w:val="20"/>
                <w:szCs w:val="20"/>
                <w:color w:val="auto"/>
              </w:rPr>
            </w:pPr>
            <w:r>
              <w:rPr>
                <w:rFonts w:ascii="Arial" w:cs="Arial" w:eastAsia="Arial" w:hAnsi="Arial"/>
                <w:sz w:val="18"/>
                <w:szCs w:val="18"/>
                <w:color w:val="auto"/>
              </w:rPr>
              <w:t>ASHC</w:t>
            </w:r>
          </w:p>
        </w:tc>
        <w:tc>
          <w:tcPr>
            <w:tcW w:w="680" w:type="dxa"/>
            <w:vAlign w:val="bottom"/>
          </w:tcPr>
          <w:p>
            <w:pPr>
              <w:jc w:val="right"/>
              <w:spacing w:after="0"/>
              <w:rPr>
                <w:sz w:val="20"/>
                <w:szCs w:val="20"/>
                <w:color w:val="auto"/>
              </w:rPr>
            </w:pPr>
            <w:r>
              <w:rPr>
                <w:rFonts w:ascii="Arial" w:cs="Arial" w:eastAsia="Arial" w:hAnsi="Arial"/>
                <w:sz w:val="18"/>
                <w:szCs w:val="18"/>
                <w:color w:val="auto"/>
              </w:rPr>
              <w:t>93</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216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r>
      <w:tr>
        <w:trPr>
          <w:trHeight w:val="243"/>
        </w:trPr>
        <w:tc>
          <w:tcPr>
            <w:tcW w:w="6380" w:type="dxa"/>
            <w:vAlign w:val="bottom"/>
            <w:gridSpan w:val="2"/>
          </w:tcPr>
          <w:p>
            <w:pPr>
              <w:spacing w:after="0"/>
              <w:rPr>
                <w:sz w:val="20"/>
                <w:szCs w:val="20"/>
                <w:color w:val="auto"/>
              </w:rPr>
            </w:pPr>
            <w:r>
              <w:rPr>
                <w:rFonts w:ascii="Arial" w:cs="Arial" w:eastAsia="Arial" w:hAnsi="Arial"/>
                <w:sz w:val="18"/>
                <w:szCs w:val="18"/>
                <w:color w:val="auto"/>
              </w:rPr>
              <w:t>Others</w:t>
            </w:r>
          </w:p>
        </w:tc>
        <w:tc>
          <w:tcPr>
            <w:tcW w:w="680" w:type="dxa"/>
            <w:vAlign w:val="bottom"/>
          </w:tcPr>
          <w:p>
            <w:pPr>
              <w:jc w:val="right"/>
              <w:spacing w:after="0"/>
              <w:rPr>
                <w:sz w:val="20"/>
                <w:szCs w:val="20"/>
                <w:color w:val="auto"/>
              </w:rPr>
            </w:pPr>
            <w:r>
              <w:rPr>
                <w:rFonts w:ascii="Arial" w:cs="Arial" w:eastAsia="Arial" w:hAnsi="Arial"/>
                <w:sz w:val="18"/>
                <w:szCs w:val="18"/>
                <w:color w:val="auto"/>
              </w:rPr>
              <w:t>132</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163</w:t>
            </w:r>
          </w:p>
        </w:tc>
        <w:tc>
          <w:tcPr>
            <w:tcW w:w="2160" w:type="dxa"/>
            <w:vAlign w:val="bottom"/>
            <w:gridSpan w:val="2"/>
          </w:tcPr>
          <w:p>
            <w:pPr>
              <w:jc w:val="right"/>
              <w:ind w:right="60"/>
              <w:spacing w:after="0"/>
              <w:rPr>
                <w:sz w:val="20"/>
                <w:szCs w:val="20"/>
                <w:color w:val="auto"/>
              </w:rPr>
            </w:pPr>
            <w:r>
              <w:rPr>
                <w:rFonts w:ascii="Arial" w:cs="Arial" w:eastAsia="Arial" w:hAnsi="Arial"/>
                <w:sz w:val="18"/>
                <w:szCs w:val="18"/>
                <w:color w:val="auto"/>
              </w:rPr>
              <w:t>322</w:t>
            </w:r>
          </w:p>
        </w:tc>
      </w:tr>
      <w:tr>
        <w:trPr>
          <w:trHeight w:val="137"/>
        </w:trPr>
        <w:tc>
          <w:tcPr>
            <w:tcW w:w="4960" w:type="dxa"/>
            <w:vAlign w:val="bottom"/>
          </w:tcPr>
          <w:p>
            <w:pPr>
              <w:spacing w:after="0"/>
              <w:rPr>
                <w:sz w:val="11"/>
                <w:szCs w:val="11"/>
                <w:color w:val="auto"/>
              </w:rPr>
            </w:pPr>
          </w:p>
        </w:tc>
        <w:tc>
          <w:tcPr>
            <w:tcW w:w="142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212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tcBorders>
              <w:bottom w:val="single" w:sz="8" w:color="9A9A9A"/>
            </w:tcBorders>
          </w:tcPr>
          <w:p>
            <w:pPr>
              <w:spacing w:after="0"/>
              <w:rPr>
                <w:sz w:val="11"/>
                <w:szCs w:val="11"/>
                <w:color w:val="auto"/>
              </w:rPr>
            </w:pPr>
          </w:p>
        </w:tc>
      </w:tr>
      <w:tr>
        <w:trPr>
          <w:trHeight w:val="356"/>
        </w:trPr>
        <w:tc>
          <w:tcPr>
            <w:tcW w:w="6380" w:type="dxa"/>
            <w:vAlign w:val="bottom"/>
            <w:gridSpan w:val="2"/>
          </w:tcPr>
          <w:p>
            <w:pPr>
              <w:spacing w:after="0"/>
              <w:rPr>
                <w:sz w:val="20"/>
                <w:szCs w:val="20"/>
                <w:color w:val="auto"/>
              </w:rPr>
            </w:pPr>
            <w:r>
              <w:rPr>
                <w:rFonts w:ascii="Arial" w:cs="Arial" w:eastAsia="Arial" w:hAnsi="Arial"/>
                <w:sz w:val="18"/>
                <w:szCs w:val="18"/>
                <w:color w:val="auto"/>
              </w:rPr>
              <w:t>Total Credicorp</w:t>
            </w:r>
          </w:p>
        </w:tc>
        <w:tc>
          <w:tcPr>
            <w:tcW w:w="680" w:type="dxa"/>
            <w:vAlign w:val="bottom"/>
          </w:tcPr>
          <w:p>
            <w:pPr>
              <w:jc w:val="right"/>
              <w:spacing w:after="0"/>
              <w:rPr>
                <w:sz w:val="20"/>
                <w:szCs w:val="20"/>
                <w:color w:val="auto"/>
              </w:rPr>
            </w:pPr>
            <w:r>
              <w:rPr>
                <w:rFonts w:ascii="Arial" w:cs="Arial" w:eastAsia="Arial" w:hAnsi="Arial"/>
                <w:sz w:val="18"/>
                <w:szCs w:val="18"/>
                <w:color w:val="auto"/>
              </w:rPr>
              <w:t>9,375</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9,911</w:t>
            </w:r>
          </w:p>
        </w:tc>
        <w:tc>
          <w:tcPr>
            <w:tcW w:w="2160" w:type="dxa"/>
            <w:vAlign w:val="bottom"/>
            <w:gridSpan w:val="2"/>
          </w:tcPr>
          <w:p>
            <w:pPr>
              <w:jc w:val="right"/>
              <w:ind w:right="60"/>
              <w:spacing w:after="0"/>
              <w:rPr>
                <w:sz w:val="20"/>
                <w:szCs w:val="20"/>
                <w:color w:val="auto"/>
              </w:rPr>
            </w:pPr>
            <w:r>
              <w:rPr>
                <w:rFonts w:ascii="Arial" w:cs="Arial" w:eastAsia="Arial" w:hAnsi="Arial"/>
                <w:sz w:val="18"/>
                <w:szCs w:val="18"/>
                <w:color w:val="auto"/>
              </w:rPr>
              <w:t>9,318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-1674495</wp:posOffset>
            </wp:positionV>
            <wp:extent cx="34290" cy="342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4486275</wp:posOffset>
            </wp:positionH>
            <wp:positionV relativeFrom="paragraph">
              <wp:posOffset>-1348740</wp:posOffset>
            </wp:positionV>
            <wp:extent cx="34290" cy="342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5849620</wp:posOffset>
            </wp:positionH>
            <wp:positionV relativeFrom="paragraph">
              <wp:posOffset>-1348740</wp:posOffset>
            </wp:positionV>
            <wp:extent cx="34290" cy="342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-1348740</wp:posOffset>
            </wp:positionV>
            <wp:extent cx="34290" cy="342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4486275</wp:posOffset>
            </wp:positionH>
            <wp:positionV relativeFrom="paragraph">
              <wp:posOffset>-250825</wp:posOffset>
            </wp:positionV>
            <wp:extent cx="34290" cy="342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5849620</wp:posOffset>
            </wp:positionH>
            <wp:positionV relativeFrom="paragraph">
              <wp:posOffset>-250825</wp:posOffset>
            </wp:positionV>
            <wp:extent cx="34290" cy="342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-250825</wp:posOffset>
            </wp:positionV>
            <wp:extent cx="34290" cy="342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increase in 2002 is mainly due to the inclusion of 685 employees at BSCH-Perú, most of whom have subsequently been dismissed.</w:t>
      </w:r>
    </w:p>
    <w:p>
      <w:pPr>
        <w:spacing w:after="0" w:line="225" w:lineRule="exact"/>
        <w:rPr>
          <w:sz w:val="20"/>
          <w:szCs w:val="20"/>
          <w:color w:val="auto"/>
        </w:rPr>
      </w:pPr>
    </w:p>
    <w:p>
      <w:pPr>
        <w:jc w:val="both"/>
        <w:ind w:firstLine="322"/>
        <w:spacing w:after="0" w:line="298" w:lineRule="auto"/>
        <w:rPr>
          <w:sz w:val="20"/>
          <w:szCs w:val="20"/>
          <w:color w:val="auto"/>
        </w:rPr>
      </w:pPr>
      <w:r>
        <w:rPr>
          <w:rFonts w:ascii="Arial" w:cs="Arial" w:eastAsia="Arial" w:hAnsi="Arial"/>
          <w:sz w:val="16"/>
          <w:szCs w:val="16"/>
          <w:color w:val="auto"/>
        </w:rPr>
        <w:t xml:space="preserve">All employees of banks in Perú are given the option of belonging to an employee union, and such employee unions are collectively represented by the </w:t>
      </w:r>
      <w:r>
        <w:rPr>
          <w:rFonts w:ascii="Arial" w:cs="Arial" w:eastAsia="Arial" w:hAnsi="Arial"/>
          <w:sz w:val="16"/>
          <w:szCs w:val="16"/>
          <w:i w:val="1"/>
          <w:iCs w:val="1"/>
          <w:color w:val="auto"/>
        </w:rPr>
        <w:t xml:space="preserve">Federación de Empleados Bancarios </w:t>
      </w:r>
      <w:r>
        <w:rPr>
          <w:rFonts w:ascii="Arial" w:cs="Arial" w:eastAsia="Arial" w:hAnsi="Arial"/>
          <w:sz w:val="16"/>
          <w:szCs w:val="16"/>
          <w:color w:val="auto"/>
        </w:rPr>
        <w:t>(the Federation of Banking Employees, or “FEB”). In order to negotiate a collective agreement on behalf of its members,</w:t>
      </w:r>
      <w:r>
        <w:rPr>
          <w:rFonts w:ascii="Arial" w:cs="Arial" w:eastAsia="Arial" w:hAnsi="Arial"/>
          <w:sz w:val="16"/>
          <w:szCs w:val="16"/>
          <w:i w:val="1"/>
          <w:iCs w:val="1"/>
          <w:color w:val="auto"/>
        </w:rPr>
        <w:t xml:space="preserve"> </w:t>
      </w:r>
      <w:r>
        <w:rPr>
          <w:rFonts w:ascii="Arial" w:cs="Arial" w:eastAsia="Arial" w:hAnsi="Arial"/>
          <w:sz w:val="16"/>
          <w:szCs w:val="16"/>
          <w:color w:val="auto"/>
        </w:rPr>
        <w:t>FEB must have as members over 50% of all Peruvian banking employees. Because the representation of banking employees members of FEB declined to below 50%, the most recent collective bargaining agreement, which expired on June 30, 1995, was not renewed.</w:t>
      </w:r>
    </w:p>
    <w:p>
      <w:pPr>
        <w:spacing w:after="0" w:line="167" w:lineRule="exact"/>
        <w:rPr>
          <w:sz w:val="20"/>
          <w:szCs w:val="20"/>
          <w:color w:val="auto"/>
        </w:rPr>
      </w:pPr>
    </w:p>
    <w:p>
      <w:pPr>
        <w:jc w:val="both"/>
        <w:ind w:firstLine="286"/>
        <w:spacing w:after="0" w:line="259" w:lineRule="auto"/>
        <w:rPr>
          <w:sz w:val="20"/>
          <w:szCs w:val="20"/>
          <w:color w:val="auto"/>
        </w:rPr>
      </w:pPr>
      <w:r>
        <w:rPr>
          <w:rFonts w:ascii="Arial" w:cs="Arial" w:eastAsia="Arial" w:hAnsi="Arial"/>
          <w:sz w:val="18"/>
          <w:szCs w:val="18"/>
          <w:color w:val="auto"/>
        </w:rPr>
        <w:t>As of December 31, 2003, only two BCP employees belonged to a union. The last strike by union employees occurred in 1991 and did not interfere with BCP’s operations. Due to the limited participation in the union, BCP was granted permission by the Peruvian Ministry of Labor to cancel the registration of BCP’s union in 1996.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Share Ownership</w:t>
      </w:r>
    </w:p>
    <w:p>
      <w:pPr>
        <w:spacing w:after="0" w:line="231" w:lineRule="exact"/>
        <w:rPr>
          <w:sz w:val="20"/>
          <w:szCs w:val="20"/>
          <w:color w:val="auto"/>
        </w:rPr>
      </w:pPr>
    </w:p>
    <w:p>
      <w:pPr>
        <w:jc w:val="both"/>
        <w:ind w:firstLine="291"/>
        <w:spacing w:after="0" w:line="306" w:lineRule="auto"/>
        <w:rPr>
          <w:sz w:val="20"/>
          <w:szCs w:val="20"/>
          <w:color w:val="auto"/>
        </w:rPr>
      </w:pPr>
      <w:r>
        <w:rPr>
          <w:rFonts w:ascii="Arial" w:cs="Arial" w:eastAsia="Arial" w:hAnsi="Arial"/>
          <w:sz w:val="16"/>
          <w:szCs w:val="16"/>
          <w:color w:val="auto"/>
        </w:rPr>
        <w:t>As of April 30, 2004, Directors and executive officers as a group owned 15.0 million (15.9%) of Credicorp’s Common Shares. With the exception of the Romero family holdings, represented by Mr. Dionisio Romero, no other director or executive officer of Credicorp beneficially owns more than one percent of the Common Shares. See “Item 7. Major Shareholders and Related Party Transactions—(A) Major Shareholders.”</w:t>
      </w:r>
    </w:p>
    <w:p>
      <w:pPr>
        <w:spacing w:after="0" w:line="161" w:lineRule="exact"/>
        <w:rPr>
          <w:sz w:val="20"/>
          <w:szCs w:val="20"/>
          <w:color w:val="auto"/>
        </w:rPr>
      </w:pPr>
    </w:p>
    <w:p>
      <w:pPr>
        <w:jc w:val="right"/>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MAJOR SHAREHOLDERS AND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Major Shareholders</w:t>
      </w:r>
    </w:p>
    <w:p>
      <w:pPr>
        <w:spacing w:after="0" w:line="231" w:lineRule="exact"/>
        <w:rPr>
          <w:sz w:val="20"/>
          <w:szCs w:val="20"/>
          <w:color w:val="auto"/>
        </w:rPr>
      </w:pPr>
    </w:p>
    <w:p>
      <w:pPr>
        <w:jc w:val="both"/>
        <w:ind w:firstLine="319"/>
        <w:spacing w:after="0" w:line="259" w:lineRule="auto"/>
        <w:rPr>
          <w:sz w:val="20"/>
          <w:szCs w:val="20"/>
          <w:color w:val="auto"/>
        </w:rPr>
      </w:pPr>
      <w:r>
        <w:rPr>
          <w:rFonts w:ascii="Arial" w:cs="Arial" w:eastAsia="Arial" w:hAnsi="Arial"/>
          <w:sz w:val="18"/>
          <w:szCs w:val="18"/>
          <w:color w:val="auto"/>
        </w:rPr>
        <w:t>As of April 30, 2004, there were 94,382,317 Common Shares issued, of which 14,634,925 Common Shares were held by BCP, ASHC and PPS. Under Bermuda law, BCP, ASHC and PPS have the right to vote the Common Shares they own. In order to restructure long term holdings, substantially all of the Common Shares held by BCP and PPS were transferred to ASHC in April 2004.</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347" w:right="239" w:bottom="1440" w:gutter="0" w:footer="0" w:header="0"/>
        </w:sectPr>
      </w:pPr>
    </w:p>
    <w:bookmarkStart w:id="104" w:name="page105"/>
    <w:bookmarkEnd w:id="104"/>
    <w:p>
      <w:pPr>
        <w:ind w:left="220"/>
        <w:spacing w:after="0"/>
        <w:rPr>
          <w:sz w:val="20"/>
          <w:szCs w:val="20"/>
          <w:color w:val="auto"/>
        </w:rPr>
      </w:pPr>
      <w:r>
        <w:rPr>
          <w:rFonts w:ascii="Arial" w:cs="Arial" w:eastAsia="Arial" w:hAnsi="Arial"/>
          <w:sz w:val="16"/>
          <w:szCs w:val="16"/>
          <w:color w:val="auto"/>
        </w:rPr>
        <w:t>The table below provides details about the percentage of Common Shares owned by holders of 5% or more of Common Shares, as of April 30, 2004.</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00" w:type="dxa"/>
            <w:vAlign w:val="bottom"/>
          </w:tcPr>
          <w:p>
            <w:pPr>
              <w:jc w:val="right"/>
              <w:ind w:right="412"/>
              <w:spacing w:after="0"/>
              <w:rPr>
                <w:sz w:val="20"/>
                <w:szCs w:val="20"/>
                <w:color w:val="auto"/>
              </w:rPr>
            </w:pPr>
            <w:r>
              <w:rPr>
                <w:rFonts w:ascii="Arial" w:cs="Arial" w:eastAsia="Arial" w:hAnsi="Arial"/>
                <w:sz w:val="18"/>
                <w:szCs w:val="18"/>
                <w:b w:val="1"/>
                <w:bCs w:val="1"/>
                <w:color w:val="auto"/>
              </w:rPr>
              <w:t>Common</w:t>
            </w:r>
          </w:p>
        </w:tc>
        <w:tc>
          <w:tcPr>
            <w:tcW w:w="20" w:type="dxa"/>
            <w:vAlign w:val="bottom"/>
          </w:tcPr>
          <w:p>
            <w:pPr>
              <w:spacing w:after="0"/>
              <w:rPr>
                <w:sz w:val="18"/>
                <w:szCs w:val="18"/>
                <w:color w:val="auto"/>
              </w:rPr>
            </w:pPr>
          </w:p>
        </w:tc>
        <w:tc>
          <w:tcPr>
            <w:tcW w:w="1700" w:type="dxa"/>
            <w:vAlign w:val="bottom"/>
          </w:tcPr>
          <w:p>
            <w:pPr>
              <w:jc w:val="right"/>
              <w:ind w:right="392"/>
              <w:spacing w:after="0"/>
              <w:rPr>
                <w:sz w:val="20"/>
                <w:szCs w:val="20"/>
                <w:color w:val="auto"/>
              </w:rPr>
            </w:pPr>
            <w:r>
              <w:rPr>
                <w:rFonts w:ascii="Arial" w:cs="Arial" w:eastAsia="Arial" w:hAnsi="Arial"/>
                <w:sz w:val="18"/>
                <w:szCs w:val="18"/>
                <w:b w:val="1"/>
                <w:bCs w:val="1"/>
                <w:color w:val="auto"/>
              </w:rPr>
              <w:t>Percent of</w:t>
            </w:r>
          </w:p>
        </w:tc>
      </w:tr>
      <w:tr>
        <w:trPr>
          <w:trHeight w:val="228"/>
        </w:trPr>
        <w:tc>
          <w:tcPr>
            <w:tcW w:w="40" w:type="dxa"/>
            <w:vAlign w:val="bottom"/>
          </w:tcPr>
          <w:p>
            <w:pPr>
              <w:spacing w:after="0"/>
              <w:rPr>
                <w:sz w:val="19"/>
                <w:szCs w:val="19"/>
                <w:color w:val="auto"/>
              </w:rPr>
            </w:pPr>
          </w:p>
        </w:tc>
        <w:tc>
          <w:tcPr>
            <w:tcW w:w="7900" w:type="dxa"/>
            <w:vAlign w:val="bottom"/>
          </w:tcPr>
          <w:p>
            <w:pPr>
              <w:spacing w:after="0"/>
              <w:rPr>
                <w:sz w:val="20"/>
                <w:szCs w:val="20"/>
                <w:color w:val="auto"/>
              </w:rPr>
            </w:pPr>
            <w:r>
              <w:rPr>
                <w:rFonts w:ascii="Arial" w:cs="Arial" w:eastAsia="Arial" w:hAnsi="Arial"/>
                <w:sz w:val="18"/>
                <w:szCs w:val="18"/>
                <w:b w:val="1"/>
                <w:bCs w:val="1"/>
                <w:color w:val="auto"/>
              </w:rPr>
              <w:t>Owner(1)</w:t>
            </w:r>
          </w:p>
        </w:tc>
        <w:tc>
          <w:tcPr>
            <w:tcW w:w="40" w:type="dxa"/>
            <w:vAlign w:val="bottom"/>
          </w:tcPr>
          <w:p>
            <w:pPr>
              <w:spacing w:after="0"/>
              <w:rPr>
                <w:sz w:val="19"/>
                <w:szCs w:val="19"/>
                <w:color w:val="auto"/>
              </w:rPr>
            </w:pPr>
          </w:p>
        </w:tc>
        <w:tc>
          <w:tcPr>
            <w:tcW w:w="1700" w:type="dxa"/>
            <w:vAlign w:val="bottom"/>
          </w:tcPr>
          <w:p>
            <w:pPr>
              <w:jc w:val="right"/>
              <w:ind w:right="512"/>
              <w:spacing w:after="0"/>
              <w:rPr>
                <w:sz w:val="20"/>
                <w:szCs w:val="20"/>
                <w:color w:val="auto"/>
              </w:rPr>
            </w:pPr>
            <w:r>
              <w:rPr>
                <w:rFonts w:ascii="Arial" w:cs="Arial" w:eastAsia="Arial" w:hAnsi="Arial"/>
                <w:sz w:val="18"/>
                <w:szCs w:val="18"/>
                <w:b w:val="1"/>
                <w:bCs w:val="1"/>
                <w:color w:val="auto"/>
              </w:rPr>
              <w:t>Shares</w:t>
            </w:r>
          </w:p>
        </w:tc>
        <w:tc>
          <w:tcPr>
            <w:tcW w:w="20" w:type="dxa"/>
            <w:vAlign w:val="bottom"/>
          </w:tcPr>
          <w:p>
            <w:pPr>
              <w:spacing w:after="0"/>
              <w:rPr>
                <w:sz w:val="19"/>
                <w:szCs w:val="19"/>
                <w:color w:val="auto"/>
              </w:rPr>
            </w:pPr>
          </w:p>
        </w:tc>
        <w:tc>
          <w:tcPr>
            <w:tcW w:w="1700" w:type="dxa"/>
            <w:vAlign w:val="bottom"/>
          </w:tcPr>
          <w:p>
            <w:pPr>
              <w:jc w:val="right"/>
              <w:ind w:right="452"/>
              <w:spacing w:after="0"/>
              <w:rPr>
                <w:sz w:val="20"/>
                <w:szCs w:val="20"/>
                <w:color w:val="auto"/>
              </w:rPr>
            </w:pPr>
            <w:r>
              <w:rPr>
                <w:rFonts w:ascii="Arial" w:cs="Arial" w:eastAsia="Arial" w:hAnsi="Arial"/>
                <w:sz w:val="18"/>
                <w:szCs w:val="18"/>
                <w:b w:val="1"/>
                <w:bCs w:val="1"/>
                <w:color w:val="auto"/>
              </w:rPr>
              <w:t>Class(2)</w:t>
            </w:r>
          </w:p>
        </w:tc>
      </w:tr>
      <w:tr>
        <w:trPr>
          <w:trHeight w:val="137"/>
        </w:trPr>
        <w:tc>
          <w:tcPr>
            <w:tcW w:w="40" w:type="dxa"/>
            <w:vAlign w:val="bottom"/>
          </w:tcPr>
          <w:p>
            <w:pPr>
              <w:spacing w:after="0"/>
              <w:rPr>
                <w:sz w:val="11"/>
                <w:szCs w:val="11"/>
                <w:color w:val="auto"/>
              </w:rPr>
            </w:pPr>
          </w:p>
        </w:tc>
        <w:tc>
          <w:tcPr>
            <w:tcW w:w="790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r>
      <w:tr>
        <w:trPr>
          <w:trHeight w:val="343"/>
        </w:trPr>
        <w:tc>
          <w:tcPr>
            <w:tcW w:w="40" w:type="dxa"/>
            <w:vAlign w:val="bottom"/>
          </w:tcPr>
          <w:p>
            <w:pPr>
              <w:spacing w:after="0"/>
              <w:rPr>
                <w:sz w:val="24"/>
                <w:szCs w:val="24"/>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Romero family(3)</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14,895,076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15.78%</w:t>
            </w:r>
          </w:p>
        </w:tc>
      </w:tr>
      <w:tr>
        <w:trPr>
          <w:trHeight w:val="243"/>
        </w:trPr>
        <w:tc>
          <w:tcPr>
            <w:tcW w:w="40" w:type="dxa"/>
            <w:vAlign w:val="bottom"/>
          </w:tcPr>
          <w:p>
            <w:pPr>
              <w:spacing w:after="0"/>
              <w:rPr>
                <w:sz w:val="21"/>
                <w:szCs w:val="21"/>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Atlantic Security Holding Corporation</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14,388,038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15.24%</w:t>
            </w:r>
          </w:p>
        </w:tc>
      </w:tr>
      <w:tr>
        <w:trPr>
          <w:trHeight w:val="243"/>
        </w:trPr>
        <w:tc>
          <w:tcPr>
            <w:tcW w:w="40" w:type="dxa"/>
            <w:vAlign w:val="bottom"/>
          </w:tcPr>
          <w:p>
            <w:pPr>
              <w:spacing w:after="0"/>
              <w:rPr>
                <w:sz w:val="21"/>
                <w:szCs w:val="21"/>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AFP Integra</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12,477,642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13.22%</w:t>
            </w:r>
          </w:p>
        </w:tc>
      </w:tr>
      <w:tr>
        <w:trPr>
          <w:trHeight w:val="243"/>
        </w:trPr>
        <w:tc>
          <w:tcPr>
            <w:tcW w:w="40" w:type="dxa"/>
            <w:vAlign w:val="bottom"/>
          </w:tcPr>
          <w:p>
            <w:pPr>
              <w:spacing w:after="0"/>
              <w:rPr>
                <w:sz w:val="21"/>
                <w:szCs w:val="21"/>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AFP Unión Vida</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10,601,449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11.23%</w:t>
            </w:r>
          </w:p>
        </w:tc>
      </w:tr>
      <w:tr>
        <w:trPr>
          <w:trHeight w:val="243"/>
        </w:trPr>
        <w:tc>
          <w:tcPr>
            <w:tcW w:w="40" w:type="dxa"/>
            <w:vAlign w:val="bottom"/>
          </w:tcPr>
          <w:p>
            <w:pPr>
              <w:spacing w:after="0"/>
              <w:rPr>
                <w:sz w:val="21"/>
                <w:szCs w:val="21"/>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AFP Horizonte</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10,002,844</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10.60%</w:t>
            </w:r>
          </w:p>
        </w:tc>
      </w:tr>
      <w:tr>
        <w:trPr>
          <w:trHeight w:val="243"/>
        </w:trPr>
        <w:tc>
          <w:tcPr>
            <w:tcW w:w="40" w:type="dxa"/>
            <w:vAlign w:val="bottom"/>
          </w:tcPr>
          <w:p>
            <w:pPr>
              <w:spacing w:after="0"/>
              <w:rPr>
                <w:sz w:val="21"/>
                <w:szCs w:val="21"/>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AFP Profuturo</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6,068,650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6.43%</w:t>
            </w:r>
          </w:p>
        </w:tc>
      </w:tr>
      <w:tr>
        <w:trPr>
          <w:trHeight w:val="243"/>
        </w:trPr>
        <w:tc>
          <w:tcPr>
            <w:tcW w:w="7940" w:type="dxa"/>
            <w:vAlign w:val="bottom"/>
            <w:gridSpan w:val="2"/>
          </w:tcPr>
          <w:p>
            <w:pPr>
              <w:jc w:val="right"/>
              <w:ind w:right="5392"/>
              <w:spacing w:after="0"/>
              <w:rPr>
                <w:sz w:val="20"/>
                <w:szCs w:val="20"/>
                <w:color w:val="auto"/>
              </w:rPr>
            </w:pPr>
            <w:r>
              <w:rPr>
                <w:rFonts w:ascii="Arial" w:cs="Arial" w:eastAsia="Arial" w:hAnsi="Arial"/>
                <w:sz w:val="18"/>
                <w:szCs w:val="18"/>
                <w:color w:val="auto"/>
                <w:w w:val="87"/>
              </w:rPr>
              <w:t>____________________________</w:t>
            </w:r>
          </w:p>
        </w:tc>
        <w:tc>
          <w:tcPr>
            <w:tcW w:w="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5026660</wp:posOffset>
            </wp:positionH>
            <wp:positionV relativeFrom="paragraph">
              <wp:posOffset>-1168400</wp:posOffset>
            </wp:positionV>
            <wp:extent cx="34290" cy="342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-1168400</wp:posOffset>
            </wp:positionV>
            <wp:extent cx="34290" cy="342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-1168400</wp:posOffset>
            </wp:positionV>
            <wp:extent cx="34290" cy="342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80" w:hanging="572"/>
        <w:spacing w:after="0" w:line="223" w:lineRule="auto"/>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As of April 30, 2003, Capital Group International, Inc. owned approximately 7.19% of Credicorp’s Common Shares. As of April 30, 2004, Capital Group International, Inc. owned less than 5% of Credicorp’s Common Shares.</w:t>
      </w:r>
    </w:p>
    <w:p>
      <w:pPr>
        <w:spacing w:after="0" w:line="1" w:lineRule="exact"/>
        <w:rPr>
          <w:rFonts w:ascii="Arial" w:cs="Arial" w:eastAsia="Arial" w:hAnsi="Arial"/>
          <w:sz w:val="14"/>
          <w:szCs w:val="14"/>
          <w:color w:val="auto"/>
        </w:rPr>
      </w:pPr>
    </w:p>
    <w:p>
      <w:pPr>
        <w:ind w:left="580" w:hanging="572"/>
        <w:spacing w:after="0" w:line="221" w:lineRule="auto"/>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As a percentage of issued and outstanding shares (including shares held by BCP, ASHC and PPS).</w:t>
      </w:r>
    </w:p>
    <w:p>
      <w:pPr>
        <w:ind w:left="580" w:hanging="572"/>
        <w:spacing w:after="0" w:line="230" w:lineRule="auto"/>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Common Shares directly or indirectly owned by Dionisio Romero and his family or companies owned or controlled by him. Mr. Romero is the Chairman and Chief Executive Officer of Credicorp.</w:t>
      </w:r>
    </w:p>
    <w:p>
      <w:pPr>
        <w:spacing w:after="0" w:line="195" w:lineRule="exact"/>
        <w:rPr>
          <w:sz w:val="20"/>
          <w:szCs w:val="20"/>
          <w:color w:val="auto"/>
        </w:rPr>
      </w:pPr>
    </w:p>
    <w:p>
      <w:pPr>
        <w:jc w:val="both"/>
        <w:ind w:right="20" w:firstLine="287"/>
        <w:spacing w:after="0" w:line="268" w:lineRule="auto"/>
        <w:rPr>
          <w:sz w:val="20"/>
          <w:szCs w:val="20"/>
          <w:color w:val="auto"/>
        </w:rPr>
      </w:pPr>
      <w:r>
        <w:rPr>
          <w:rFonts w:ascii="Arial" w:cs="Arial" w:eastAsia="Arial" w:hAnsi="Arial"/>
          <w:sz w:val="18"/>
          <w:szCs w:val="18"/>
          <w:color w:val="auto"/>
        </w:rPr>
        <w:t>Approximately 44% of the total issued and outstanding Common Shares are currently held in 2,414 individual accounts with Cavali, a Peruvian securities clearing company.</w:t>
      </w:r>
    </w:p>
    <w:p>
      <w:pPr>
        <w:spacing w:after="0" w:line="186" w:lineRule="exact"/>
        <w:rPr>
          <w:sz w:val="20"/>
          <w:szCs w:val="20"/>
          <w:color w:val="auto"/>
        </w:rPr>
      </w:pPr>
    </w:p>
    <w:p>
      <w:pPr>
        <w:jc w:val="both"/>
        <w:ind w:firstLine="271"/>
        <w:spacing w:after="0" w:line="294" w:lineRule="auto"/>
        <w:rPr>
          <w:sz w:val="20"/>
          <w:szCs w:val="20"/>
          <w:color w:val="auto"/>
        </w:rPr>
      </w:pPr>
      <w:r>
        <w:rPr>
          <w:rFonts w:ascii="Arial" w:cs="Arial" w:eastAsia="Arial" w:hAnsi="Arial"/>
          <w:sz w:val="16"/>
          <w:szCs w:val="16"/>
          <w:color w:val="auto"/>
        </w:rPr>
        <w:t>As of April 30, 2004, 79,747,392 Common Shares (the amount that excludes 14,634,925 shares held by BCP, ASHC and PPS) were outstanding, of which approximately 45% were held in the United States. As of such date, there were 70 registered holders of Common Shares in the United States. Because certain of these Common Shares were held by brokers or other nominees and due to the impracticability of obtaining accurate residence information for all beneficial shareholders, the number of holders of record or registered holders in the United States is not representative of the number of beneficial holders or of the residence of beneficial holders. Credicorp is not directly or indirectly controlled by another corporation or by any foreign government.</w:t>
      </w:r>
    </w:p>
    <w:p>
      <w:pPr>
        <w:spacing w:after="0" w:line="164" w:lineRule="exact"/>
        <w:rPr>
          <w:sz w:val="20"/>
          <w:szCs w:val="20"/>
          <w:color w:val="auto"/>
        </w:rPr>
      </w:pPr>
    </w:p>
    <w:p>
      <w:pPr>
        <w:ind w:left="280" w:hanging="272"/>
        <w:spacing w:after="0"/>
        <w:tabs>
          <w:tab w:leader="none" w:pos="2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31" w:lineRule="exact"/>
        <w:rPr>
          <w:rFonts w:ascii="Arial" w:cs="Arial" w:eastAsia="Arial" w:hAnsi="Arial"/>
          <w:sz w:val="18"/>
          <w:szCs w:val="18"/>
          <w:b w:val="1"/>
          <w:bCs w:val="1"/>
          <w:color w:val="auto"/>
        </w:rPr>
      </w:pPr>
    </w:p>
    <w:p>
      <w:pPr>
        <w:ind w:left="440" w:hanging="212"/>
        <w:spacing w:after="0"/>
        <w:tabs>
          <w:tab w:leader="none" w:pos="440" w:val="left"/>
        </w:tabs>
        <w:numPr>
          <w:ilvl w:val="1"/>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Credicorp</w:t>
      </w:r>
    </w:p>
    <w:p>
      <w:pPr>
        <w:spacing w:after="0" w:line="225" w:lineRule="exact"/>
        <w:rPr>
          <w:sz w:val="20"/>
          <w:szCs w:val="20"/>
          <w:color w:val="auto"/>
        </w:rPr>
      </w:pPr>
    </w:p>
    <w:p>
      <w:pPr>
        <w:jc w:val="both"/>
        <w:ind w:firstLine="312"/>
        <w:spacing w:after="0" w:line="256" w:lineRule="auto"/>
        <w:rPr>
          <w:sz w:val="20"/>
          <w:szCs w:val="20"/>
          <w:color w:val="auto"/>
        </w:rPr>
      </w:pPr>
      <w:r>
        <w:rPr>
          <w:rFonts w:ascii="Arial" w:cs="Arial" w:eastAsia="Arial" w:hAnsi="Arial"/>
          <w:sz w:val="18"/>
          <w:szCs w:val="18"/>
          <w:color w:val="auto"/>
        </w:rPr>
        <w:t>Under Bermuda law, Credicorp is not subject to any restrictions on transactions with affiliates, other than such restrictions as are applicable to Bermuda companies generally. Credicorp’s Bye-Laws provide that a Director may not vote in respect of any contract or proposed contract or arrangement in which such Director has an interest or in which such Director has a conflict of interest. Credicorp has not engaged in any transactions with related parties except through its subsidiaries.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(ii) BCP</w:t>
      </w:r>
    </w:p>
    <w:p>
      <w:pPr>
        <w:spacing w:after="0" w:line="225" w:lineRule="exact"/>
        <w:rPr>
          <w:sz w:val="20"/>
          <w:szCs w:val="20"/>
          <w:color w:val="auto"/>
        </w:rPr>
      </w:pPr>
    </w:p>
    <w:p>
      <w:pPr>
        <w:jc w:val="both"/>
        <w:ind w:firstLine="245"/>
        <w:spacing w:after="0" w:line="253" w:lineRule="auto"/>
        <w:rPr>
          <w:sz w:val="20"/>
          <w:szCs w:val="20"/>
          <w:color w:val="auto"/>
        </w:rPr>
      </w:pPr>
      <w:r>
        <w:rPr>
          <w:rFonts w:ascii="Arial" w:cs="Arial" w:eastAsia="Arial" w:hAnsi="Arial"/>
          <w:sz w:val="18"/>
          <w:szCs w:val="18"/>
          <w:color w:val="auto"/>
        </w:rPr>
        <w:t>Certain related parties of BCP (the “BCP related parties”) have been involved, directly or indirectly, in credit transactions with BCP. In accordance with Law 26702, BCP related parties includes directors, certain principal executive officers and holders of more than 4% of the shares of BCP, and companies controlled (for purposes of Law 26702) by any of them. Under Law 26702, all loans to related parties must be made on terms no more favorable than the best terms that the bank offers to the public. Management believes BCP to be in full compliance with all related party transaction requirements imposed by Law 26702. For a description of Law 26702 as it relates to BCP, see “Item 4. Information on the Company—(B) Business Overview—(11) Supervision and Regulation—(ii) BCP” and “Item 4. Information on the Company—(B) Business Overview—(12) Selected Statistical Information—(iii) Loan Portfolio—Concentration of Loan Portfolio and Lending Limits.”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347" w:right="239" w:bottom="1440" w:gutter="0" w:footer="0" w:header="0"/>
        </w:sectPr>
      </w:pPr>
    </w:p>
    <w:bookmarkStart w:id="105" w:name="page106"/>
    <w:bookmarkEnd w:id="105"/>
    <w:p>
      <w:pPr>
        <w:jc w:val="both"/>
        <w:ind w:firstLine="287"/>
        <w:spacing w:after="0" w:line="256" w:lineRule="auto"/>
        <w:rPr>
          <w:sz w:val="20"/>
          <w:szCs w:val="20"/>
          <w:color w:val="auto"/>
        </w:rPr>
      </w:pPr>
      <w:r>
        <w:rPr>
          <w:rFonts w:ascii="Arial" w:cs="Arial" w:eastAsia="Arial" w:hAnsi="Arial"/>
          <w:sz w:val="18"/>
          <w:szCs w:val="18"/>
          <w:color w:val="auto"/>
        </w:rPr>
        <w:t>As of December 31, 2003, loans and other contingent credits to BCP related parties were US$55.7 million in the aggregate, including US$48.8 million in outstanding loans, which comprised approximately 1.2% of BCP’s total loan portfolio. These loans and other contingent credits were ranked in the following risk categories at December 31, 2003: Class A (normal credits)—46.5%; Class B (potential problems)—45.4%; Class C (substandard)—8.1%; Class D (doubtful)— 0%; and Class E (loss)—0%.</w:t>
      </w:r>
    </w:p>
    <w:p>
      <w:pPr>
        <w:spacing w:after="0" w:line="197" w:lineRule="exact"/>
        <w:rPr>
          <w:sz w:val="20"/>
          <w:szCs w:val="20"/>
          <w:color w:val="auto"/>
        </w:rPr>
      </w:pPr>
    </w:p>
    <w:p>
      <w:pPr>
        <w:jc w:val="both"/>
        <w:ind w:firstLine="272"/>
        <w:spacing w:after="0" w:line="268" w:lineRule="auto"/>
        <w:rPr>
          <w:sz w:val="20"/>
          <w:szCs w:val="20"/>
          <w:color w:val="auto"/>
        </w:rPr>
      </w:pPr>
      <w:r>
        <w:rPr>
          <w:rFonts w:ascii="Arial" w:cs="Arial" w:eastAsia="Arial" w:hAnsi="Arial"/>
          <w:sz w:val="18"/>
          <w:szCs w:val="18"/>
          <w:color w:val="auto"/>
        </w:rPr>
        <w:t>At December 31, 2003, loans and other credits to employees of BCP amounted to US$20.1 million, of which US$15.4 million represented home mortgage loans.</w:t>
      </w:r>
    </w:p>
    <w:p>
      <w:pPr>
        <w:spacing w:after="0" w:line="186" w:lineRule="exact"/>
        <w:rPr>
          <w:sz w:val="20"/>
          <w:szCs w:val="20"/>
          <w:color w:val="auto"/>
        </w:rPr>
      </w:pPr>
    </w:p>
    <w:p>
      <w:pPr>
        <w:jc w:val="both"/>
        <w:ind w:right="20" w:firstLine="393"/>
        <w:spacing w:after="0" w:line="259" w:lineRule="auto"/>
        <w:rPr>
          <w:sz w:val="20"/>
          <w:szCs w:val="20"/>
          <w:color w:val="auto"/>
        </w:rPr>
      </w:pPr>
      <w:r>
        <w:rPr>
          <w:rFonts w:ascii="Arial" w:cs="Arial" w:eastAsia="Arial" w:hAnsi="Arial"/>
          <w:sz w:val="18"/>
          <w:szCs w:val="18"/>
          <w:color w:val="auto"/>
        </w:rPr>
        <w:t>In May 1998, Credicorp completed a securitization by which Creditítulos S.A. (“Creditítulos”), a wholly-owned subsidiary of Credicorp engaged in securitization activities in Perú, acquired office buildings from a related party for US$10.2 million. In February 1999, Creditítulos issued bonds against this collateral which will be serviced with the expected lease income stream.</w:t>
      </w:r>
    </w:p>
    <w:p>
      <w:pPr>
        <w:spacing w:after="0" w:line="194" w:lineRule="exact"/>
        <w:rPr>
          <w:sz w:val="20"/>
          <w:szCs w:val="20"/>
          <w:color w:val="auto"/>
        </w:rPr>
      </w:pPr>
    </w:p>
    <w:p>
      <w:pPr>
        <w:jc w:val="both"/>
        <w:ind w:firstLine="295"/>
        <w:spacing w:after="0" w:line="298" w:lineRule="auto"/>
        <w:rPr>
          <w:sz w:val="20"/>
          <w:szCs w:val="20"/>
          <w:color w:val="auto"/>
        </w:rPr>
      </w:pPr>
      <w:r>
        <w:rPr>
          <w:rFonts w:ascii="Arial" w:cs="Arial" w:eastAsia="Arial" w:hAnsi="Arial"/>
          <w:sz w:val="16"/>
          <w:szCs w:val="16"/>
          <w:color w:val="auto"/>
        </w:rPr>
        <w:t>In September 2003, Credileasing, a BCP subsidiary, sold to a company controlled by a BCP related party an airplane that was previously being leased. In February 2004, BCP acquired the airplane for corporate purposes for US$4.3 million and entered into an operational/maintenance contract with the related party. The transactions were made on an arm’s length-basis at market prices determined by an independent expert. The combined effect of both transactions was neutral to Credicorp and the current arrangement reflects a more efficient operational and fiscal structure.</w:t>
      </w:r>
    </w:p>
    <w:p>
      <w:pPr>
        <w:spacing w:after="0" w:line="167" w:lineRule="exact"/>
        <w:rPr>
          <w:sz w:val="20"/>
          <w:szCs w:val="20"/>
          <w:color w:val="auto"/>
        </w:rPr>
      </w:pPr>
    </w:p>
    <w:p>
      <w:pPr>
        <w:jc w:val="both"/>
        <w:ind w:firstLine="248"/>
        <w:spacing w:after="0" w:line="259" w:lineRule="auto"/>
        <w:rPr>
          <w:sz w:val="20"/>
          <w:szCs w:val="20"/>
          <w:color w:val="auto"/>
        </w:rPr>
      </w:pPr>
      <w:r>
        <w:rPr>
          <w:rFonts w:ascii="Arial" w:cs="Arial" w:eastAsia="Arial" w:hAnsi="Arial"/>
          <w:sz w:val="18"/>
          <w:szCs w:val="18"/>
          <w:color w:val="auto"/>
        </w:rPr>
        <w:t>BCP purchases certain security services from a company controlled by a BCP related party. Total fees paid by BCP thereto during 2003 for security services were S/.5.7 million (US$1.7 million). Such related party transactions have been conducted in the ordinary course of business and on terms no less favorable than could be obtained from unaffiliated third parties.</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(iii) ASHC</w:t>
      </w:r>
    </w:p>
    <w:p>
      <w:pPr>
        <w:spacing w:after="0" w:line="225" w:lineRule="exact"/>
        <w:rPr>
          <w:sz w:val="20"/>
          <w:szCs w:val="20"/>
          <w:color w:val="auto"/>
        </w:rPr>
      </w:pPr>
    </w:p>
    <w:p>
      <w:pPr>
        <w:jc w:val="both"/>
        <w:ind w:firstLine="253"/>
        <w:spacing w:after="0" w:line="298" w:lineRule="auto"/>
        <w:rPr>
          <w:sz w:val="20"/>
          <w:szCs w:val="20"/>
          <w:color w:val="auto"/>
        </w:rPr>
      </w:pPr>
      <w:r>
        <w:rPr>
          <w:rFonts w:ascii="Arial" w:cs="Arial" w:eastAsia="Arial" w:hAnsi="Arial"/>
          <w:sz w:val="16"/>
          <w:szCs w:val="16"/>
          <w:color w:val="auto"/>
        </w:rPr>
        <w:t>Certain related parties of ASHC (the “ASHC related parties”) have been involved, directly or indirectly, in credit transactions with ASHC. The term “ASHC related parties” includes other affiliated entities in which there exists control or significant influence through common ownership, management or directorship. As of December 31, 2003, loans and other credits outstanding to ASHC’s related parties were US$8.5 million in the aggregate, all of which were direct cash loans, representing 5.4% of the total loan portfolio. None of these loans and other credits were classified as substandard or below.</w:t>
      </w:r>
    </w:p>
    <w:p>
      <w:pPr>
        <w:spacing w:after="0" w:line="167" w:lineRule="exact"/>
        <w:rPr>
          <w:sz w:val="20"/>
          <w:szCs w:val="20"/>
          <w:color w:val="auto"/>
        </w:rPr>
      </w:pPr>
    </w:p>
    <w:p>
      <w:pPr>
        <w:jc w:val="both"/>
        <w:ind w:firstLine="253"/>
        <w:spacing w:after="0" w:line="268" w:lineRule="auto"/>
        <w:rPr>
          <w:sz w:val="20"/>
          <w:szCs w:val="20"/>
          <w:color w:val="auto"/>
        </w:rPr>
      </w:pPr>
      <w:r>
        <w:rPr>
          <w:rFonts w:ascii="Arial" w:cs="Arial" w:eastAsia="Arial" w:hAnsi="Arial"/>
          <w:sz w:val="18"/>
          <w:szCs w:val="18"/>
          <w:color w:val="auto"/>
        </w:rPr>
        <w:t>Management believes that, in accordance with ASHC’s policies, all loans and credits to related parties have been made on terms no more favorable than the best terms that ASHC offers to the public.</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(iv) PPS</w:t>
      </w:r>
    </w:p>
    <w:p>
      <w:pPr>
        <w:spacing w:after="0" w:line="225" w:lineRule="exact"/>
        <w:rPr>
          <w:sz w:val="20"/>
          <w:szCs w:val="20"/>
          <w:color w:val="auto"/>
        </w:rPr>
      </w:pPr>
    </w:p>
    <w:p>
      <w:pPr>
        <w:jc w:val="both"/>
        <w:ind w:firstLine="268"/>
        <w:spacing w:after="0" w:line="294" w:lineRule="auto"/>
        <w:rPr>
          <w:sz w:val="20"/>
          <w:szCs w:val="20"/>
          <w:color w:val="auto"/>
        </w:rPr>
      </w:pPr>
      <w:r>
        <w:rPr>
          <w:rFonts w:ascii="Arial" w:cs="Arial" w:eastAsia="Arial" w:hAnsi="Arial"/>
          <w:sz w:val="16"/>
          <w:szCs w:val="16"/>
          <w:color w:val="auto"/>
        </w:rPr>
        <w:t>PPS provides insurance services to certain of its principal shareholders, directors and officers, as permitted by Law 26702. See “Item 4. Information on the Company— (B) Business Overview—(11) Supervision and Regulation—(iii) PPS—Related Party Transactions.” In the case of “related companies,” entities controlled by shareholders owning more than 4% of PPS or by members of PPS’s Board of Directors, insurance services are offered and sold on an arm’s-length basis. PPS charges a market price for these services. As of December 31, 2003, insurance premiums to related companies amounted to US$16.6 million. These insurance premiums comprise approximately 5.7% of PPS’s total premiums written during 2003.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347" w:right="239" w:bottom="1440" w:gutter="0" w:footer="0" w:header="0"/>
        </w:sectPr>
      </w:pPr>
    </w:p>
    <w:bookmarkStart w:id="106" w:name="page107"/>
    <w:bookmarkEnd w:id="106"/>
    <w:p>
      <w:pPr>
        <w:jc w:val="both"/>
        <w:ind w:firstLine="247"/>
        <w:spacing w:after="0" w:line="332" w:lineRule="auto"/>
        <w:rPr>
          <w:sz w:val="20"/>
          <w:szCs w:val="20"/>
          <w:color w:val="auto"/>
        </w:rPr>
      </w:pPr>
      <w:r>
        <w:rPr>
          <w:rFonts w:ascii="Arial" w:cs="Arial" w:eastAsia="Arial" w:hAnsi="Arial"/>
          <w:sz w:val="16"/>
          <w:szCs w:val="16"/>
          <w:color w:val="auto"/>
        </w:rPr>
        <w:t>PPS purchases security services from a company controlled by a related party of a principal shareholder of Credicorp. Service payments thereto during 2003, were US$196,600. All such related party transactions are conducted on an arm’s-length basis, and PPS pays the market price for these services.</w:t>
      </w:r>
    </w:p>
    <w:p>
      <w:pPr>
        <w:spacing w:after="0" w:line="139" w:lineRule="exact"/>
        <w:rPr>
          <w:sz w:val="20"/>
          <w:szCs w:val="20"/>
          <w:color w:val="auto"/>
        </w:rPr>
      </w:pPr>
    </w:p>
    <w:p>
      <w:pPr>
        <w:jc w:val="both"/>
        <w:ind w:right="20" w:firstLine="229"/>
        <w:spacing w:after="0" w:line="268" w:lineRule="auto"/>
        <w:rPr>
          <w:sz w:val="20"/>
          <w:szCs w:val="20"/>
          <w:color w:val="auto"/>
        </w:rPr>
      </w:pPr>
      <w:r>
        <w:rPr>
          <w:rFonts w:ascii="Arial" w:cs="Arial" w:eastAsia="Arial" w:hAnsi="Arial"/>
          <w:sz w:val="18"/>
          <w:szCs w:val="18"/>
          <w:color w:val="auto"/>
        </w:rPr>
        <w:t>As of December 31, 2003, loans and other credits to employees of PPS amounted to US$321,000, of which a substantial majority represented home mortgage loans.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Interests of Experts and Counsel</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right"/>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Consolidated Statements and Other Financial Information</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Consolidated Financial Statements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See “Item 19. Exhibits” for a list of financial statements filed under Item 18.</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firstLine="236"/>
        <w:spacing w:after="0" w:line="256" w:lineRule="auto"/>
        <w:rPr>
          <w:sz w:val="20"/>
          <w:szCs w:val="20"/>
          <w:color w:val="auto"/>
        </w:rPr>
      </w:pPr>
      <w:r>
        <w:rPr>
          <w:rFonts w:ascii="Arial" w:cs="Arial" w:eastAsia="Arial" w:hAnsi="Arial"/>
          <w:sz w:val="18"/>
          <w:szCs w:val="18"/>
          <w:color w:val="auto"/>
        </w:rPr>
        <w:t>Credicorp and its subsidiaries are involved in certain legal proceedings incidental to the normal conduct of their businesses. In addition, Credicorp is involved in certain legal proceedings in connection with its acquisition of Banco Tequendama. See “Item 4. Information on the Company—(C) Organizational Structure.” Credicorp does not believe that any potential liabilities resulting from such proceedings would have a material adverse effect on the financial condition or results of operation of Credicorp or any of its subsidiaries.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Dividend Policy</w:t>
      </w:r>
    </w:p>
    <w:p>
      <w:pPr>
        <w:spacing w:after="0" w:line="225" w:lineRule="exact"/>
        <w:rPr>
          <w:sz w:val="20"/>
          <w:szCs w:val="20"/>
          <w:color w:val="auto"/>
        </w:rPr>
      </w:pPr>
    </w:p>
    <w:p>
      <w:pPr>
        <w:jc w:val="both"/>
        <w:ind w:firstLine="253"/>
        <w:spacing w:after="0" w:line="290" w:lineRule="auto"/>
        <w:rPr>
          <w:sz w:val="20"/>
          <w:szCs w:val="20"/>
          <w:color w:val="auto"/>
        </w:rPr>
      </w:pPr>
      <w:r>
        <w:rPr>
          <w:rFonts w:ascii="Arial" w:cs="Arial" w:eastAsia="Arial" w:hAnsi="Arial"/>
          <w:sz w:val="16"/>
          <w:szCs w:val="16"/>
          <w:color w:val="auto"/>
        </w:rPr>
        <w:t>Pursuant to Bermuda law, dividends may be declared and paid from time to time provided Credicorp is able to pay its liabilities as they become due and the realizable value of Credicorp’s assets would not be less than the aggregate of its liabilities and issued share capital and share premium accounts after the payment of such dividend. Although there can be no assurance that any dividends will be paid or as to the amount of dividends, if any, to be paid, Credicorp currently intends to declare and pay dividends annually and Credicorp’s Board of Directors currently expects to authorize the payment to the shareholders of an annual dividend of no less than 25% of consolidated net profits. However, the payment of dividends is subject to Bermuda law and the discretion of the Board of Directors of Credicorp and will depend upon general business conditions, the financial performance of Credicorp, the availability of dividends from Credicorp’s subsidiaries and restrictions on their payment and other factors that Credicorp’s Board of Directors may deem relevant.</w:t>
      </w:r>
    </w:p>
    <w:p>
      <w:pPr>
        <w:spacing w:after="0" w:line="172" w:lineRule="exact"/>
        <w:rPr>
          <w:sz w:val="20"/>
          <w:szCs w:val="20"/>
          <w:color w:val="auto"/>
        </w:rPr>
      </w:pPr>
    </w:p>
    <w:p>
      <w:pPr>
        <w:jc w:val="both"/>
        <w:ind w:firstLine="332"/>
        <w:spacing w:after="0" w:line="291" w:lineRule="auto"/>
        <w:rPr>
          <w:sz w:val="20"/>
          <w:szCs w:val="20"/>
          <w:color w:val="auto"/>
        </w:rPr>
      </w:pPr>
      <w:r>
        <w:rPr>
          <w:rFonts w:ascii="Arial" w:cs="Arial" w:eastAsia="Arial" w:hAnsi="Arial"/>
          <w:sz w:val="16"/>
          <w:szCs w:val="16"/>
          <w:color w:val="auto"/>
        </w:rPr>
        <w:t>Credicorp will rely almost exclusively on dividends from its subsidiaries for the payment of dividends to holders of Common Shares and for corporate expenses, and is able to cause its subsidiaries to declare dividends, subject to certain reserve and capital adequacy requirements under applicable banking and insurance regulations. To the extent Credicorp’s subsidiaries do not have funds available or are otherwise restricted from paying dividends to Credicorp, Credicorp’s ability to pay dividends on the Common Shares will be adversely affected. Currently, there are no restrictions on the ability of BCP, ASHC, PPS, Banco Tequendama or any other Credicorp subsidiary to remit dividends abroad. In addition, BCP and PPS intend to declare and pay dividends in Nuevos Soles and Banco Tequendama intends to declare dividends in Colombian Pesos, whereas Credicorp intends to declare and pay dividends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347" w:right="239" w:bottom="1440" w:gutter="0" w:footer="0" w:header="0"/>
        </w:sectPr>
      </w:pPr>
    </w:p>
    <w:bookmarkStart w:id="107" w:name="page108"/>
    <w:bookmarkEnd w:id="107"/>
    <w:p>
      <w:pPr>
        <w:jc w:val="both"/>
        <w:spacing w:after="0" w:line="259" w:lineRule="auto"/>
        <w:rPr>
          <w:sz w:val="20"/>
          <w:szCs w:val="20"/>
          <w:color w:val="auto"/>
        </w:rPr>
      </w:pPr>
      <w:r>
        <w:rPr>
          <w:rFonts w:ascii="Arial" w:cs="Arial" w:eastAsia="Arial" w:hAnsi="Arial"/>
          <w:sz w:val="18"/>
          <w:szCs w:val="18"/>
          <w:color w:val="auto"/>
        </w:rPr>
        <w:t>in U.S. Dollars. If the value of the Nuevo Sol or Colombian Peso falls relative to the U.S. Dollar between the date of declaration and the date of payment of dividends, the value of such dividends to Credicorp would be adversely affected. See “Item 3. Key Information—(A) Selected Financial Data—Exchange Controls.”</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shows cash and stock dividends paid by Credicorp in the periods indicated:</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7"/>
              </w:rPr>
              <w:t>Number of Shares</w:t>
            </w:r>
          </w:p>
        </w:tc>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6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0"/>
              </w:rPr>
              <w:t>Entitled</w:t>
            </w:r>
          </w:p>
        </w:tc>
        <w:tc>
          <w:tcPr>
            <w:tcW w:w="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7"/>
              </w:rPr>
              <w:t>Cash Dividends</w:t>
            </w:r>
          </w:p>
        </w:tc>
        <w:tc>
          <w:tcPr>
            <w:tcW w:w="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8"/>
              </w:rPr>
              <w:t>Stock Dividents Per</w:t>
            </w:r>
          </w:p>
        </w:tc>
      </w:tr>
      <w:tr>
        <w:trPr>
          <w:trHeight w:val="228"/>
        </w:trPr>
        <w:tc>
          <w:tcPr>
            <w:tcW w:w="6200" w:type="dxa"/>
            <w:vAlign w:val="bottom"/>
          </w:tcPr>
          <w:p>
            <w:pPr>
              <w:spacing w:after="0"/>
              <w:rPr>
                <w:sz w:val="20"/>
                <w:szCs w:val="20"/>
                <w:color w:val="auto"/>
              </w:rPr>
            </w:pPr>
            <w:r>
              <w:rPr>
                <w:rFonts w:ascii="Arial" w:cs="Arial" w:eastAsia="Arial" w:hAnsi="Arial"/>
                <w:sz w:val="18"/>
                <w:szCs w:val="18"/>
                <w:b w:val="1"/>
                <w:bCs w:val="1"/>
                <w:color w:val="auto"/>
              </w:rPr>
              <w:t>Year ended December 31,</w:t>
            </w:r>
          </w:p>
        </w:tc>
        <w:tc>
          <w:tcPr>
            <w:tcW w:w="4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6"/>
              </w:rPr>
              <w:t>to Dividends</w:t>
            </w:r>
          </w:p>
        </w:tc>
        <w:tc>
          <w:tcPr>
            <w:tcW w:w="2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7"/>
              </w:rPr>
              <w:t>Per Share</w:t>
            </w:r>
          </w:p>
        </w:tc>
        <w:tc>
          <w:tcPr>
            <w:tcW w:w="2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3"/>
              </w:rPr>
              <w:t>Share</w:t>
            </w:r>
          </w:p>
        </w:tc>
      </w:tr>
      <w:tr>
        <w:trPr>
          <w:trHeight w:val="137"/>
        </w:trPr>
        <w:tc>
          <w:tcPr>
            <w:tcW w:w="620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r>
      <w:tr>
        <w:trPr>
          <w:trHeight w:val="343"/>
        </w:trPr>
        <w:tc>
          <w:tcPr>
            <w:tcW w:w="6200" w:type="dxa"/>
            <w:vAlign w:val="bottom"/>
          </w:tcPr>
          <w:p>
            <w:pPr>
              <w:spacing w:after="0"/>
              <w:rPr>
                <w:sz w:val="20"/>
                <w:szCs w:val="20"/>
                <w:color w:val="auto"/>
              </w:rPr>
            </w:pPr>
            <w:r>
              <w:rPr>
                <w:rFonts w:ascii="Arial" w:cs="Arial" w:eastAsia="Arial" w:hAnsi="Arial"/>
                <w:sz w:val="18"/>
                <w:szCs w:val="18"/>
                <w:color w:val="auto"/>
              </w:rPr>
              <w:t>1998</w:t>
            </w:r>
          </w:p>
        </w:tc>
        <w:tc>
          <w:tcPr>
            <w:tcW w:w="1720" w:type="dxa"/>
            <w:vAlign w:val="bottom"/>
            <w:gridSpan w:val="2"/>
          </w:tcPr>
          <w:p>
            <w:pPr>
              <w:jc w:val="center"/>
              <w:spacing w:after="0"/>
              <w:rPr>
                <w:sz w:val="20"/>
                <w:szCs w:val="20"/>
                <w:color w:val="auto"/>
              </w:rPr>
            </w:pPr>
            <w:r>
              <w:rPr>
                <w:rFonts w:ascii="Arial" w:cs="Arial" w:eastAsia="Arial" w:hAnsi="Arial"/>
                <w:sz w:val="18"/>
                <w:szCs w:val="18"/>
                <w:color w:val="auto"/>
                <w:w w:val="88"/>
              </w:rPr>
              <w:t>85,801,738</w:t>
            </w:r>
          </w:p>
        </w:tc>
        <w:tc>
          <w:tcPr>
            <w:tcW w:w="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US$ 0.45</w:t>
            </w:r>
          </w:p>
        </w:tc>
        <w:tc>
          <w:tcPr>
            <w:tcW w:w="1720" w:type="dxa"/>
            <w:vAlign w:val="bottom"/>
            <w:gridSpan w:val="2"/>
          </w:tcPr>
          <w:p>
            <w:pPr>
              <w:jc w:val="center"/>
              <w:spacing w:after="0"/>
              <w:rPr>
                <w:sz w:val="20"/>
                <w:szCs w:val="20"/>
                <w:color w:val="auto"/>
              </w:rPr>
            </w:pPr>
            <w:r>
              <w:rPr>
                <w:rFonts w:ascii="Arial" w:cs="Arial" w:eastAsia="Arial" w:hAnsi="Arial"/>
                <w:sz w:val="18"/>
                <w:szCs w:val="18"/>
                <w:color w:val="auto"/>
                <w:w w:val="85"/>
              </w:rPr>
              <w:t>0.10</w:t>
            </w:r>
          </w:p>
        </w:tc>
      </w:tr>
      <w:tr>
        <w:trPr>
          <w:trHeight w:val="243"/>
        </w:trPr>
        <w:tc>
          <w:tcPr>
            <w:tcW w:w="6200" w:type="dxa"/>
            <w:vAlign w:val="bottom"/>
          </w:tcPr>
          <w:p>
            <w:pPr>
              <w:spacing w:after="0"/>
              <w:rPr>
                <w:sz w:val="20"/>
                <w:szCs w:val="20"/>
                <w:color w:val="auto"/>
              </w:rPr>
            </w:pPr>
            <w:r>
              <w:rPr>
                <w:rFonts w:ascii="Arial" w:cs="Arial" w:eastAsia="Arial" w:hAnsi="Arial"/>
                <w:sz w:val="18"/>
                <w:szCs w:val="18"/>
                <w:color w:val="auto"/>
              </w:rPr>
              <w:t>1999</w:t>
            </w:r>
          </w:p>
        </w:tc>
        <w:tc>
          <w:tcPr>
            <w:tcW w:w="1720" w:type="dxa"/>
            <w:vAlign w:val="bottom"/>
            <w:gridSpan w:val="2"/>
          </w:tcPr>
          <w:p>
            <w:pPr>
              <w:jc w:val="center"/>
              <w:spacing w:after="0"/>
              <w:rPr>
                <w:sz w:val="20"/>
                <w:szCs w:val="20"/>
                <w:color w:val="auto"/>
              </w:rPr>
            </w:pPr>
            <w:r>
              <w:rPr>
                <w:rFonts w:ascii="Arial" w:cs="Arial" w:eastAsia="Arial" w:hAnsi="Arial"/>
                <w:sz w:val="18"/>
                <w:szCs w:val="18"/>
                <w:color w:val="auto"/>
                <w:w w:val="88"/>
              </w:rPr>
              <w:t>94,382,317</w:t>
            </w:r>
          </w:p>
        </w:tc>
        <w:tc>
          <w:tcPr>
            <w:tcW w:w="2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US$ 0.20</w:t>
            </w:r>
          </w:p>
        </w:tc>
        <w:tc>
          <w:tcPr>
            <w:tcW w:w="1720" w:type="dxa"/>
            <w:vAlign w:val="bottom"/>
            <w:gridSpan w:val="2"/>
          </w:tcPr>
          <w:p>
            <w:pPr>
              <w:jc w:val="center"/>
              <w:spacing w:after="0"/>
              <w:rPr>
                <w:sz w:val="20"/>
                <w:szCs w:val="20"/>
                <w:color w:val="auto"/>
              </w:rPr>
            </w:pPr>
            <w:r>
              <w:rPr>
                <w:rFonts w:ascii="Arial" w:cs="Arial" w:eastAsia="Arial" w:hAnsi="Arial"/>
                <w:sz w:val="18"/>
                <w:szCs w:val="18"/>
                <w:color w:val="auto"/>
                <w:w w:val="85"/>
              </w:rPr>
              <w:t>0.00</w:t>
            </w:r>
          </w:p>
        </w:tc>
      </w:tr>
      <w:tr>
        <w:trPr>
          <w:trHeight w:val="243"/>
        </w:trPr>
        <w:tc>
          <w:tcPr>
            <w:tcW w:w="6200" w:type="dxa"/>
            <w:vAlign w:val="bottom"/>
          </w:tcPr>
          <w:p>
            <w:pPr>
              <w:spacing w:after="0"/>
              <w:rPr>
                <w:sz w:val="20"/>
                <w:szCs w:val="20"/>
                <w:color w:val="auto"/>
              </w:rPr>
            </w:pPr>
            <w:r>
              <w:rPr>
                <w:rFonts w:ascii="Arial" w:cs="Arial" w:eastAsia="Arial" w:hAnsi="Arial"/>
                <w:sz w:val="18"/>
                <w:szCs w:val="18"/>
                <w:color w:val="auto"/>
              </w:rPr>
              <w:t>2000</w:t>
            </w:r>
          </w:p>
        </w:tc>
        <w:tc>
          <w:tcPr>
            <w:tcW w:w="1720" w:type="dxa"/>
            <w:vAlign w:val="bottom"/>
            <w:gridSpan w:val="2"/>
          </w:tcPr>
          <w:p>
            <w:pPr>
              <w:jc w:val="center"/>
              <w:spacing w:after="0"/>
              <w:rPr>
                <w:sz w:val="20"/>
                <w:szCs w:val="20"/>
                <w:color w:val="auto"/>
              </w:rPr>
            </w:pPr>
            <w:r>
              <w:rPr>
                <w:rFonts w:ascii="Arial" w:cs="Arial" w:eastAsia="Arial" w:hAnsi="Arial"/>
                <w:sz w:val="18"/>
                <w:szCs w:val="18"/>
                <w:color w:val="auto"/>
                <w:w w:val="88"/>
              </w:rPr>
              <w:t>94,382,317</w:t>
            </w:r>
          </w:p>
        </w:tc>
        <w:tc>
          <w:tcPr>
            <w:tcW w:w="2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US$ 0.10</w:t>
            </w:r>
          </w:p>
        </w:tc>
        <w:tc>
          <w:tcPr>
            <w:tcW w:w="1720" w:type="dxa"/>
            <w:vAlign w:val="bottom"/>
            <w:gridSpan w:val="2"/>
          </w:tcPr>
          <w:p>
            <w:pPr>
              <w:jc w:val="center"/>
              <w:spacing w:after="0"/>
              <w:rPr>
                <w:sz w:val="20"/>
                <w:szCs w:val="20"/>
                <w:color w:val="auto"/>
              </w:rPr>
            </w:pPr>
            <w:r>
              <w:rPr>
                <w:rFonts w:ascii="Arial" w:cs="Arial" w:eastAsia="Arial" w:hAnsi="Arial"/>
                <w:sz w:val="18"/>
                <w:szCs w:val="18"/>
                <w:color w:val="auto"/>
                <w:w w:val="85"/>
              </w:rPr>
              <w:t>0.00</w:t>
            </w:r>
          </w:p>
        </w:tc>
      </w:tr>
      <w:tr>
        <w:trPr>
          <w:trHeight w:val="243"/>
        </w:trPr>
        <w:tc>
          <w:tcPr>
            <w:tcW w:w="6200" w:type="dxa"/>
            <w:vAlign w:val="bottom"/>
          </w:tcPr>
          <w:p>
            <w:pPr>
              <w:spacing w:after="0"/>
              <w:rPr>
                <w:sz w:val="20"/>
                <w:szCs w:val="20"/>
                <w:color w:val="auto"/>
              </w:rPr>
            </w:pPr>
            <w:r>
              <w:rPr>
                <w:rFonts w:ascii="Arial" w:cs="Arial" w:eastAsia="Arial" w:hAnsi="Arial"/>
                <w:sz w:val="18"/>
                <w:szCs w:val="18"/>
                <w:color w:val="auto"/>
              </w:rPr>
              <w:t>2001</w:t>
            </w:r>
          </w:p>
        </w:tc>
        <w:tc>
          <w:tcPr>
            <w:tcW w:w="1720" w:type="dxa"/>
            <w:vAlign w:val="bottom"/>
            <w:gridSpan w:val="2"/>
          </w:tcPr>
          <w:p>
            <w:pPr>
              <w:jc w:val="center"/>
              <w:spacing w:after="0"/>
              <w:rPr>
                <w:sz w:val="20"/>
                <w:szCs w:val="20"/>
                <w:color w:val="auto"/>
              </w:rPr>
            </w:pPr>
            <w:r>
              <w:rPr>
                <w:rFonts w:ascii="Arial" w:cs="Arial" w:eastAsia="Arial" w:hAnsi="Arial"/>
                <w:sz w:val="18"/>
                <w:szCs w:val="18"/>
                <w:color w:val="auto"/>
                <w:w w:val="88"/>
              </w:rPr>
              <w:t>94,382,317</w:t>
            </w:r>
          </w:p>
        </w:tc>
        <w:tc>
          <w:tcPr>
            <w:tcW w:w="2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US$ 0.10</w:t>
            </w:r>
          </w:p>
        </w:tc>
        <w:tc>
          <w:tcPr>
            <w:tcW w:w="1720" w:type="dxa"/>
            <w:vAlign w:val="bottom"/>
            <w:gridSpan w:val="2"/>
          </w:tcPr>
          <w:p>
            <w:pPr>
              <w:jc w:val="center"/>
              <w:spacing w:after="0"/>
              <w:rPr>
                <w:sz w:val="20"/>
                <w:szCs w:val="20"/>
                <w:color w:val="auto"/>
              </w:rPr>
            </w:pPr>
            <w:r>
              <w:rPr>
                <w:rFonts w:ascii="Arial" w:cs="Arial" w:eastAsia="Arial" w:hAnsi="Arial"/>
                <w:sz w:val="18"/>
                <w:szCs w:val="18"/>
                <w:color w:val="auto"/>
                <w:w w:val="85"/>
              </w:rPr>
              <w:t>0.00</w:t>
            </w:r>
          </w:p>
        </w:tc>
      </w:tr>
      <w:tr>
        <w:trPr>
          <w:trHeight w:val="243"/>
        </w:trPr>
        <w:tc>
          <w:tcPr>
            <w:tcW w:w="6200" w:type="dxa"/>
            <w:vAlign w:val="bottom"/>
          </w:tcPr>
          <w:p>
            <w:pPr>
              <w:spacing w:after="0"/>
              <w:rPr>
                <w:sz w:val="20"/>
                <w:szCs w:val="20"/>
                <w:color w:val="auto"/>
              </w:rPr>
            </w:pPr>
            <w:r>
              <w:rPr>
                <w:rFonts w:ascii="Arial" w:cs="Arial" w:eastAsia="Arial" w:hAnsi="Arial"/>
                <w:sz w:val="18"/>
                <w:szCs w:val="18"/>
                <w:color w:val="auto"/>
              </w:rPr>
              <w:t>2002</w:t>
            </w:r>
          </w:p>
        </w:tc>
        <w:tc>
          <w:tcPr>
            <w:tcW w:w="1720" w:type="dxa"/>
            <w:vAlign w:val="bottom"/>
            <w:gridSpan w:val="2"/>
          </w:tcPr>
          <w:p>
            <w:pPr>
              <w:jc w:val="center"/>
              <w:spacing w:after="0"/>
              <w:rPr>
                <w:sz w:val="20"/>
                <w:szCs w:val="20"/>
                <w:color w:val="auto"/>
              </w:rPr>
            </w:pPr>
            <w:r>
              <w:rPr>
                <w:rFonts w:ascii="Arial" w:cs="Arial" w:eastAsia="Arial" w:hAnsi="Arial"/>
                <w:sz w:val="18"/>
                <w:szCs w:val="18"/>
                <w:color w:val="auto"/>
                <w:w w:val="88"/>
              </w:rPr>
              <w:t>94,382,317</w:t>
            </w:r>
          </w:p>
        </w:tc>
        <w:tc>
          <w:tcPr>
            <w:tcW w:w="2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US$ 0.40</w:t>
            </w:r>
          </w:p>
        </w:tc>
        <w:tc>
          <w:tcPr>
            <w:tcW w:w="1720" w:type="dxa"/>
            <w:vAlign w:val="bottom"/>
            <w:gridSpan w:val="2"/>
          </w:tcPr>
          <w:p>
            <w:pPr>
              <w:jc w:val="center"/>
              <w:spacing w:after="0"/>
              <w:rPr>
                <w:sz w:val="20"/>
                <w:szCs w:val="20"/>
                <w:color w:val="auto"/>
              </w:rPr>
            </w:pPr>
            <w:r>
              <w:rPr>
                <w:rFonts w:ascii="Arial" w:cs="Arial" w:eastAsia="Arial" w:hAnsi="Arial"/>
                <w:sz w:val="18"/>
                <w:szCs w:val="18"/>
                <w:color w:val="auto"/>
                <w:w w:val="85"/>
              </w:rPr>
              <w:t>0.00</w:t>
            </w:r>
          </w:p>
        </w:tc>
      </w:tr>
      <w:tr>
        <w:trPr>
          <w:trHeight w:val="243"/>
        </w:trPr>
        <w:tc>
          <w:tcPr>
            <w:tcW w:w="6200" w:type="dxa"/>
            <w:vAlign w:val="bottom"/>
          </w:tcPr>
          <w:p>
            <w:pPr>
              <w:spacing w:after="0"/>
              <w:rPr>
                <w:sz w:val="20"/>
                <w:szCs w:val="20"/>
                <w:color w:val="auto"/>
              </w:rPr>
            </w:pPr>
            <w:r>
              <w:rPr>
                <w:rFonts w:ascii="Arial" w:cs="Arial" w:eastAsia="Arial" w:hAnsi="Arial"/>
                <w:sz w:val="18"/>
                <w:szCs w:val="18"/>
                <w:color w:val="auto"/>
              </w:rPr>
              <w:t>2003</w:t>
            </w:r>
          </w:p>
        </w:tc>
        <w:tc>
          <w:tcPr>
            <w:tcW w:w="1720" w:type="dxa"/>
            <w:vAlign w:val="bottom"/>
            <w:gridSpan w:val="2"/>
          </w:tcPr>
          <w:p>
            <w:pPr>
              <w:jc w:val="center"/>
              <w:spacing w:after="0"/>
              <w:rPr>
                <w:sz w:val="20"/>
                <w:szCs w:val="20"/>
                <w:color w:val="auto"/>
              </w:rPr>
            </w:pPr>
            <w:r>
              <w:rPr>
                <w:rFonts w:ascii="Arial" w:cs="Arial" w:eastAsia="Arial" w:hAnsi="Arial"/>
                <w:sz w:val="18"/>
                <w:szCs w:val="18"/>
                <w:color w:val="auto"/>
                <w:w w:val="88"/>
              </w:rPr>
              <w:t>94,382,317</w:t>
            </w:r>
          </w:p>
        </w:tc>
        <w:tc>
          <w:tcPr>
            <w:tcW w:w="2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US$ 0.30</w:t>
            </w:r>
          </w:p>
        </w:tc>
        <w:tc>
          <w:tcPr>
            <w:tcW w:w="1720" w:type="dxa"/>
            <w:vAlign w:val="bottom"/>
            <w:gridSpan w:val="2"/>
          </w:tcPr>
          <w:p>
            <w:pPr>
              <w:jc w:val="center"/>
              <w:spacing w:after="0"/>
              <w:rPr>
                <w:sz w:val="20"/>
                <w:szCs w:val="20"/>
                <w:color w:val="auto"/>
              </w:rPr>
            </w:pPr>
            <w:r>
              <w:rPr>
                <w:rFonts w:ascii="Arial" w:cs="Arial" w:eastAsia="Arial" w:hAnsi="Arial"/>
                <w:sz w:val="18"/>
                <w:szCs w:val="18"/>
                <w:color w:val="auto"/>
                <w:w w:val="85"/>
              </w:rPr>
              <w:t>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3945890</wp:posOffset>
            </wp:positionH>
            <wp:positionV relativeFrom="paragraph">
              <wp:posOffset>-1014095</wp:posOffset>
            </wp:positionV>
            <wp:extent cx="34290" cy="342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-1014095</wp:posOffset>
            </wp:positionV>
            <wp:extent cx="34290" cy="342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-1014095</wp:posOffset>
            </wp:positionV>
            <wp:extent cx="34290" cy="342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-1014095</wp:posOffset>
            </wp:positionV>
            <wp:extent cx="34290" cy="342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17" w:lineRule="exact"/>
        <w:rPr>
          <w:sz w:val="20"/>
          <w:szCs w:val="20"/>
          <w:color w:val="auto"/>
        </w:rPr>
      </w:pPr>
    </w:p>
    <w:p>
      <w:pPr>
        <w:jc w:val="both"/>
        <w:ind w:firstLine="325"/>
        <w:spacing w:after="0" w:line="268" w:lineRule="auto"/>
        <w:rPr>
          <w:sz w:val="20"/>
          <w:szCs w:val="20"/>
          <w:color w:val="auto"/>
        </w:rPr>
      </w:pPr>
      <w:r>
        <w:rPr>
          <w:rFonts w:ascii="Arial" w:cs="Arial" w:eastAsia="Arial" w:hAnsi="Arial"/>
          <w:sz w:val="18"/>
          <w:szCs w:val="18"/>
          <w:color w:val="auto"/>
        </w:rPr>
        <w:t>On February 25, 2004, the Board declared a cash dividend of US$0.40 per Common Share held at the close of business on April 16, 2004, which was distributed on April 30, 2004.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Significant Changes</w:t>
      </w:r>
    </w:p>
    <w:p>
      <w:pPr>
        <w:spacing w:after="0" w:line="231" w:lineRule="exact"/>
        <w:rPr>
          <w:sz w:val="20"/>
          <w:szCs w:val="20"/>
          <w:color w:val="auto"/>
        </w:rPr>
      </w:pPr>
    </w:p>
    <w:p>
      <w:pPr>
        <w:jc w:val="both"/>
        <w:ind w:firstLine="238"/>
        <w:spacing w:after="0" w:line="290" w:lineRule="auto"/>
        <w:rPr>
          <w:sz w:val="20"/>
          <w:szCs w:val="20"/>
          <w:color w:val="auto"/>
        </w:rPr>
      </w:pPr>
      <w:r>
        <w:rPr>
          <w:rFonts w:ascii="Arial" w:cs="Arial" w:eastAsia="Arial" w:hAnsi="Arial"/>
          <w:sz w:val="16"/>
          <w:szCs w:val="16"/>
          <w:color w:val="auto"/>
        </w:rPr>
        <w:t>Credicorp’s Audit Committee appointed Medina, Zaldívar, Paredes &amp; Asociados, a member firm of Ernst &amp; Young, as external auditors for a five-year period starting in 2003, in replacement of Dongo-Soria, Gaveglio y Asociados, a member firm of PricewaterhouseCoopers. At the Annual General Shareholders’ Meeting of Credicorp, held on March 28, 2003, the shareholders ratified this appointment. The change of auditors was carried out pursuant to Credicorp’s policy of changing its external audit firm every five years. Prior to Credicorp’s incorporation, the same policy was applied by BCP. Dongo-Soria, Gaveglio y Asociados was responsible for external audits for a six-year period, from 1997 to 2002. The five-year policy was not applied in 2001 and Dongo-Soria, Gaveglio y Asociados’ appointment was extended an additional year because of the difficulties faced at that time by Arthur Andersen, of which firm Medina, Zaldívar, Paredes &amp; Asociados was then a member. Current SBS regulations require companies to change their senior audit team every five years but not the audit firm.</w:t>
      </w:r>
    </w:p>
    <w:p>
      <w:pPr>
        <w:spacing w:after="0" w:line="172" w:lineRule="exact"/>
        <w:rPr>
          <w:sz w:val="20"/>
          <w:szCs w:val="20"/>
          <w:color w:val="auto"/>
        </w:rPr>
      </w:pPr>
    </w:p>
    <w:p>
      <w:pPr>
        <w:jc w:val="right"/>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THE OFFER AND LISTING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Offer and Listing Details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Price History of Credicorp’s Stock</w:t>
      </w:r>
    </w:p>
    <w:p>
      <w:pPr>
        <w:spacing w:after="0" w:line="225" w:lineRule="exact"/>
        <w:rPr>
          <w:sz w:val="20"/>
          <w:szCs w:val="20"/>
          <w:color w:val="auto"/>
        </w:rPr>
      </w:pPr>
    </w:p>
    <w:p>
      <w:pPr>
        <w:jc w:val="both"/>
        <w:ind w:firstLine="242"/>
        <w:spacing w:after="0" w:line="256" w:lineRule="auto"/>
        <w:rPr>
          <w:sz w:val="20"/>
          <w:szCs w:val="20"/>
          <w:color w:val="auto"/>
        </w:rPr>
      </w:pPr>
      <w:r>
        <w:rPr>
          <w:rFonts w:ascii="Arial" w:cs="Arial" w:eastAsia="Arial" w:hAnsi="Arial"/>
          <w:sz w:val="18"/>
          <w:szCs w:val="18"/>
          <w:color w:val="auto"/>
        </w:rPr>
        <w:t>Credicorp’s Common Shares have been traded on the New York Stock Exchange since October 25, 1995 under the symbol “BAP.” The Common Shares also trade on the Lima Stock Exchange. The Common Shares are quoted in U.S. Dollars on both the New York Stock Exchange and the Lima Stock Exchange. The table below sets forth, for the periods indicated, the reported high and low closing prices and average daily trading volume for the Common Shares on the New York Stock Exchange.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347" w:right="2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28"/>
        </w:trPr>
        <w:tc>
          <w:tcPr>
            <w:tcW w:w="6280" w:type="dxa"/>
            <w:vAlign w:val="bottom"/>
          </w:tcPr>
          <w:p>
            <w:pPr>
              <w:spacing w:after="0"/>
              <w:rPr>
                <w:sz w:val="19"/>
                <w:szCs w:val="19"/>
                <w:color w:val="auto"/>
              </w:rPr>
            </w:pPr>
          </w:p>
        </w:tc>
        <w:tc>
          <w:tcPr>
            <w:tcW w:w="1680" w:type="dxa"/>
            <w:vAlign w:val="bottom"/>
          </w:tcPr>
          <w:p>
            <w:pPr>
              <w:jc w:val="right"/>
              <w:ind w:right="352"/>
              <w:spacing w:after="0"/>
              <w:rPr>
                <w:sz w:val="20"/>
                <w:szCs w:val="20"/>
                <w:color w:val="auto"/>
              </w:rPr>
            </w:pPr>
            <w:r>
              <w:rPr>
                <w:rFonts w:ascii="Arial" w:cs="Arial" w:eastAsia="Arial" w:hAnsi="Arial"/>
                <w:sz w:val="18"/>
                <w:szCs w:val="18"/>
                <w:b w:val="1"/>
                <w:bCs w:val="1"/>
                <w:color w:val="auto"/>
              </w:rPr>
              <w:t xml:space="preserve">High </w:t>
            </w: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1720" w:type="dxa"/>
            <w:vAlign w:val="bottom"/>
            <w:gridSpan w:val="2"/>
          </w:tcPr>
          <w:p>
            <w:pPr>
              <w:ind w:left="660"/>
              <w:spacing w:after="0"/>
              <w:rPr>
                <w:sz w:val="20"/>
                <w:szCs w:val="20"/>
                <w:color w:val="auto"/>
              </w:rPr>
            </w:pPr>
            <w:r>
              <w:rPr>
                <w:rFonts w:ascii="Arial" w:cs="Arial" w:eastAsia="Arial" w:hAnsi="Arial"/>
                <w:sz w:val="18"/>
                <w:szCs w:val="18"/>
                <w:b w:val="1"/>
                <w:bCs w:val="1"/>
                <w:color w:val="auto"/>
              </w:rPr>
              <w:t xml:space="preserve">Low </w:t>
            </w:r>
            <w:r>
              <w:rPr>
                <w:rFonts w:ascii="Arial" w:cs="Arial" w:eastAsia="Arial" w:hAnsi="Arial"/>
                <w:sz w:val="18"/>
                <w:szCs w:val="18"/>
                <w:color w:val="auto"/>
              </w:rPr>
              <w:t>(1)</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w w:val="87"/>
              </w:rPr>
              <w:t>Average Daily Volume</w:t>
            </w:r>
          </w:p>
        </w:tc>
      </w:tr>
      <w:tr>
        <w:trPr>
          <w:trHeight w:val="110"/>
        </w:trPr>
        <w:tc>
          <w:tcPr>
            <w:tcW w:w="628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r>
      <w:tr>
        <w:trPr>
          <w:trHeight w:val="343"/>
        </w:trPr>
        <w:tc>
          <w:tcPr>
            <w:tcW w:w="6280" w:type="dxa"/>
            <w:vAlign w:val="bottom"/>
          </w:tcPr>
          <w:p>
            <w:pPr>
              <w:ind w:left="40"/>
              <w:spacing w:after="0"/>
              <w:rPr>
                <w:sz w:val="20"/>
                <w:szCs w:val="20"/>
                <w:color w:val="auto"/>
              </w:rPr>
            </w:pPr>
            <w:r>
              <w:rPr>
                <w:rFonts w:ascii="Arial" w:cs="Arial" w:eastAsia="Arial" w:hAnsi="Arial"/>
                <w:sz w:val="18"/>
                <w:szCs w:val="18"/>
                <w:color w:val="auto"/>
              </w:rPr>
              <w:t>1999</w:t>
            </w:r>
          </w:p>
        </w:tc>
        <w:tc>
          <w:tcPr>
            <w:tcW w:w="1680" w:type="dxa"/>
            <w:vAlign w:val="bottom"/>
          </w:tcPr>
          <w:p>
            <w:pPr>
              <w:jc w:val="right"/>
              <w:spacing w:after="0"/>
              <w:rPr>
                <w:sz w:val="20"/>
                <w:szCs w:val="20"/>
                <w:color w:val="auto"/>
              </w:rPr>
            </w:pPr>
            <w:r>
              <w:rPr>
                <w:rFonts w:ascii="Arial" w:cs="Arial" w:eastAsia="Arial" w:hAnsi="Arial"/>
                <w:sz w:val="18"/>
                <w:szCs w:val="18"/>
                <w:color w:val="auto"/>
              </w:rPr>
              <w:t>$ 13.06</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$ 7.63</w:t>
            </w:r>
          </w:p>
        </w:tc>
        <w:tc>
          <w:tcPr>
            <w:tcW w:w="1700" w:type="dxa"/>
            <w:vAlign w:val="bottom"/>
          </w:tcPr>
          <w:p>
            <w:pPr>
              <w:jc w:val="right"/>
              <w:spacing w:after="0"/>
              <w:rPr>
                <w:sz w:val="20"/>
                <w:szCs w:val="20"/>
                <w:color w:val="auto"/>
              </w:rPr>
            </w:pPr>
            <w:r>
              <w:rPr>
                <w:rFonts w:ascii="Arial" w:cs="Arial" w:eastAsia="Arial" w:hAnsi="Arial"/>
                <w:sz w:val="18"/>
                <w:szCs w:val="18"/>
                <w:color w:val="auto"/>
              </w:rPr>
              <w:t>79,084</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2000</w:t>
            </w:r>
          </w:p>
        </w:tc>
        <w:tc>
          <w:tcPr>
            <w:tcW w:w="1680" w:type="dxa"/>
            <w:vAlign w:val="bottom"/>
          </w:tcPr>
          <w:p>
            <w:pPr>
              <w:jc w:val="right"/>
              <w:spacing w:after="0"/>
              <w:rPr>
                <w:sz w:val="20"/>
                <w:szCs w:val="20"/>
                <w:color w:val="auto"/>
              </w:rPr>
            </w:pPr>
            <w:r>
              <w:rPr>
                <w:rFonts w:ascii="Arial" w:cs="Arial" w:eastAsia="Arial" w:hAnsi="Arial"/>
                <w:sz w:val="18"/>
                <w:szCs w:val="18"/>
                <w:color w:val="auto"/>
              </w:rPr>
              <w:t>$ 12.75</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$ 5.50</w:t>
            </w:r>
          </w:p>
        </w:tc>
        <w:tc>
          <w:tcPr>
            <w:tcW w:w="1700" w:type="dxa"/>
            <w:vAlign w:val="bottom"/>
          </w:tcPr>
          <w:p>
            <w:pPr>
              <w:jc w:val="right"/>
              <w:spacing w:after="0"/>
              <w:rPr>
                <w:sz w:val="20"/>
                <w:szCs w:val="20"/>
                <w:color w:val="auto"/>
              </w:rPr>
            </w:pPr>
            <w:r>
              <w:rPr>
                <w:rFonts w:ascii="Arial" w:cs="Arial" w:eastAsia="Arial" w:hAnsi="Arial"/>
                <w:sz w:val="18"/>
                <w:szCs w:val="18"/>
                <w:color w:val="auto"/>
              </w:rPr>
              <w:t>111,526</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2001</w:t>
            </w:r>
          </w:p>
        </w:tc>
        <w:tc>
          <w:tcPr>
            <w:tcW w:w="1680" w:type="dxa"/>
            <w:vAlign w:val="bottom"/>
          </w:tcPr>
          <w:p>
            <w:pPr>
              <w:jc w:val="right"/>
              <w:spacing w:after="0"/>
              <w:rPr>
                <w:sz w:val="20"/>
                <w:szCs w:val="20"/>
                <w:color w:val="auto"/>
              </w:rPr>
            </w:pPr>
            <w:r>
              <w:rPr>
                <w:rFonts w:ascii="Arial" w:cs="Arial" w:eastAsia="Arial" w:hAnsi="Arial"/>
                <w:sz w:val="18"/>
                <w:szCs w:val="18"/>
                <w:color w:val="auto"/>
              </w:rPr>
              <w:t>$ 9.41</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$ 5.94</w:t>
            </w:r>
          </w:p>
        </w:tc>
        <w:tc>
          <w:tcPr>
            <w:tcW w:w="1700" w:type="dxa"/>
            <w:vAlign w:val="bottom"/>
          </w:tcPr>
          <w:p>
            <w:pPr>
              <w:jc w:val="right"/>
              <w:spacing w:after="0"/>
              <w:rPr>
                <w:sz w:val="20"/>
                <w:szCs w:val="20"/>
                <w:color w:val="auto"/>
              </w:rPr>
            </w:pPr>
            <w:r>
              <w:rPr>
                <w:rFonts w:ascii="Arial" w:cs="Arial" w:eastAsia="Arial" w:hAnsi="Arial"/>
                <w:sz w:val="18"/>
                <w:szCs w:val="18"/>
                <w:color w:val="auto"/>
              </w:rPr>
              <w:t>67,296</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2002</w:t>
            </w:r>
          </w:p>
        </w:tc>
        <w:tc>
          <w:tcPr>
            <w:tcW w:w="1680" w:type="dxa"/>
            <w:vAlign w:val="bottom"/>
          </w:tcPr>
          <w:p>
            <w:pPr>
              <w:jc w:val="right"/>
              <w:spacing w:after="0"/>
              <w:rPr>
                <w:sz w:val="20"/>
                <w:szCs w:val="20"/>
                <w:color w:val="auto"/>
              </w:rPr>
            </w:pPr>
            <w:r>
              <w:rPr>
                <w:rFonts w:ascii="Arial" w:cs="Arial" w:eastAsia="Arial" w:hAnsi="Arial"/>
                <w:sz w:val="18"/>
                <w:szCs w:val="18"/>
                <w:color w:val="auto"/>
              </w:rPr>
              <w:t>$ 10.10</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$ 6.91</w:t>
            </w:r>
          </w:p>
        </w:tc>
        <w:tc>
          <w:tcPr>
            <w:tcW w:w="1700" w:type="dxa"/>
            <w:vAlign w:val="bottom"/>
          </w:tcPr>
          <w:p>
            <w:pPr>
              <w:jc w:val="right"/>
              <w:spacing w:after="0"/>
              <w:rPr>
                <w:sz w:val="20"/>
                <w:szCs w:val="20"/>
                <w:color w:val="auto"/>
              </w:rPr>
            </w:pPr>
            <w:r>
              <w:rPr>
                <w:rFonts w:ascii="Arial" w:cs="Arial" w:eastAsia="Arial" w:hAnsi="Arial"/>
                <w:sz w:val="18"/>
                <w:szCs w:val="18"/>
                <w:color w:val="auto"/>
              </w:rPr>
              <w:t>38,371</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2003</w:t>
            </w:r>
          </w:p>
        </w:tc>
        <w:tc>
          <w:tcPr>
            <w:tcW w:w="1680" w:type="dxa"/>
            <w:vAlign w:val="bottom"/>
          </w:tcPr>
          <w:p>
            <w:pPr>
              <w:jc w:val="right"/>
              <w:spacing w:after="0"/>
              <w:rPr>
                <w:sz w:val="20"/>
                <w:szCs w:val="20"/>
                <w:color w:val="auto"/>
              </w:rPr>
            </w:pPr>
            <w:r>
              <w:rPr>
                <w:rFonts w:ascii="Arial" w:cs="Arial" w:eastAsia="Arial" w:hAnsi="Arial"/>
                <w:sz w:val="18"/>
                <w:szCs w:val="18"/>
                <w:color w:val="auto"/>
              </w:rPr>
              <w:t>$ 13.38</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$ 9.35</w:t>
            </w:r>
          </w:p>
        </w:tc>
        <w:tc>
          <w:tcPr>
            <w:tcW w:w="1700" w:type="dxa"/>
            <w:vAlign w:val="bottom"/>
          </w:tcPr>
          <w:p>
            <w:pPr>
              <w:jc w:val="right"/>
              <w:spacing w:after="0"/>
              <w:rPr>
                <w:sz w:val="20"/>
                <w:szCs w:val="20"/>
                <w:color w:val="auto"/>
              </w:rPr>
            </w:pPr>
            <w:r>
              <w:rPr>
                <w:rFonts w:ascii="Arial" w:cs="Arial" w:eastAsia="Arial" w:hAnsi="Arial"/>
                <w:sz w:val="18"/>
                <w:szCs w:val="18"/>
                <w:color w:val="auto"/>
              </w:rPr>
              <w:t>41,931</w:t>
            </w:r>
          </w:p>
        </w:tc>
      </w:tr>
      <w:tr>
        <w:trPr>
          <w:trHeight w:val="486"/>
        </w:trPr>
        <w:tc>
          <w:tcPr>
            <w:tcW w:w="6280" w:type="dxa"/>
            <w:vAlign w:val="bottom"/>
          </w:tcPr>
          <w:p>
            <w:pPr>
              <w:ind w:left="40"/>
              <w:spacing w:after="0"/>
              <w:rPr>
                <w:sz w:val="20"/>
                <w:szCs w:val="20"/>
                <w:color w:val="auto"/>
              </w:rPr>
            </w:pPr>
            <w:r>
              <w:rPr>
                <w:rFonts w:ascii="Arial" w:cs="Arial" w:eastAsia="Arial" w:hAnsi="Arial"/>
                <w:sz w:val="18"/>
                <w:szCs w:val="18"/>
                <w:color w:val="auto"/>
              </w:rPr>
              <w:t>2002</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43"/>
        </w:trPr>
        <w:tc>
          <w:tcPr>
            <w:tcW w:w="6280" w:type="dxa"/>
            <w:vAlign w:val="bottom"/>
          </w:tcPr>
          <w:p>
            <w:pPr>
              <w:ind w:left="220"/>
              <w:spacing w:after="0"/>
              <w:rPr>
                <w:sz w:val="20"/>
                <w:szCs w:val="20"/>
                <w:color w:val="auto"/>
              </w:rPr>
            </w:pPr>
            <w:r>
              <w:rPr>
                <w:rFonts w:ascii="Arial" w:cs="Arial" w:eastAsia="Arial" w:hAnsi="Arial"/>
                <w:sz w:val="18"/>
                <w:szCs w:val="18"/>
                <w:color w:val="auto"/>
              </w:rPr>
              <w:t>First quarter</w:t>
            </w:r>
          </w:p>
        </w:tc>
        <w:tc>
          <w:tcPr>
            <w:tcW w:w="1680" w:type="dxa"/>
            <w:vAlign w:val="bottom"/>
          </w:tcPr>
          <w:p>
            <w:pPr>
              <w:jc w:val="right"/>
              <w:spacing w:after="0"/>
              <w:rPr>
                <w:sz w:val="20"/>
                <w:szCs w:val="20"/>
                <w:color w:val="auto"/>
              </w:rPr>
            </w:pPr>
            <w:r>
              <w:rPr>
                <w:rFonts w:ascii="Arial" w:cs="Arial" w:eastAsia="Arial" w:hAnsi="Arial"/>
                <w:sz w:val="18"/>
                <w:szCs w:val="18"/>
                <w:color w:val="auto"/>
              </w:rPr>
              <w:t>$ 10.10</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$ 8.60</w:t>
            </w:r>
          </w:p>
        </w:tc>
        <w:tc>
          <w:tcPr>
            <w:tcW w:w="1700" w:type="dxa"/>
            <w:vAlign w:val="bottom"/>
          </w:tcPr>
          <w:p>
            <w:pPr>
              <w:jc w:val="right"/>
              <w:spacing w:after="0"/>
              <w:rPr>
                <w:sz w:val="20"/>
                <w:szCs w:val="20"/>
                <w:color w:val="auto"/>
              </w:rPr>
            </w:pPr>
            <w:r>
              <w:rPr>
                <w:rFonts w:ascii="Arial" w:cs="Arial" w:eastAsia="Arial" w:hAnsi="Arial"/>
                <w:sz w:val="18"/>
                <w:szCs w:val="18"/>
                <w:color w:val="auto"/>
              </w:rPr>
              <w:t>40,899</w:t>
            </w:r>
          </w:p>
        </w:tc>
      </w:tr>
      <w:tr>
        <w:trPr>
          <w:trHeight w:val="243"/>
        </w:trPr>
        <w:tc>
          <w:tcPr>
            <w:tcW w:w="6280" w:type="dxa"/>
            <w:vAlign w:val="bottom"/>
          </w:tcPr>
          <w:p>
            <w:pPr>
              <w:ind w:left="220"/>
              <w:spacing w:after="0"/>
              <w:rPr>
                <w:sz w:val="20"/>
                <w:szCs w:val="20"/>
                <w:color w:val="auto"/>
              </w:rPr>
            </w:pPr>
            <w:r>
              <w:rPr>
                <w:rFonts w:ascii="Arial" w:cs="Arial" w:eastAsia="Arial" w:hAnsi="Arial"/>
                <w:sz w:val="18"/>
                <w:szCs w:val="18"/>
                <w:color w:val="auto"/>
              </w:rPr>
              <w:t>Second quarter</w:t>
            </w:r>
          </w:p>
        </w:tc>
        <w:tc>
          <w:tcPr>
            <w:tcW w:w="1680" w:type="dxa"/>
            <w:vAlign w:val="bottom"/>
          </w:tcPr>
          <w:p>
            <w:pPr>
              <w:jc w:val="right"/>
              <w:spacing w:after="0"/>
              <w:rPr>
                <w:sz w:val="20"/>
                <w:szCs w:val="20"/>
                <w:color w:val="auto"/>
              </w:rPr>
            </w:pPr>
            <w:r>
              <w:rPr>
                <w:rFonts w:ascii="Arial" w:cs="Arial" w:eastAsia="Arial" w:hAnsi="Arial"/>
                <w:sz w:val="18"/>
                <w:szCs w:val="18"/>
                <w:color w:val="auto"/>
              </w:rPr>
              <w:t>$ 10.04</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$ 7.75</w:t>
            </w:r>
          </w:p>
        </w:tc>
        <w:tc>
          <w:tcPr>
            <w:tcW w:w="1700" w:type="dxa"/>
            <w:vAlign w:val="bottom"/>
          </w:tcPr>
          <w:p>
            <w:pPr>
              <w:jc w:val="right"/>
              <w:spacing w:after="0"/>
              <w:rPr>
                <w:sz w:val="20"/>
                <w:szCs w:val="20"/>
                <w:color w:val="auto"/>
              </w:rPr>
            </w:pPr>
            <w:r>
              <w:rPr>
                <w:rFonts w:ascii="Arial" w:cs="Arial" w:eastAsia="Arial" w:hAnsi="Arial"/>
                <w:sz w:val="18"/>
                <w:szCs w:val="18"/>
                <w:color w:val="auto"/>
              </w:rPr>
              <w:t>31,534</w:t>
            </w:r>
          </w:p>
        </w:tc>
      </w:tr>
      <w:tr>
        <w:trPr>
          <w:trHeight w:val="243"/>
        </w:trPr>
        <w:tc>
          <w:tcPr>
            <w:tcW w:w="6280" w:type="dxa"/>
            <w:vAlign w:val="bottom"/>
          </w:tcPr>
          <w:p>
            <w:pPr>
              <w:ind w:left="200"/>
              <w:spacing w:after="0"/>
              <w:rPr>
                <w:sz w:val="20"/>
                <w:szCs w:val="20"/>
                <w:color w:val="auto"/>
              </w:rPr>
            </w:pPr>
            <w:r>
              <w:rPr>
                <w:rFonts w:ascii="Arial" w:cs="Arial" w:eastAsia="Arial" w:hAnsi="Arial"/>
                <w:sz w:val="18"/>
                <w:szCs w:val="18"/>
                <w:color w:val="auto"/>
              </w:rPr>
              <w:t>Third quarter</w:t>
            </w:r>
          </w:p>
        </w:tc>
        <w:tc>
          <w:tcPr>
            <w:tcW w:w="1680" w:type="dxa"/>
            <w:vAlign w:val="bottom"/>
          </w:tcPr>
          <w:p>
            <w:pPr>
              <w:jc w:val="right"/>
              <w:spacing w:after="0"/>
              <w:rPr>
                <w:sz w:val="20"/>
                <w:szCs w:val="20"/>
                <w:color w:val="auto"/>
              </w:rPr>
            </w:pPr>
            <w:r>
              <w:rPr>
                <w:rFonts w:ascii="Arial" w:cs="Arial" w:eastAsia="Arial" w:hAnsi="Arial"/>
                <w:sz w:val="18"/>
                <w:szCs w:val="18"/>
                <w:color w:val="auto"/>
              </w:rPr>
              <w:t>$ 7.76</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$ 6.91</w:t>
            </w:r>
          </w:p>
        </w:tc>
        <w:tc>
          <w:tcPr>
            <w:tcW w:w="1700" w:type="dxa"/>
            <w:vAlign w:val="bottom"/>
          </w:tcPr>
          <w:p>
            <w:pPr>
              <w:jc w:val="right"/>
              <w:spacing w:after="0"/>
              <w:rPr>
                <w:sz w:val="20"/>
                <w:szCs w:val="20"/>
                <w:color w:val="auto"/>
              </w:rPr>
            </w:pPr>
            <w:r>
              <w:rPr>
                <w:rFonts w:ascii="Arial" w:cs="Arial" w:eastAsia="Arial" w:hAnsi="Arial"/>
                <w:sz w:val="18"/>
                <w:szCs w:val="18"/>
                <w:color w:val="auto"/>
              </w:rPr>
              <w:t>46,911</w:t>
            </w:r>
          </w:p>
        </w:tc>
      </w:tr>
      <w:tr>
        <w:trPr>
          <w:trHeight w:val="243"/>
        </w:trPr>
        <w:tc>
          <w:tcPr>
            <w:tcW w:w="6280" w:type="dxa"/>
            <w:vAlign w:val="bottom"/>
          </w:tcPr>
          <w:p>
            <w:pPr>
              <w:ind w:left="220"/>
              <w:spacing w:after="0"/>
              <w:rPr>
                <w:sz w:val="20"/>
                <w:szCs w:val="20"/>
                <w:color w:val="auto"/>
              </w:rPr>
            </w:pPr>
            <w:r>
              <w:rPr>
                <w:rFonts w:ascii="Arial" w:cs="Arial" w:eastAsia="Arial" w:hAnsi="Arial"/>
                <w:sz w:val="18"/>
                <w:szCs w:val="18"/>
                <w:color w:val="auto"/>
              </w:rPr>
              <w:t>Fourth quarter</w:t>
            </w:r>
          </w:p>
        </w:tc>
        <w:tc>
          <w:tcPr>
            <w:tcW w:w="1680" w:type="dxa"/>
            <w:vAlign w:val="bottom"/>
          </w:tcPr>
          <w:p>
            <w:pPr>
              <w:jc w:val="right"/>
              <w:spacing w:after="0"/>
              <w:rPr>
                <w:sz w:val="20"/>
                <w:szCs w:val="20"/>
                <w:color w:val="auto"/>
              </w:rPr>
            </w:pPr>
            <w:r>
              <w:rPr>
                <w:rFonts w:ascii="Arial" w:cs="Arial" w:eastAsia="Arial" w:hAnsi="Arial"/>
                <w:sz w:val="18"/>
                <w:szCs w:val="18"/>
                <w:color w:val="auto"/>
              </w:rPr>
              <w:t>$ 9.61</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$ 7.00</w:t>
            </w:r>
          </w:p>
        </w:tc>
        <w:tc>
          <w:tcPr>
            <w:tcW w:w="1700" w:type="dxa"/>
            <w:vAlign w:val="bottom"/>
          </w:tcPr>
          <w:p>
            <w:pPr>
              <w:jc w:val="right"/>
              <w:spacing w:after="0"/>
              <w:rPr>
                <w:sz w:val="20"/>
                <w:szCs w:val="20"/>
                <w:color w:val="auto"/>
              </w:rPr>
            </w:pPr>
            <w:r>
              <w:rPr>
                <w:rFonts w:ascii="Arial" w:cs="Arial" w:eastAsia="Arial" w:hAnsi="Arial"/>
                <w:sz w:val="18"/>
                <w:szCs w:val="18"/>
                <w:color w:val="auto"/>
              </w:rPr>
              <w:t>34,473</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2003</w:t>
            </w: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43"/>
        </w:trPr>
        <w:tc>
          <w:tcPr>
            <w:tcW w:w="6280" w:type="dxa"/>
            <w:vAlign w:val="bottom"/>
          </w:tcPr>
          <w:p>
            <w:pPr>
              <w:ind w:left="220"/>
              <w:spacing w:after="0"/>
              <w:rPr>
                <w:sz w:val="20"/>
                <w:szCs w:val="20"/>
                <w:color w:val="auto"/>
              </w:rPr>
            </w:pPr>
            <w:r>
              <w:rPr>
                <w:rFonts w:ascii="Arial" w:cs="Arial" w:eastAsia="Arial" w:hAnsi="Arial"/>
                <w:sz w:val="18"/>
                <w:szCs w:val="18"/>
                <w:color w:val="auto"/>
              </w:rPr>
              <w:t>First quarter</w:t>
            </w:r>
          </w:p>
        </w:tc>
        <w:tc>
          <w:tcPr>
            <w:tcW w:w="1680" w:type="dxa"/>
            <w:vAlign w:val="bottom"/>
          </w:tcPr>
          <w:p>
            <w:pPr>
              <w:jc w:val="right"/>
              <w:spacing w:after="0"/>
              <w:rPr>
                <w:sz w:val="20"/>
                <w:szCs w:val="20"/>
                <w:color w:val="auto"/>
              </w:rPr>
            </w:pPr>
            <w:r>
              <w:rPr>
                <w:rFonts w:ascii="Arial" w:cs="Arial" w:eastAsia="Arial" w:hAnsi="Arial"/>
                <w:sz w:val="18"/>
                <w:szCs w:val="18"/>
                <w:color w:val="auto"/>
              </w:rPr>
              <w:t>$ 10.74</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$ 9.41</w:t>
            </w:r>
          </w:p>
        </w:tc>
        <w:tc>
          <w:tcPr>
            <w:tcW w:w="1700" w:type="dxa"/>
            <w:vAlign w:val="bottom"/>
          </w:tcPr>
          <w:p>
            <w:pPr>
              <w:jc w:val="right"/>
              <w:spacing w:after="0"/>
              <w:rPr>
                <w:sz w:val="20"/>
                <w:szCs w:val="20"/>
                <w:color w:val="auto"/>
              </w:rPr>
            </w:pPr>
            <w:r>
              <w:rPr>
                <w:rFonts w:ascii="Arial" w:cs="Arial" w:eastAsia="Arial" w:hAnsi="Arial"/>
                <w:sz w:val="18"/>
                <w:szCs w:val="18"/>
                <w:color w:val="auto"/>
              </w:rPr>
              <w:t>29,775</w:t>
            </w:r>
          </w:p>
        </w:tc>
      </w:tr>
      <w:tr>
        <w:trPr>
          <w:trHeight w:val="243"/>
        </w:trPr>
        <w:tc>
          <w:tcPr>
            <w:tcW w:w="6280" w:type="dxa"/>
            <w:vAlign w:val="bottom"/>
          </w:tcPr>
          <w:p>
            <w:pPr>
              <w:ind w:left="220"/>
              <w:spacing w:after="0"/>
              <w:rPr>
                <w:sz w:val="20"/>
                <w:szCs w:val="20"/>
                <w:color w:val="auto"/>
              </w:rPr>
            </w:pPr>
            <w:r>
              <w:rPr>
                <w:rFonts w:ascii="Arial" w:cs="Arial" w:eastAsia="Arial" w:hAnsi="Arial"/>
                <w:sz w:val="18"/>
                <w:szCs w:val="18"/>
                <w:color w:val="auto"/>
              </w:rPr>
              <w:t>Second quarter</w:t>
            </w:r>
          </w:p>
        </w:tc>
        <w:tc>
          <w:tcPr>
            <w:tcW w:w="1680" w:type="dxa"/>
            <w:vAlign w:val="bottom"/>
          </w:tcPr>
          <w:p>
            <w:pPr>
              <w:jc w:val="right"/>
              <w:spacing w:after="0"/>
              <w:rPr>
                <w:sz w:val="20"/>
                <w:szCs w:val="20"/>
                <w:color w:val="auto"/>
              </w:rPr>
            </w:pPr>
            <w:r>
              <w:rPr>
                <w:rFonts w:ascii="Arial" w:cs="Arial" w:eastAsia="Arial" w:hAnsi="Arial"/>
                <w:sz w:val="18"/>
                <w:szCs w:val="18"/>
                <w:color w:val="auto"/>
              </w:rPr>
              <w:t>$ 10.48</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$ 9.35</w:t>
            </w:r>
          </w:p>
        </w:tc>
        <w:tc>
          <w:tcPr>
            <w:tcW w:w="1700" w:type="dxa"/>
            <w:vAlign w:val="bottom"/>
          </w:tcPr>
          <w:p>
            <w:pPr>
              <w:jc w:val="right"/>
              <w:spacing w:after="0"/>
              <w:rPr>
                <w:sz w:val="20"/>
                <w:szCs w:val="20"/>
                <w:color w:val="auto"/>
              </w:rPr>
            </w:pPr>
            <w:r>
              <w:rPr>
                <w:rFonts w:ascii="Arial" w:cs="Arial" w:eastAsia="Arial" w:hAnsi="Arial"/>
                <w:sz w:val="18"/>
                <w:szCs w:val="18"/>
                <w:color w:val="auto"/>
              </w:rPr>
              <w:t>44,417</w:t>
            </w:r>
          </w:p>
        </w:tc>
      </w:tr>
      <w:tr>
        <w:trPr>
          <w:trHeight w:val="243"/>
        </w:trPr>
        <w:tc>
          <w:tcPr>
            <w:tcW w:w="6280" w:type="dxa"/>
            <w:vAlign w:val="bottom"/>
          </w:tcPr>
          <w:p>
            <w:pPr>
              <w:ind w:left="200"/>
              <w:spacing w:after="0"/>
              <w:rPr>
                <w:sz w:val="20"/>
                <w:szCs w:val="20"/>
                <w:color w:val="auto"/>
              </w:rPr>
            </w:pPr>
            <w:r>
              <w:rPr>
                <w:rFonts w:ascii="Arial" w:cs="Arial" w:eastAsia="Arial" w:hAnsi="Arial"/>
                <w:sz w:val="18"/>
                <w:szCs w:val="18"/>
                <w:color w:val="auto"/>
              </w:rPr>
              <w:t>Third quarter</w:t>
            </w:r>
          </w:p>
        </w:tc>
        <w:tc>
          <w:tcPr>
            <w:tcW w:w="1680" w:type="dxa"/>
            <w:vAlign w:val="bottom"/>
          </w:tcPr>
          <w:p>
            <w:pPr>
              <w:jc w:val="right"/>
              <w:spacing w:after="0"/>
              <w:rPr>
                <w:sz w:val="20"/>
                <w:szCs w:val="20"/>
                <w:color w:val="auto"/>
              </w:rPr>
            </w:pPr>
            <w:r>
              <w:rPr>
                <w:rFonts w:ascii="Arial" w:cs="Arial" w:eastAsia="Arial" w:hAnsi="Arial"/>
                <w:sz w:val="18"/>
                <w:szCs w:val="18"/>
                <w:color w:val="auto"/>
              </w:rPr>
              <w:t>$ 10.15</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$ 9.45</w:t>
            </w:r>
          </w:p>
        </w:tc>
        <w:tc>
          <w:tcPr>
            <w:tcW w:w="1700" w:type="dxa"/>
            <w:vAlign w:val="bottom"/>
          </w:tcPr>
          <w:p>
            <w:pPr>
              <w:jc w:val="right"/>
              <w:spacing w:after="0"/>
              <w:rPr>
                <w:sz w:val="20"/>
                <w:szCs w:val="20"/>
                <w:color w:val="auto"/>
              </w:rPr>
            </w:pPr>
            <w:r>
              <w:rPr>
                <w:rFonts w:ascii="Arial" w:cs="Arial" w:eastAsia="Arial" w:hAnsi="Arial"/>
                <w:sz w:val="18"/>
                <w:szCs w:val="18"/>
                <w:color w:val="auto"/>
              </w:rPr>
              <w:t>67,443</w:t>
            </w:r>
          </w:p>
        </w:tc>
      </w:tr>
      <w:tr>
        <w:trPr>
          <w:trHeight w:val="243"/>
        </w:trPr>
        <w:tc>
          <w:tcPr>
            <w:tcW w:w="6280" w:type="dxa"/>
            <w:vAlign w:val="bottom"/>
          </w:tcPr>
          <w:p>
            <w:pPr>
              <w:ind w:left="220"/>
              <w:spacing w:after="0"/>
              <w:rPr>
                <w:sz w:val="20"/>
                <w:szCs w:val="20"/>
                <w:color w:val="auto"/>
              </w:rPr>
            </w:pPr>
            <w:r>
              <w:rPr>
                <w:rFonts w:ascii="Arial" w:cs="Arial" w:eastAsia="Arial" w:hAnsi="Arial"/>
                <w:sz w:val="18"/>
                <w:szCs w:val="18"/>
                <w:color w:val="auto"/>
              </w:rPr>
              <w:t>Fourth quarter</w:t>
            </w:r>
          </w:p>
        </w:tc>
        <w:tc>
          <w:tcPr>
            <w:tcW w:w="1680" w:type="dxa"/>
            <w:vAlign w:val="bottom"/>
          </w:tcPr>
          <w:p>
            <w:pPr>
              <w:jc w:val="right"/>
              <w:spacing w:after="0"/>
              <w:rPr>
                <w:sz w:val="20"/>
                <w:szCs w:val="20"/>
                <w:color w:val="auto"/>
              </w:rPr>
            </w:pPr>
            <w:r>
              <w:rPr>
                <w:rFonts w:ascii="Arial" w:cs="Arial" w:eastAsia="Arial" w:hAnsi="Arial"/>
                <w:sz w:val="18"/>
                <w:szCs w:val="18"/>
                <w:color w:val="auto"/>
              </w:rPr>
              <w:t>$ 13.38</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$ 10.05</w:t>
            </w:r>
          </w:p>
        </w:tc>
        <w:tc>
          <w:tcPr>
            <w:tcW w:w="1700" w:type="dxa"/>
            <w:vAlign w:val="bottom"/>
          </w:tcPr>
          <w:p>
            <w:pPr>
              <w:jc w:val="right"/>
              <w:spacing w:after="0"/>
              <w:rPr>
                <w:sz w:val="20"/>
                <w:szCs w:val="20"/>
                <w:color w:val="auto"/>
              </w:rPr>
            </w:pPr>
            <w:r>
              <w:rPr>
                <w:rFonts w:ascii="Arial" w:cs="Arial" w:eastAsia="Arial" w:hAnsi="Arial"/>
                <w:sz w:val="18"/>
                <w:szCs w:val="18"/>
                <w:color w:val="auto"/>
              </w:rPr>
              <w:t>26.961</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2004</w:t>
            </w: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43"/>
        </w:trPr>
        <w:tc>
          <w:tcPr>
            <w:tcW w:w="6280" w:type="dxa"/>
            <w:vAlign w:val="bottom"/>
          </w:tcPr>
          <w:p>
            <w:pPr>
              <w:ind w:left="220"/>
              <w:spacing w:after="0"/>
              <w:rPr>
                <w:sz w:val="20"/>
                <w:szCs w:val="20"/>
                <w:color w:val="auto"/>
              </w:rPr>
            </w:pPr>
            <w:r>
              <w:rPr>
                <w:rFonts w:ascii="Arial" w:cs="Arial" w:eastAsia="Arial" w:hAnsi="Arial"/>
                <w:sz w:val="18"/>
                <w:szCs w:val="18"/>
                <w:color w:val="auto"/>
              </w:rPr>
              <w:t>First quarter</w:t>
            </w:r>
          </w:p>
        </w:tc>
        <w:tc>
          <w:tcPr>
            <w:tcW w:w="1680" w:type="dxa"/>
            <w:vAlign w:val="bottom"/>
          </w:tcPr>
          <w:p>
            <w:pPr>
              <w:jc w:val="right"/>
              <w:spacing w:after="0"/>
              <w:rPr>
                <w:sz w:val="20"/>
                <w:szCs w:val="20"/>
                <w:color w:val="auto"/>
              </w:rPr>
            </w:pPr>
            <w:r>
              <w:rPr>
                <w:rFonts w:ascii="Arial" w:cs="Arial" w:eastAsia="Arial" w:hAnsi="Arial"/>
                <w:sz w:val="18"/>
                <w:szCs w:val="18"/>
                <w:color w:val="auto"/>
              </w:rPr>
              <w:t>$ 14.68</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$ 12.00</w:t>
            </w:r>
          </w:p>
        </w:tc>
        <w:tc>
          <w:tcPr>
            <w:tcW w:w="1700" w:type="dxa"/>
            <w:vAlign w:val="bottom"/>
          </w:tcPr>
          <w:p>
            <w:pPr>
              <w:jc w:val="right"/>
              <w:spacing w:after="0"/>
              <w:rPr>
                <w:sz w:val="20"/>
                <w:szCs w:val="20"/>
                <w:color w:val="auto"/>
              </w:rPr>
            </w:pPr>
            <w:r>
              <w:rPr>
                <w:rFonts w:ascii="Arial" w:cs="Arial" w:eastAsia="Arial" w:hAnsi="Arial"/>
                <w:sz w:val="18"/>
                <w:szCs w:val="18"/>
                <w:color w:val="auto"/>
              </w:rPr>
              <w:t>31,995</w:t>
            </w:r>
          </w:p>
        </w:tc>
      </w:tr>
      <w:tr>
        <w:trPr>
          <w:trHeight w:val="243"/>
        </w:trPr>
        <w:tc>
          <w:tcPr>
            <w:tcW w:w="6280" w:type="dxa"/>
            <w:vAlign w:val="bottom"/>
          </w:tcPr>
          <w:p>
            <w:pPr>
              <w:ind w:left="220"/>
              <w:spacing w:after="0"/>
              <w:rPr>
                <w:sz w:val="20"/>
                <w:szCs w:val="20"/>
                <w:color w:val="auto"/>
              </w:rPr>
            </w:pPr>
            <w:r>
              <w:rPr>
                <w:rFonts w:ascii="Arial" w:cs="Arial" w:eastAsia="Arial" w:hAnsi="Arial"/>
                <w:sz w:val="18"/>
                <w:szCs w:val="18"/>
                <w:color w:val="auto"/>
              </w:rPr>
              <w:t>Second quarter (through June 10)</w:t>
            </w:r>
          </w:p>
        </w:tc>
        <w:tc>
          <w:tcPr>
            <w:tcW w:w="1680" w:type="dxa"/>
            <w:vAlign w:val="bottom"/>
          </w:tcPr>
          <w:p>
            <w:pPr>
              <w:jc w:val="right"/>
              <w:spacing w:after="0"/>
              <w:rPr>
                <w:sz w:val="20"/>
                <w:szCs w:val="20"/>
                <w:color w:val="auto"/>
              </w:rPr>
            </w:pPr>
            <w:r>
              <w:rPr>
                <w:rFonts w:ascii="Arial" w:cs="Arial" w:eastAsia="Arial" w:hAnsi="Arial"/>
                <w:sz w:val="18"/>
                <w:szCs w:val="18"/>
                <w:color w:val="auto"/>
              </w:rPr>
              <w:t>$ 13.08</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$ 12.36</w:t>
            </w:r>
          </w:p>
        </w:tc>
        <w:tc>
          <w:tcPr>
            <w:tcW w:w="1700" w:type="dxa"/>
            <w:vAlign w:val="bottom"/>
          </w:tcPr>
          <w:p>
            <w:pPr>
              <w:jc w:val="right"/>
              <w:spacing w:after="0"/>
              <w:rPr>
                <w:sz w:val="20"/>
                <w:szCs w:val="20"/>
                <w:color w:val="auto"/>
              </w:rPr>
            </w:pPr>
            <w:r>
              <w:rPr>
                <w:rFonts w:ascii="Arial" w:cs="Arial" w:eastAsia="Arial" w:hAnsi="Arial"/>
                <w:sz w:val="18"/>
                <w:szCs w:val="18"/>
                <w:color w:val="auto"/>
              </w:rPr>
              <w:t>26,590</w:t>
            </w:r>
          </w:p>
        </w:tc>
      </w:tr>
      <w:tr>
        <w:trPr>
          <w:trHeight w:val="243"/>
        </w:trPr>
        <w:tc>
          <w:tcPr>
            <w:tcW w:w="6280" w:type="dxa"/>
            <w:vAlign w:val="bottom"/>
          </w:tcPr>
          <w:p>
            <w:pPr>
              <w:spacing w:after="0"/>
              <w:rPr>
                <w:sz w:val="20"/>
                <w:szCs w:val="20"/>
                <w:color w:val="auto"/>
              </w:rPr>
            </w:pPr>
            <w:r>
              <w:rPr>
                <w:rFonts w:ascii="Arial" w:cs="Arial" w:eastAsia="Arial" w:hAnsi="Arial"/>
                <w:sz w:val="18"/>
                <w:szCs w:val="18"/>
                <w:color w:val="auto"/>
              </w:rPr>
              <w:t>____________________________</w:t>
            </w: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5034915</wp:posOffset>
            </wp:positionH>
            <wp:positionV relativeFrom="paragraph">
              <wp:posOffset>-3175000</wp:posOffset>
            </wp:positionV>
            <wp:extent cx="34290" cy="342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-3175000</wp:posOffset>
            </wp:positionV>
            <wp:extent cx="34290" cy="342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-3175000</wp:posOffset>
            </wp:positionV>
            <wp:extent cx="34290" cy="342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26" w:lineRule="auto"/>
        <w:rPr>
          <w:sz w:val="20"/>
          <w:szCs w:val="20"/>
          <w:color w:val="auto"/>
        </w:rPr>
      </w:pPr>
      <w:r>
        <w:rPr>
          <w:rFonts w:ascii="Arial" w:cs="Arial" w:eastAsia="Arial" w:hAnsi="Arial"/>
          <w:sz w:val="14"/>
          <w:szCs w:val="14"/>
          <w:color w:val="auto"/>
        </w:rPr>
        <w:t>Source: Economatica</w:t>
      </w:r>
    </w:p>
    <w:p>
      <w:pPr>
        <w:ind w:left="600" w:hanging="592"/>
        <w:spacing w:after="0" w:line="230" w:lineRule="auto"/>
        <w:tabs>
          <w:tab w:leader="none" w:pos="6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Common Share prices shown above have been adjusted retroactively to reflect stock dividends. Credicorp declared a stock dividend on February 26, 1998 of 0.100 Common Shares for each Common Share held at the close of business on March 31, 1998. Credicorp has not declared a stock dividend since 1998.</w:t>
      </w:r>
    </w:p>
    <w:p>
      <w:pPr>
        <w:spacing w:after="0" w:line="195" w:lineRule="exact"/>
        <w:rPr>
          <w:sz w:val="20"/>
          <w:szCs w:val="20"/>
          <w:color w:val="auto"/>
        </w:rPr>
      </w:pPr>
    </w:p>
    <w:p>
      <w:pPr>
        <w:ind w:firstLine="184"/>
        <w:spacing w:after="0" w:line="268" w:lineRule="auto"/>
        <w:rPr>
          <w:sz w:val="20"/>
          <w:szCs w:val="20"/>
          <w:color w:val="auto"/>
        </w:rPr>
      </w:pPr>
      <w:r>
        <w:rPr>
          <w:rFonts w:ascii="Arial" w:cs="Arial" w:eastAsia="Arial" w:hAnsi="Arial"/>
          <w:sz w:val="18"/>
          <w:szCs w:val="18"/>
          <w:color w:val="auto"/>
        </w:rPr>
        <w:t>The table below sets forth, for the periods indicated, the reported high and low closing prices and average daily trading volume for the Common Shares on the Lima Stock Exchange.</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80" w:type="dxa"/>
            <w:vAlign w:val="bottom"/>
          </w:tcPr>
          <w:p>
            <w:pPr>
              <w:spacing w:after="0"/>
              <w:rPr>
                <w:sz w:val="19"/>
                <w:szCs w:val="19"/>
                <w:color w:val="auto"/>
              </w:rPr>
            </w:pPr>
          </w:p>
        </w:tc>
        <w:tc>
          <w:tcPr>
            <w:tcW w:w="1680" w:type="dxa"/>
            <w:vAlign w:val="bottom"/>
          </w:tcPr>
          <w:p>
            <w:pPr>
              <w:jc w:val="right"/>
              <w:ind w:right="352"/>
              <w:spacing w:after="0"/>
              <w:rPr>
                <w:sz w:val="20"/>
                <w:szCs w:val="20"/>
                <w:color w:val="auto"/>
              </w:rPr>
            </w:pPr>
            <w:r>
              <w:rPr>
                <w:rFonts w:ascii="Arial" w:cs="Arial" w:eastAsia="Arial" w:hAnsi="Arial"/>
                <w:sz w:val="18"/>
                <w:szCs w:val="18"/>
                <w:b w:val="1"/>
                <w:bCs w:val="1"/>
                <w:color w:val="auto"/>
              </w:rPr>
              <w:t xml:space="preserve">High </w:t>
            </w: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1720" w:type="dxa"/>
            <w:vAlign w:val="bottom"/>
            <w:gridSpan w:val="2"/>
          </w:tcPr>
          <w:p>
            <w:pPr>
              <w:ind w:left="660"/>
              <w:spacing w:after="0"/>
              <w:rPr>
                <w:sz w:val="20"/>
                <w:szCs w:val="20"/>
                <w:color w:val="auto"/>
              </w:rPr>
            </w:pPr>
            <w:r>
              <w:rPr>
                <w:rFonts w:ascii="Arial" w:cs="Arial" w:eastAsia="Arial" w:hAnsi="Arial"/>
                <w:sz w:val="18"/>
                <w:szCs w:val="18"/>
                <w:b w:val="1"/>
                <w:bCs w:val="1"/>
                <w:color w:val="auto"/>
              </w:rPr>
              <w:t xml:space="preserve">Low </w:t>
            </w:r>
            <w:r>
              <w:rPr>
                <w:rFonts w:ascii="Arial" w:cs="Arial" w:eastAsia="Arial" w:hAnsi="Arial"/>
                <w:sz w:val="18"/>
                <w:szCs w:val="18"/>
                <w:color w:val="auto"/>
              </w:rPr>
              <w:t>(1)</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w w:val="87"/>
              </w:rPr>
              <w:t>Average Daily Volume</w:t>
            </w:r>
          </w:p>
        </w:tc>
      </w:tr>
      <w:tr>
        <w:trPr>
          <w:trHeight w:val="110"/>
        </w:trPr>
        <w:tc>
          <w:tcPr>
            <w:tcW w:w="628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r>
      <w:tr>
        <w:trPr>
          <w:trHeight w:val="613"/>
        </w:trPr>
        <w:tc>
          <w:tcPr>
            <w:tcW w:w="6280" w:type="dxa"/>
            <w:vAlign w:val="bottom"/>
          </w:tcPr>
          <w:p>
            <w:pPr>
              <w:ind w:left="40"/>
              <w:spacing w:after="0"/>
              <w:rPr>
                <w:sz w:val="20"/>
                <w:szCs w:val="20"/>
                <w:color w:val="auto"/>
              </w:rPr>
            </w:pPr>
            <w:r>
              <w:rPr>
                <w:rFonts w:ascii="Arial" w:cs="Arial" w:eastAsia="Arial" w:hAnsi="Arial"/>
                <w:sz w:val="18"/>
                <w:szCs w:val="18"/>
                <w:color w:val="auto"/>
              </w:rPr>
              <w:t>1999</w:t>
            </w:r>
          </w:p>
        </w:tc>
        <w:tc>
          <w:tcPr>
            <w:tcW w:w="1680" w:type="dxa"/>
            <w:vAlign w:val="bottom"/>
          </w:tcPr>
          <w:p>
            <w:pPr>
              <w:jc w:val="right"/>
              <w:spacing w:after="0"/>
              <w:rPr>
                <w:sz w:val="20"/>
                <w:szCs w:val="20"/>
                <w:color w:val="auto"/>
              </w:rPr>
            </w:pPr>
            <w:r>
              <w:rPr>
                <w:rFonts w:ascii="Arial" w:cs="Arial" w:eastAsia="Arial" w:hAnsi="Arial"/>
                <w:sz w:val="18"/>
                <w:szCs w:val="18"/>
                <w:color w:val="auto"/>
              </w:rPr>
              <w:t>$ 12.85</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$ 7.67</w:t>
            </w:r>
          </w:p>
        </w:tc>
        <w:tc>
          <w:tcPr>
            <w:tcW w:w="1700" w:type="dxa"/>
            <w:vAlign w:val="bottom"/>
          </w:tcPr>
          <w:p>
            <w:pPr>
              <w:jc w:val="right"/>
              <w:spacing w:after="0"/>
              <w:rPr>
                <w:sz w:val="20"/>
                <w:szCs w:val="20"/>
                <w:color w:val="auto"/>
              </w:rPr>
            </w:pPr>
            <w:r>
              <w:rPr>
                <w:rFonts w:ascii="Arial" w:cs="Arial" w:eastAsia="Arial" w:hAnsi="Arial"/>
                <w:sz w:val="18"/>
                <w:szCs w:val="18"/>
                <w:color w:val="auto"/>
              </w:rPr>
              <w:t>57,543</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2000</w:t>
            </w:r>
          </w:p>
        </w:tc>
        <w:tc>
          <w:tcPr>
            <w:tcW w:w="1680" w:type="dxa"/>
            <w:vAlign w:val="bottom"/>
          </w:tcPr>
          <w:p>
            <w:pPr>
              <w:jc w:val="right"/>
              <w:spacing w:after="0"/>
              <w:rPr>
                <w:sz w:val="20"/>
                <w:szCs w:val="20"/>
                <w:color w:val="auto"/>
              </w:rPr>
            </w:pPr>
            <w:r>
              <w:rPr>
                <w:rFonts w:ascii="Arial" w:cs="Arial" w:eastAsia="Arial" w:hAnsi="Arial"/>
                <w:sz w:val="18"/>
                <w:szCs w:val="18"/>
                <w:color w:val="auto"/>
              </w:rPr>
              <w:t>$ 12.60</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$ 5.70</w:t>
            </w:r>
          </w:p>
        </w:tc>
        <w:tc>
          <w:tcPr>
            <w:tcW w:w="1700" w:type="dxa"/>
            <w:vAlign w:val="bottom"/>
          </w:tcPr>
          <w:p>
            <w:pPr>
              <w:jc w:val="right"/>
              <w:spacing w:after="0"/>
              <w:rPr>
                <w:sz w:val="20"/>
                <w:szCs w:val="20"/>
                <w:color w:val="auto"/>
              </w:rPr>
            </w:pPr>
            <w:r>
              <w:rPr>
                <w:rFonts w:ascii="Arial" w:cs="Arial" w:eastAsia="Arial" w:hAnsi="Arial"/>
                <w:sz w:val="18"/>
                <w:szCs w:val="18"/>
                <w:color w:val="auto"/>
              </w:rPr>
              <w:t>64,423</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2001</w:t>
            </w:r>
          </w:p>
        </w:tc>
        <w:tc>
          <w:tcPr>
            <w:tcW w:w="1680" w:type="dxa"/>
            <w:vAlign w:val="bottom"/>
          </w:tcPr>
          <w:p>
            <w:pPr>
              <w:jc w:val="right"/>
              <w:spacing w:after="0"/>
              <w:rPr>
                <w:sz w:val="20"/>
                <w:szCs w:val="20"/>
                <w:color w:val="auto"/>
              </w:rPr>
            </w:pPr>
            <w:r>
              <w:rPr>
                <w:rFonts w:ascii="Arial" w:cs="Arial" w:eastAsia="Arial" w:hAnsi="Arial"/>
                <w:sz w:val="18"/>
                <w:szCs w:val="18"/>
                <w:color w:val="auto"/>
              </w:rPr>
              <w:t>$ 9.40</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$ 5.90</w:t>
            </w:r>
          </w:p>
        </w:tc>
        <w:tc>
          <w:tcPr>
            <w:tcW w:w="1700" w:type="dxa"/>
            <w:vAlign w:val="bottom"/>
          </w:tcPr>
          <w:p>
            <w:pPr>
              <w:jc w:val="right"/>
              <w:spacing w:after="0"/>
              <w:rPr>
                <w:sz w:val="20"/>
                <w:szCs w:val="20"/>
                <w:color w:val="auto"/>
              </w:rPr>
            </w:pPr>
            <w:r>
              <w:rPr>
                <w:rFonts w:ascii="Arial" w:cs="Arial" w:eastAsia="Arial" w:hAnsi="Arial"/>
                <w:sz w:val="18"/>
                <w:szCs w:val="18"/>
                <w:color w:val="auto"/>
              </w:rPr>
              <w:t>41,302</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2002</w:t>
            </w:r>
          </w:p>
        </w:tc>
        <w:tc>
          <w:tcPr>
            <w:tcW w:w="1680" w:type="dxa"/>
            <w:vAlign w:val="bottom"/>
          </w:tcPr>
          <w:p>
            <w:pPr>
              <w:jc w:val="right"/>
              <w:spacing w:after="0"/>
              <w:rPr>
                <w:sz w:val="20"/>
                <w:szCs w:val="20"/>
                <w:color w:val="auto"/>
              </w:rPr>
            </w:pPr>
            <w:r>
              <w:rPr>
                <w:rFonts w:ascii="Arial" w:cs="Arial" w:eastAsia="Arial" w:hAnsi="Arial"/>
                <w:sz w:val="18"/>
                <w:szCs w:val="18"/>
                <w:color w:val="auto"/>
              </w:rPr>
              <w:t>$ 10.06</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$ 7.01</w:t>
            </w:r>
          </w:p>
        </w:tc>
        <w:tc>
          <w:tcPr>
            <w:tcW w:w="1700" w:type="dxa"/>
            <w:vAlign w:val="bottom"/>
          </w:tcPr>
          <w:p>
            <w:pPr>
              <w:jc w:val="right"/>
              <w:spacing w:after="0"/>
              <w:rPr>
                <w:sz w:val="20"/>
                <w:szCs w:val="20"/>
                <w:color w:val="auto"/>
              </w:rPr>
            </w:pPr>
            <w:r>
              <w:rPr>
                <w:rFonts w:ascii="Arial" w:cs="Arial" w:eastAsia="Arial" w:hAnsi="Arial"/>
                <w:sz w:val="18"/>
                <w:szCs w:val="18"/>
                <w:color w:val="auto"/>
              </w:rPr>
              <w:t>39,355</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2003</w:t>
            </w:r>
          </w:p>
        </w:tc>
        <w:tc>
          <w:tcPr>
            <w:tcW w:w="1680" w:type="dxa"/>
            <w:vAlign w:val="bottom"/>
          </w:tcPr>
          <w:p>
            <w:pPr>
              <w:jc w:val="right"/>
              <w:spacing w:after="0"/>
              <w:rPr>
                <w:sz w:val="20"/>
                <w:szCs w:val="20"/>
                <w:color w:val="auto"/>
              </w:rPr>
            </w:pPr>
            <w:r>
              <w:rPr>
                <w:rFonts w:ascii="Arial" w:cs="Arial" w:eastAsia="Arial" w:hAnsi="Arial"/>
                <w:sz w:val="18"/>
                <w:szCs w:val="18"/>
                <w:color w:val="auto"/>
              </w:rPr>
              <w:t>$ 12.60</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$ 9.38</w:t>
            </w:r>
          </w:p>
        </w:tc>
        <w:tc>
          <w:tcPr>
            <w:tcW w:w="1700" w:type="dxa"/>
            <w:vAlign w:val="bottom"/>
          </w:tcPr>
          <w:p>
            <w:pPr>
              <w:jc w:val="right"/>
              <w:spacing w:after="0"/>
              <w:rPr>
                <w:sz w:val="20"/>
                <w:szCs w:val="20"/>
                <w:color w:val="auto"/>
              </w:rPr>
            </w:pPr>
            <w:r>
              <w:rPr>
                <w:rFonts w:ascii="Arial" w:cs="Arial" w:eastAsia="Arial" w:hAnsi="Arial"/>
                <w:sz w:val="18"/>
                <w:szCs w:val="18"/>
                <w:color w:val="auto"/>
              </w:rPr>
              <w:t>29,701</w:t>
            </w:r>
          </w:p>
        </w:tc>
      </w:tr>
      <w:tr>
        <w:trPr>
          <w:trHeight w:val="486"/>
        </w:trPr>
        <w:tc>
          <w:tcPr>
            <w:tcW w:w="6280" w:type="dxa"/>
            <w:vAlign w:val="bottom"/>
          </w:tcPr>
          <w:p>
            <w:pPr>
              <w:ind w:left="40"/>
              <w:spacing w:after="0"/>
              <w:rPr>
                <w:sz w:val="20"/>
                <w:szCs w:val="20"/>
                <w:color w:val="auto"/>
              </w:rPr>
            </w:pPr>
            <w:r>
              <w:rPr>
                <w:rFonts w:ascii="Arial" w:cs="Arial" w:eastAsia="Arial" w:hAnsi="Arial"/>
                <w:sz w:val="18"/>
                <w:szCs w:val="18"/>
                <w:color w:val="auto"/>
              </w:rPr>
              <w:t>2002</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43"/>
        </w:trPr>
        <w:tc>
          <w:tcPr>
            <w:tcW w:w="6280" w:type="dxa"/>
            <w:vAlign w:val="bottom"/>
          </w:tcPr>
          <w:p>
            <w:pPr>
              <w:ind w:left="220"/>
              <w:spacing w:after="0"/>
              <w:rPr>
                <w:sz w:val="20"/>
                <w:szCs w:val="20"/>
                <w:color w:val="auto"/>
              </w:rPr>
            </w:pPr>
            <w:r>
              <w:rPr>
                <w:rFonts w:ascii="Arial" w:cs="Arial" w:eastAsia="Arial" w:hAnsi="Arial"/>
                <w:sz w:val="18"/>
                <w:szCs w:val="18"/>
                <w:color w:val="auto"/>
              </w:rPr>
              <w:t>First quarter</w:t>
            </w:r>
          </w:p>
        </w:tc>
        <w:tc>
          <w:tcPr>
            <w:tcW w:w="1680" w:type="dxa"/>
            <w:vAlign w:val="bottom"/>
          </w:tcPr>
          <w:p>
            <w:pPr>
              <w:jc w:val="right"/>
              <w:spacing w:after="0"/>
              <w:rPr>
                <w:sz w:val="20"/>
                <w:szCs w:val="20"/>
                <w:color w:val="auto"/>
              </w:rPr>
            </w:pPr>
            <w:r>
              <w:rPr>
                <w:rFonts w:ascii="Arial" w:cs="Arial" w:eastAsia="Arial" w:hAnsi="Arial"/>
                <w:sz w:val="18"/>
                <w:szCs w:val="18"/>
                <w:color w:val="auto"/>
              </w:rPr>
              <w:t>$10.06</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$ 8.63</w:t>
            </w:r>
          </w:p>
        </w:tc>
        <w:tc>
          <w:tcPr>
            <w:tcW w:w="1700" w:type="dxa"/>
            <w:vAlign w:val="bottom"/>
          </w:tcPr>
          <w:p>
            <w:pPr>
              <w:jc w:val="right"/>
              <w:spacing w:after="0"/>
              <w:rPr>
                <w:sz w:val="20"/>
                <w:szCs w:val="20"/>
                <w:color w:val="auto"/>
              </w:rPr>
            </w:pPr>
            <w:r>
              <w:rPr>
                <w:rFonts w:ascii="Arial" w:cs="Arial" w:eastAsia="Arial" w:hAnsi="Arial"/>
                <w:sz w:val="18"/>
                <w:szCs w:val="18"/>
                <w:color w:val="auto"/>
              </w:rPr>
              <w:t>56,516</w:t>
            </w:r>
          </w:p>
        </w:tc>
      </w:tr>
      <w:tr>
        <w:trPr>
          <w:trHeight w:val="243"/>
        </w:trPr>
        <w:tc>
          <w:tcPr>
            <w:tcW w:w="6280" w:type="dxa"/>
            <w:vAlign w:val="bottom"/>
          </w:tcPr>
          <w:p>
            <w:pPr>
              <w:ind w:left="220"/>
              <w:spacing w:after="0"/>
              <w:rPr>
                <w:sz w:val="20"/>
                <w:szCs w:val="20"/>
                <w:color w:val="auto"/>
              </w:rPr>
            </w:pPr>
            <w:r>
              <w:rPr>
                <w:rFonts w:ascii="Arial" w:cs="Arial" w:eastAsia="Arial" w:hAnsi="Arial"/>
                <w:sz w:val="18"/>
                <w:szCs w:val="18"/>
                <w:color w:val="auto"/>
              </w:rPr>
              <w:t>Second quarter</w:t>
            </w:r>
          </w:p>
        </w:tc>
        <w:tc>
          <w:tcPr>
            <w:tcW w:w="1680" w:type="dxa"/>
            <w:vAlign w:val="bottom"/>
          </w:tcPr>
          <w:p>
            <w:pPr>
              <w:jc w:val="right"/>
              <w:spacing w:after="0"/>
              <w:rPr>
                <w:sz w:val="20"/>
                <w:szCs w:val="20"/>
                <w:color w:val="auto"/>
              </w:rPr>
            </w:pPr>
            <w:r>
              <w:rPr>
                <w:rFonts w:ascii="Arial" w:cs="Arial" w:eastAsia="Arial" w:hAnsi="Arial"/>
                <w:sz w:val="18"/>
                <w:szCs w:val="18"/>
                <w:color w:val="auto"/>
              </w:rPr>
              <w:t>$10.00</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$ 7.80</w:t>
            </w:r>
          </w:p>
        </w:tc>
        <w:tc>
          <w:tcPr>
            <w:tcW w:w="1700" w:type="dxa"/>
            <w:vAlign w:val="bottom"/>
          </w:tcPr>
          <w:p>
            <w:pPr>
              <w:jc w:val="right"/>
              <w:spacing w:after="0"/>
              <w:rPr>
                <w:sz w:val="20"/>
                <w:szCs w:val="20"/>
                <w:color w:val="auto"/>
              </w:rPr>
            </w:pPr>
            <w:r>
              <w:rPr>
                <w:rFonts w:ascii="Arial" w:cs="Arial" w:eastAsia="Arial" w:hAnsi="Arial"/>
                <w:sz w:val="18"/>
                <w:szCs w:val="18"/>
                <w:color w:val="auto"/>
              </w:rPr>
              <w:t>22,707</w:t>
            </w:r>
          </w:p>
        </w:tc>
      </w:tr>
      <w:tr>
        <w:trPr>
          <w:trHeight w:val="243"/>
        </w:trPr>
        <w:tc>
          <w:tcPr>
            <w:tcW w:w="6280" w:type="dxa"/>
            <w:vAlign w:val="bottom"/>
          </w:tcPr>
          <w:p>
            <w:pPr>
              <w:ind w:left="200"/>
              <w:spacing w:after="0"/>
              <w:rPr>
                <w:sz w:val="20"/>
                <w:szCs w:val="20"/>
                <w:color w:val="auto"/>
              </w:rPr>
            </w:pPr>
            <w:r>
              <w:rPr>
                <w:rFonts w:ascii="Arial" w:cs="Arial" w:eastAsia="Arial" w:hAnsi="Arial"/>
                <w:sz w:val="18"/>
                <w:szCs w:val="18"/>
                <w:color w:val="auto"/>
              </w:rPr>
              <w:t>Third quarter</w:t>
            </w:r>
          </w:p>
        </w:tc>
        <w:tc>
          <w:tcPr>
            <w:tcW w:w="1680" w:type="dxa"/>
            <w:vAlign w:val="bottom"/>
          </w:tcPr>
          <w:p>
            <w:pPr>
              <w:jc w:val="right"/>
              <w:spacing w:after="0"/>
              <w:rPr>
                <w:sz w:val="20"/>
                <w:szCs w:val="20"/>
                <w:color w:val="auto"/>
              </w:rPr>
            </w:pPr>
            <w:r>
              <w:rPr>
                <w:rFonts w:ascii="Arial" w:cs="Arial" w:eastAsia="Arial" w:hAnsi="Arial"/>
                <w:sz w:val="18"/>
                <w:szCs w:val="18"/>
                <w:color w:val="auto"/>
              </w:rPr>
              <w:t>$ 7.82</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$ 7.01</w:t>
            </w:r>
          </w:p>
        </w:tc>
        <w:tc>
          <w:tcPr>
            <w:tcW w:w="1700" w:type="dxa"/>
            <w:vAlign w:val="bottom"/>
          </w:tcPr>
          <w:p>
            <w:pPr>
              <w:jc w:val="right"/>
              <w:spacing w:after="0"/>
              <w:rPr>
                <w:sz w:val="20"/>
                <w:szCs w:val="20"/>
                <w:color w:val="auto"/>
              </w:rPr>
            </w:pPr>
            <w:r>
              <w:rPr>
                <w:rFonts w:ascii="Arial" w:cs="Arial" w:eastAsia="Arial" w:hAnsi="Arial"/>
                <w:sz w:val="18"/>
                <w:szCs w:val="18"/>
                <w:color w:val="auto"/>
              </w:rPr>
              <w:t>37,074</w:t>
            </w:r>
          </w:p>
        </w:tc>
      </w:tr>
      <w:tr>
        <w:trPr>
          <w:trHeight w:val="243"/>
        </w:trPr>
        <w:tc>
          <w:tcPr>
            <w:tcW w:w="6280" w:type="dxa"/>
            <w:vAlign w:val="bottom"/>
          </w:tcPr>
          <w:p>
            <w:pPr>
              <w:ind w:left="220"/>
              <w:spacing w:after="0"/>
              <w:rPr>
                <w:sz w:val="20"/>
                <w:szCs w:val="20"/>
                <w:color w:val="auto"/>
              </w:rPr>
            </w:pPr>
            <w:r>
              <w:rPr>
                <w:rFonts w:ascii="Arial" w:cs="Arial" w:eastAsia="Arial" w:hAnsi="Arial"/>
                <w:sz w:val="18"/>
                <w:szCs w:val="18"/>
                <w:color w:val="auto"/>
              </w:rPr>
              <w:t>Fourth quarter</w:t>
            </w:r>
          </w:p>
        </w:tc>
        <w:tc>
          <w:tcPr>
            <w:tcW w:w="1680" w:type="dxa"/>
            <w:vAlign w:val="bottom"/>
          </w:tcPr>
          <w:p>
            <w:pPr>
              <w:jc w:val="right"/>
              <w:spacing w:after="0"/>
              <w:rPr>
                <w:sz w:val="20"/>
                <w:szCs w:val="20"/>
                <w:color w:val="auto"/>
              </w:rPr>
            </w:pPr>
            <w:r>
              <w:rPr>
                <w:rFonts w:ascii="Arial" w:cs="Arial" w:eastAsia="Arial" w:hAnsi="Arial"/>
                <w:sz w:val="18"/>
                <w:szCs w:val="18"/>
                <w:color w:val="auto"/>
              </w:rPr>
              <w:t>$ 9.68</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$ 7.12</w:t>
            </w:r>
          </w:p>
        </w:tc>
        <w:tc>
          <w:tcPr>
            <w:tcW w:w="1700" w:type="dxa"/>
            <w:vAlign w:val="bottom"/>
          </w:tcPr>
          <w:p>
            <w:pPr>
              <w:jc w:val="right"/>
              <w:spacing w:after="0"/>
              <w:rPr>
                <w:sz w:val="20"/>
                <w:szCs w:val="20"/>
                <w:color w:val="auto"/>
              </w:rPr>
            </w:pPr>
            <w:r>
              <w:rPr>
                <w:rFonts w:ascii="Arial" w:cs="Arial" w:eastAsia="Arial" w:hAnsi="Arial"/>
                <w:sz w:val="18"/>
                <w:szCs w:val="18"/>
                <w:color w:val="auto"/>
              </w:rPr>
              <w:t>41,913</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2003</w:t>
            </w: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43"/>
        </w:trPr>
        <w:tc>
          <w:tcPr>
            <w:tcW w:w="6280" w:type="dxa"/>
            <w:vAlign w:val="bottom"/>
          </w:tcPr>
          <w:p>
            <w:pPr>
              <w:ind w:left="220"/>
              <w:spacing w:after="0"/>
              <w:rPr>
                <w:sz w:val="20"/>
                <w:szCs w:val="20"/>
                <w:color w:val="auto"/>
              </w:rPr>
            </w:pPr>
            <w:r>
              <w:rPr>
                <w:rFonts w:ascii="Arial" w:cs="Arial" w:eastAsia="Arial" w:hAnsi="Arial"/>
                <w:sz w:val="18"/>
                <w:szCs w:val="18"/>
                <w:color w:val="auto"/>
              </w:rPr>
              <w:t>First quarter</w:t>
            </w:r>
          </w:p>
        </w:tc>
        <w:tc>
          <w:tcPr>
            <w:tcW w:w="1680" w:type="dxa"/>
            <w:vAlign w:val="bottom"/>
          </w:tcPr>
          <w:p>
            <w:pPr>
              <w:jc w:val="right"/>
              <w:spacing w:after="0"/>
              <w:rPr>
                <w:sz w:val="20"/>
                <w:szCs w:val="20"/>
                <w:color w:val="auto"/>
              </w:rPr>
            </w:pPr>
            <w:r>
              <w:rPr>
                <w:rFonts w:ascii="Arial" w:cs="Arial" w:eastAsia="Arial" w:hAnsi="Arial"/>
                <w:sz w:val="18"/>
                <w:szCs w:val="18"/>
                <w:color w:val="auto"/>
              </w:rPr>
              <w:t>$10.70</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$ 9.38</w:t>
            </w:r>
          </w:p>
        </w:tc>
        <w:tc>
          <w:tcPr>
            <w:tcW w:w="1700" w:type="dxa"/>
            <w:vAlign w:val="bottom"/>
          </w:tcPr>
          <w:p>
            <w:pPr>
              <w:jc w:val="right"/>
              <w:spacing w:after="0"/>
              <w:rPr>
                <w:sz w:val="20"/>
                <w:szCs w:val="20"/>
                <w:color w:val="auto"/>
              </w:rPr>
            </w:pPr>
            <w:r>
              <w:rPr>
                <w:rFonts w:ascii="Arial" w:cs="Arial" w:eastAsia="Arial" w:hAnsi="Arial"/>
                <w:sz w:val="18"/>
                <w:szCs w:val="18"/>
                <w:color w:val="auto"/>
              </w:rPr>
              <w:t>36,588</w:t>
            </w:r>
          </w:p>
        </w:tc>
      </w:tr>
      <w:tr>
        <w:trPr>
          <w:trHeight w:val="243"/>
        </w:trPr>
        <w:tc>
          <w:tcPr>
            <w:tcW w:w="6280" w:type="dxa"/>
            <w:vAlign w:val="bottom"/>
          </w:tcPr>
          <w:p>
            <w:pPr>
              <w:ind w:left="220"/>
              <w:spacing w:after="0"/>
              <w:rPr>
                <w:sz w:val="20"/>
                <w:szCs w:val="20"/>
                <w:color w:val="auto"/>
              </w:rPr>
            </w:pPr>
            <w:r>
              <w:rPr>
                <w:rFonts w:ascii="Arial" w:cs="Arial" w:eastAsia="Arial" w:hAnsi="Arial"/>
                <w:sz w:val="18"/>
                <w:szCs w:val="18"/>
                <w:color w:val="auto"/>
              </w:rPr>
              <w:t>Second quarter</w:t>
            </w:r>
          </w:p>
        </w:tc>
        <w:tc>
          <w:tcPr>
            <w:tcW w:w="1680" w:type="dxa"/>
            <w:vAlign w:val="bottom"/>
          </w:tcPr>
          <w:p>
            <w:pPr>
              <w:jc w:val="right"/>
              <w:spacing w:after="0"/>
              <w:rPr>
                <w:sz w:val="20"/>
                <w:szCs w:val="20"/>
                <w:color w:val="auto"/>
              </w:rPr>
            </w:pPr>
            <w:r>
              <w:rPr>
                <w:rFonts w:ascii="Arial" w:cs="Arial" w:eastAsia="Arial" w:hAnsi="Arial"/>
                <w:sz w:val="18"/>
                <w:szCs w:val="18"/>
                <w:color w:val="auto"/>
              </w:rPr>
              <w:t>$10.45</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$ 9.41</w:t>
            </w:r>
          </w:p>
        </w:tc>
        <w:tc>
          <w:tcPr>
            <w:tcW w:w="1700" w:type="dxa"/>
            <w:vAlign w:val="bottom"/>
          </w:tcPr>
          <w:p>
            <w:pPr>
              <w:jc w:val="right"/>
              <w:spacing w:after="0"/>
              <w:rPr>
                <w:sz w:val="20"/>
                <w:szCs w:val="20"/>
                <w:color w:val="auto"/>
              </w:rPr>
            </w:pPr>
            <w:r>
              <w:rPr>
                <w:rFonts w:ascii="Arial" w:cs="Arial" w:eastAsia="Arial" w:hAnsi="Arial"/>
                <w:sz w:val="18"/>
                <w:szCs w:val="18"/>
                <w:color w:val="auto"/>
              </w:rPr>
              <w:t>15,706</w:t>
            </w:r>
          </w:p>
        </w:tc>
      </w:tr>
      <w:tr>
        <w:trPr>
          <w:trHeight w:val="243"/>
        </w:trPr>
        <w:tc>
          <w:tcPr>
            <w:tcW w:w="6280" w:type="dxa"/>
            <w:vAlign w:val="bottom"/>
          </w:tcPr>
          <w:p>
            <w:pPr>
              <w:ind w:left="200"/>
              <w:spacing w:after="0"/>
              <w:rPr>
                <w:sz w:val="20"/>
                <w:szCs w:val="20"/>
                <w:color w:val="auto"/>
              </w:rPr>
            </w:pPr>
            <w:r>
              <w:rPr>
                <w:rFonts w:ascii="Arial" w:cs="Arial" w:eastAsia="Arial" w:hAnsi="Arial"/>
                <w:sz w:val="18"/>
                <w:szCs w:val="18"/>
                <w:color w:val="auto"/>
              </w:rPr>
              <w:t>Third quarter</w:t>
            </w:r>
          </w:p>
        </w:tc>
        <w:tc>
          <w:tcPr>
            <w:tcW w:w="1680" w:type="dxa"/>
            <w:vAlign w:val="bottom"/>
          </w:tcPr>
          <w:p>
            <w:pPr>
              <w:jc w:val="right"/>
              <w:spacing w:after="0"/>
              <w:rPr>
                <w:sz w:val="20"/>
                <w:szCs w:val="20"/>
                <w:color w:val="auto"/>
              </w:rPr>
            </w:pPr>
            <w:r>
              <w:rPr>
                <w:rFonts w:ascii="Arial" w:cs="Arial" w:eastAsia="Arial" w:hAnsi="Arial"/>
                <w:sz w:val="18"/>
                <w:szCs w:val="18"/>
                <w:color w:val="auto"/>
              </w:rPr>
              <w:t>$10.05</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$ 9.45</w:t>
            </w:r>
          </w:p>
        </w:tc>
        <w:tc>
          <w:tcPr>
            <w:tcW w:w="1700" w:type="dxa"/>
            <w:vAlign w:val="bottom"/>
          </w:tcPr>
          <w:p>
            <w:pPr>
              <w:jc w:val="right"/>
              <w:spacing w:after="0"/>
              <w:rPr>
                <w:sz w:val="20"/>
                <w:szCs w:val="20"/>
                <w:color w:val="auto"/>
              </w:rPr>
            </w:pPr>
            <w:r>
              <w:rPr>
                <w:rFonts w:ascii="Arial" w:cs="Arial" w:eastAsia="Arial" w:hAnsi="Arial"/>
                <w:sz w:val="18"/>
                <w:szCs w:val="18"/>
                <w:color w:val="auto"/>
              </w:rPr>
              <w:t>50,412</w:t>
            </w:r>
          </w:p>
        </w:tc>
      </w:tr>
      <w:tr>
        <w:trPr>
          <w:trHeight w:val="243"/>
        </w:trPr>
        <w:tc>
          <w:tcPr>
            <w:tcW w:w="6280" w:type="dxa"/>
            <w:vAlign w:val="bottom"/>
          </w:tcPr>
          <w:p>
            <w:pPr>
              <w:ind w:left="220"/>
              <w:spacing w:after="0"/>
              <w:rPr>
                <w:sz w:val="20"/>
                <w:szCs w:val="20"/>
                <w:color w:val="auto"/>
              </w:rPr>
            </w:pPr>
            <w:r>
              <w:rPr>
                <w:rFonts w:ascii="Arial" w:cs="Arial" w:eastAsia="Arial" w:hAnsi="Arial"/>
                <w:sz w:val="18"/>
                <w:szCs w:val="18"/>
                <w:color w:val="auto"/>
              </w:rPr>
              <w:t>Fourth quarter</w:t>
            </w:r>
          </w:p>
        </w:tc>
        <w:tc>
          <w:tcPr>
            <w:tcW w:w="1680" w:type="dxa"/>
            <w:vAlign w:val="bottom"/>
          </w:tcPr>
          <w:p>
            <w:pPr>
              <w:jc w:val="right"/>
              <w:spacing w:after="0"/>
              <w:rPr>
                <w:sz w:val="20"/>
                <w:szCs w:val="20"/>
                <w:color w:val="auto"/>
              </w:rPr>
            </w:pPr>
            <w:r>
              <w:rPr>
                <w:rFonts w:ascii="Arial" w:cs="Arial" w:eastAsia="Arial" w:hAnsi="Arial"/>
                <w:sz w:val="18"/>
                <w:szCs w:val="18"/>
                <w:color w:val="auto"/>
              </w:rPr>
              <w:t>$12.60</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$10.40</w:t>
            </w:r>
          </w:p>
        </w:tc>
        <w:tc>
          <w:tcPr>
            <w:tcW w:w="1700" w:type="dxa"/>
            <w:vAlign w:val="bottom"/>
          </w:tcPr>
          <w:p>
            <w:pPr>
              <w:jc w:val="right"/>
              <w:spacing w:after="0"/>
              <w:rPr>
                <w:sz w:val="20"/>
                <w:szCs w:val="20"/>
                <w:color w:val="auto"/>
              </w:rPr>
            </w:pPr>
            <w:r>
              <w:rPr>
                <w:rFonts w:ascii="Arial" w:cs="Arial" w:eastAsia="Arial" w:hAnsi="Arial"/>
                <w:sz w:val="18"/>
                <w:szCs w:val="18"/>
                <w:color w:val="auto"/>
              </w:rPr>
              <w:t>16,571</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2004</w:t>
            </w: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43"/>
        </w:trPr>
        <w:tc>
          <w:tcPr>
            <w:tcW w:w="6280" w:type="dxa"/>
            <w:vAlign w:val="bottom"/>
          </w:tcPr>
          <w:p>
            <w:pPr>
              <w:ind w:left="220"/>
              <w:spacing w:after="0"/>
              <w:rPr>
                <w:sz w:val="20"/>
                <w:szCs w:val="20"/>
                <w:color w:val="auto"/>
              </w:rPr>
            </w:pPr>
            <w:r>
              <w:rPr>
                <w:rFonts w:ascii="Arial" w:cs="Arial" w:eastAsia="Arial" w:hAnsi="Arial"/>
                <w:sz w:val="18"/>
                <w:szCs w:val="18"/>
                <w:color w:val="auto"/>
              </w:rPr>
              <w:t>First quarter</w:t>
            </w:r>
          </w:p>
        </w:tc>
        <w:tc>
          <w:tcPr>
            <w:tcW w:w="1680" w:type="dxa"/>
            <w:vAlign w:val="bottom"/>
          </w:tcPr>
          <w:p>
            <w:pPr>
              <w:jc w:val="right"/>
              <w:spacing w:after="0"/>
              <w:rPr>
                <w:sz w:val="20"/>
                <w:szCs w:val="20"/>
                <w:color w:val="auto"/>
              </w:rPr>
            </w:pPr>
            <w:r>
              <w:rPr>
                <w:rFonts w:ascii="Arial" w:cs="Arial" w:eastAsia="Arial" w:hAnsi="Arial"/>
                <w:sz w:val="18"/>
                <w:szCs w:val="18"/>
                <w:color w:val="auto"/>
              </w:rPr>
              <w:t>$15.02</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$12.08</w:t>
            </w:r>
          </w:p>
        </w:tc>
        <w:tc>
          <w:tcPr>
            <w:tcW w:w="1700" w:type="dxa"/>
            <w:vAlign w:val="bottom"/>
          </w:tcPr>
          <w:p>
            <w:pPr>
              <w:jc w:val="right"/>
              <w:spacing w:after="0"/>
              <w:rPr>
                <w:sz w:val="20"/>
                <w:szCs w:val="20"/>
                <w:color w:val="auto"/>
              </w:rPr>
            </w:pPr>
            <w:r>
              <w:rPr>
                <w:rFonts w:ascii="Arial" w:cs="Arial" w:eastAsia="Arial" w:hAnsi="Arial"/>
                <w:sz w:val="18"/>
                <w:szCs w:val="18"/>
                <w:color w:val="auto"/>
              </w:rPr>
              <w:t>11,426</w:t>
            </w:r>
          </w:p>
        </w:tc>
      </w:tr>
      <w:tr>
        <w:trPr>
          <w:trHeight w:val="243"/>
        </w:trPr>
        <w:tc>
          <w:tcPr>
            <w:tcW w:w="6280" w:type="dxa"/>
            <w:vAlign w:val="bottom"/>
          </w:tcPr>
          <w:p>
            <w:pPr>
              <w:ind w:left="220"/>
              <w:spacing w:after="0"/>
              <w:rPr>
                <w:sz w:val="20"/>
                <w:szCs w:val="20"/>
                <w:color w:val="auto"/>
              </w:rPr>
            </w:pPr>
            <w:r>
              <w:rPr>
                <w:rFonts w:ascii="Arial" w:cs="Arial" w:eastAsia="Arial" w:hAnsi="Arial"/>
                <w:sz w:val="18"/>
                <w:szCs w:val="18"/>
                <w:color w:val="auto"/>
              </w:rPr>
              <w:t>Second quarter (through June 10)</w:t>
            </w:r>
          </w:p>
        </w:tc>
        <w:tc>
          <w:tcPr>
            <w:tcW w:w="1680" w:type="dxa"/>
            <w:vAlign w:val="bottom"/>
          </w:tcPr>
          <w:p>
            <w:pPr>
              <w:jc w:val="right"/>
              <w:spacing w:after="0"/>
              <w:rPr>
                <w:sz w:val="20"/>
                <w:szCs w:val="20"/>
                <w:color w:val="auto"/>
              </w:rPr>
            </w:pPr>
            <w:r>
              <w:rPr>
                <w:rFonts w:ascii="Arial" w:cs="Arial" w:eastAsia="Arial" w:hAnsi="Arial"/>
                <w:sz w:val="18"/>
                <w:szCs w:val="18"/>
                <w:color w:val="auto"/>
              </w:rPr>
              <w:t>$13.00</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$12.30</w:t>
            </w:r>
          </w:p>
        </w:tc>
        <w:tc>
          <w:tcPr>
            <w:tcW w:w="1700" w:type="dxa"/>
            <w:vAlign w:val="bottom"/>
          </w:tcPr>
          <w:p>
            <w:pPr>
              <w:jc w:val="right"/>
              <w:spacing w:after="0"/>
              <w:rPr>
                <w:sz w:val="20"/>
                <w:szCs w:val="20"/>
                <w:color w:val="auto"/>
              </w:rPr>
            </w:pPr>
            <w:r>
              <w:rPr>
                <w:rFonts w:ascii="Arial" w:cs="Arial" w:eastAsia="Arial" w:hAnsi="Arial"/>
                <w:sz w:val="18"/>
                <w:szCs w:val="18"/>
                <w:color w:val="auto"/>
              </w:rPr>
              <w:t>66,509</w:t>
            </w:r>
          </w:p>
        </w:tc>
      </w:tr>
      <w:tr>
        <w:trPr>
          <w:trHeight w:val="243"/>
        </w:trPr>
        <w:tc>
          <w:tcPr>
            <w:tcW w:w="6280" w:type="dxa"/>
            <w:vAlign w:val="bottom"/>
          </w:tcPr>
          <w:p>
            <w:pPr>
              <w:spacing w:after="0"/>
              <w:rPr>
                <w:sz w:val="20"/>
                <w:szCs w:val="20"/>
                <w:color w:val="auto"/>
              </w:rPr>
            </w:pPr>
            <w:r>
              <w:rPr>
                <w:rFonts w:ascii="Arial" w:cs="Arial" w:eastAsia="Arial" w:hAnsi="Arial"/>
                <w:sz w:val="18"/>
                <w:szCs w:val="18"/>
                <w:color w:val="auto"/>
              </w:rPr>
              <w:t>____________________________</w:t>
            </w: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5034915</wp:posOffset>
            </wp:positionH>
            <wp:positionV relativeFrom="paragraph">
              <wp:posOffset>-3347085</wp:posOffset>
            </wp:positionV>
            <wp:extent cx="34290" cy="342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-3347085</wp:posOffset>
            </wp:positionV>
            <wp:extent cx="34290" cy="342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-3347085</wp:posOffset>
            </wp:positionV>
            <wp:extent cx="34290" cy="342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26" w:lineRule="auto"/>
        <w:rPr>
          <w:sz w:val="20"/>
          <w:szCs w:val="20"/>
          <w:color w:val="auto"/>
        </w:rPr>
      </w:pPr>
      <w:r>
        <w:rPr>
          <w:rFonts w:ascii="Arial" w:cs="Arial" w:eastAsia="Arial" w:hAnsi="Arial"/>
          <w:sz w:val="14"/>
          <w:szCs w:val="14"/>
          <w:color w:val="auto"/>
        </w:rPr>
        <w:t>Source: Economatica</w:t>
      </w:r>
    </w:p>
    <w:p>
      <w:pPr>
        <w:ind w:left="600" w:hanging="592"/>
        <w:spacing w:after="0" w:line="230" w:lineRule="auto"/>
        <w:tabs>
          <w:tab w:leader="none" w:pos="6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Common Share prices shown above have been adjusted retroactively to reflect stock dividends. Credicorp declared a stock dividend on February 26, 1998 of 0.100 Common Shares for each Common Share held at the close of business on March 31, 1998. Credicorp has not declared a stock dividend since 1998.</w:t>
      </w:r>
    </w:p>
    <w:p>
      <w:pPr>
        <w:sectPr>
          <w:pgSz w:w="11900" w:h="16838" w:orient="portrait"/>
          <w:cols w:equalWidth="0" w:num="1">
            <w:col w:w="11420"/>
          </w:cols>
          <w:pgMar w:left="240" w:top="355" w:right="239" w:bottom="1440" w:gutter="0" w:footer="0" w:header="0"/>
        </w:sectPr>
      </w:pP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106</w:t>
      </w:r>
    </w:p>
    <w:p>
      <w:pPr>
        <w:sectPr>
          <w:pgSz w:w="11900" w:h="16838" w:orient="portrait"/>
          <w:cols w:equalWidth="0" w:num="1">
            <w:col w:w="11420"/>
          </w:cols>
          <w:pgMar w:left="240" w:top="355" w:right="239" w:bottom="1440" w:gutter="0" w:footer="0" w:header="0"/>
          <w:type w:val="continuous"/>
        </w:sectPr>
      </w:pPr>
    </w:p>
    <w:bookmarkStart w:id="109" w:name="page110"/>
    <w:bookmarkEnd w:id="109"/>
    <w:p>
      <w:pPr>
        <w:ind w:left="180"/>
        <w:spacing w:after="0"/>
        <w:rPr>
          <w:sz w:val="20"/>
          <w:szCs w:val="20"/>
          <w:color w:val="auto"/>
        </w:rPr>
      </w:pPr>
      <w:r>
        <w:rPr>
          <w:rFonts w:ascii="Arial" w:cs="Arial" w:eastAsia="Arial" w:hAnsi="Arial"/>
          <w:sz w:val="16"/>
          <w:szCs w:val="16"/>
          <w:color w:val="auto"/>
        </w:rPr>
        <w:t>The table below sets forth, for the indicated months, the reported high and low closing prices for the Common Shares on the New York Stock Exchange.</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80" w:type="dxa"/>
            <w:vAlign w:val="bottom"/>
          </w:tcPr>
          <w:p>
            <w:pPr>
              <w:spacing w:after="0"/>
              <w:rPr>
                <w:sz w:val="19"/>
                <w:szCs w:val="19"/>
                <w:color w:val="auto"/>
              </w:rPr>
            </w:pPr>
          </w:p>
        </w:tc>
        <w:tc>
          <w:tcPr>
            <w:tcW w:w="1120" w:type="dxa"/>
            <w:vAlign w:val="bottom"/>
          </w:tcPr>
          <w:p>
            <w:pPr>
              <w:ind w:left="660"/>
              <w:spacing w:after="0"/>
              <w:rPr>
                <w:sz w:val="20"/>
                <w:szCs w:val="20"/>
                <w:color w:val="auto"/>
              </w:rPr>
            </w:pPr>
            <w:r>
              <w:rPr>
                <w:rFonts w:ascii="Arial" w:cs="Arial" w:eastAsia="Arial" w:hAnsi="Arial"/>
                <w:sz w:val="18"/>
                <w:szCs w:val="18"/>
                <w:b w:val="1"/>
                <w:bCs w:val="1"/>
                <w:color w:val="auto"/>
              </w:rPr>
              <w:t>High</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Pr>
          <w:p>
            <w:pPr>
              <w:jc w:val="right"/>
              <w:ind w:right="592"/>
              <w:spacing w:after="0"/>
              <w:rPr>
                <w:sz w:val="20"/>
                <w:szCs w:val="20"/>
                <w:color w:val="auto"/>
              </w:rPr>
            </w:pPr>
            <w:r>
              <w:rPr>
                <w:rFonts w:ascii="Arial" w:cs="Arial" w:eastAsia="Arial" w:hAnsi="Arial"/>
                <w:sz w:val="18"/>
                <w:szCs w:val="18"/>
                <w:b w:val="1"/>
                <w:bCs w:val="1"/>
                <w:color w:val="auto"/>
              </w:rPr>
              <w:t>Low</w:t>
            </w:r>
          </w:p>
        </w:tc>
        <w:tc>
          <w:tcPr>
            <w:tcW w:w="0" w:type="dxa"/>
            <w:vAlign w:val="bottom"/>
          </w:tcPr>
          <w:p>
            <w:pPr>
              <w:spacing w:after="0"/>
              <w:rPr>
                <w:sz w:val="1"/>
                <w:szCs w:val="1"/>
                <w:color w:val="auto"/>
              </w:rPr>
            </w:pPr>
          </w:p>
        </w:tc>
      </w:tr>
      <w:tr>
        <w:trPr>
          <w:trHeight w:val="137"/>
        </w:trPr>
        <w:tc>
          <w:tcPr>
            <w:tcW w:w="79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2003</w:t>
            </w:r>
          </w:p>
        </w:tc>
        <w:tc>
          <w:tcPr>
            <w:tcW w:w="11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586"/>
        </w:trPr>
        <w:tc>
          <w:tcPr>
            <w:tcW w:w="79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100" w:type="dxa"/>
            <w:vAlign w:val="bottom"/>
            <w:gridSpan w:val="2"/>
          </w:tcPr>
          <w:p>
            <w:pPr>
              <w:ind w:left="220"/>
              <w:spacing w:after="0"/>
              <w:rPr>
                <w:sz w:val="20"/>
                <w:szCs w:val="20"/>
                <w:color w:val="auto"/>
              </w:rPr>
            </w:pPr>
            <w:r>
              <w:rPr>
                <w:rFonts w:ascii="Arial" w:cs="Arial" w:eastAsia="Arial" w:hAnsi="Arial"/>
                <w:sz w:val="18"/>
                <w:szCs w:val="18"/>
                <w:color w:val="auto"/>
              </w:rPr>
              <w:t>December</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$13.38</w:t>
            </w:r>
          </w:p>
        </w:tc>
        <w:tc>
          <w:tcPr>
            <w:tcW w:w="1700" w:type="dxa"/>
            <w:vAlign w:val="bottom"/>
          </w:tcPr>
          <w:p>
            <w:pPr>
              <w:jc w:val="right"/>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b w:val="1"/>
                <w:bCs w:val="1"/>
                <w:color w:val="auto"/>
              </w:rPr>
              <w:t>2004</w:t>
            </w:r>
          </w:p>
        </w:tc>
        <w:tc>
          <w:tcPr>
            <w:tcW w:w="1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100" w:type="dxa"/>
            <w:vAlign w:val="bottom"/>
            <w:gridSpan w:val="2"/>
          </w:tcPr>
          <w:p>
            <w:pPr>
              <w:ind w:left="220"/>
              <w:spacing w:after="0"/>
              <w:rPr>
                <w:sz w:val="20"/>
                <w:szCs w:val="20"/>
                <w:color w:val="auto"/>
              </w:rPr>
            </w:pPr>
            <w:r>
              <w:rPr>
                <w:rFonts w:ascii="Arial" w:cs="Arial" w:eastAsia="Arial" w:hAnsi="Arial"/>
                <w:sz w:val="18"/>
                <w:szCs w:val="18"/>
                <w:color w:val="auto"/>
              </w:rPr>
              <w:t>January</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$15.00</w:t>
            </w:r>
          </w:p>
        </w:tc>
        <w:tc>
          <w:tcPr>
            <w:tcW w:w="1700" w:type="dxa"/>
            <w:vAlign w:val="bottom"/>
          </w:tcPr>
          <w:p>
            <w:pPr>
              <w:jc w:val="right"/>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43"/>
        </w:trPr>
        <w:tc>
          <w:tcPr>
            <w:tcW w:w="9100" w:type="dxa"/>
            <w:vAlign w:val="bottom"/>
            <w:gridSpan w:val="2"/>
          </w:tcPr>
          <w:p>
            <w:pPr>
              <w:ind w:left="220"/>
              <w:spacing w:after="0"/>
              <w:rPr>
                <w:sz w:val="20"/>
                <w:szCs w:val="20"/>
                <w:color w:val="auto"/>
              </w:rPr>
            </w:pPr>
            <w:r>
              <w:rPr>
                <w:rFonts w:ascii="Arial" w:cs="Arial" w:eastAsia="Arial" w:hAnsi="Arial"/>
                <w:sz w:val="18"/>
                <w:szCs w:val="18"/>
                <w:color w:val="auto"/>
              </w:rPr>
              <w:t>February</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$13.15</w:t>
            </w:r>
          </w:p>
        </w:tc>
        <w:tc>
          <w:tcPr>
            <w:tcW w:w="1700" w:type="dxa"/>
            <w:vAlign w:val="bottom"/>
          </w:tcPr>
          <w:p>
            <w:pPr>
              <w:jc w:val="right"/>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43"/>
        </w:trPr>
        <w:tc>
          <w:tcPr>
            <w:tcW w:w="9100" w:type="dxa"/>
            <w:vAlign w:val="bottom"/>
            <w:gridSpan w:val="2"/>
          </w:tcPr>
          <w:p>
            <w:pPr>
              <w:ind w:left="220"/>
              <w:spacing w:after="0"/>
              <w:rPr>
                <w:sz w:val="20"/>
                <w:szCs w:val="20"/>
                <w:color w:val="auto"/>
              </w:rPr>
            </w:pPr>
            <w:r>
              <w:rPr>
                <w:rFonts w:ascii="Arial" w:cs="Arial" w:eastAsia="Arial" w:hAnsi="Arial"/>
                <w:sz w:val="18"/>
                <w:szCs w:val="18"/>
                <w:color w:val="auto"/>
              </w:rPr>
              <w:t>March</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$13.38</w:t>
            </w:r>
          </w:p>
        </w:tc>
        <w:tc>
          <w:tcPr>
            <w:tcW w:w="1700" w:type="dxa"/>
            <w:vAlign w:val="bottom"/>
          </w:tcPr>
          <w:p>
            <w:pPr>
              <w:jc w:val="right"/>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43"/>
        </w:trPr>
        <w:tc>
          <w:tcPr>
            <w:tcW w:w="9100" w:type="dxa"/>
            <w:vAlign w:val="bottom"/>
            <w:gridSpan w:val="2"/>
          </w:tcPr>
          <w:p>
            <w:pPr>
              <w:ind w:left="200"/>
              <w:spacing w:after="0"/>
              <w:rPr>
                <w:sz w:val="20"/>
                <w:szCs w:val="20"/>
                <w:color w:val="auto"/>
              </w:rPr>
            </w:pPr>
            <w:r>
              <w:rPr>
                <w:rFonts w:ascii="Arial" w:cs="Arial" w:eastAsia="Arial" w:hAnsi="Arial"/>
                <w:sz w:val="18"/>
                <w:szCs w:val="18"/>
                <w:color w:val="auto"/>
              </w:rPr>
              <w:t>April</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$13.08</w:t>
            </w:r>
          </w:p>
        </w:tc>
        <w:tc>
          <w:tcPr>
            <w:tcW w:w="1700" w:type="dxa"/>
            <w:vAlign w:val="bottom"/>
          </w:tcPr>
          <w:p>
            <w:pPr>
              <w:jc w:val="right"/>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43"/>
        </w:trPr>
        <w:tc>
          <w:tcPr>
            <w:tcW w:w="9100" w:type="dxa"/>
            <w:vAlign w:val="bottom"/>
            <w:gridSpan w:val="2"/>
          </w:tcPr>
          <w:p>
            <w:pPr>
              <w:ind w:left="220"/>
              <w:spacing w:after="0"/>
              <w:rPr>
                <w:sz w:val="20"/>
                <w:szCs w:val="20"/>
                <w:color w:val="auto"/>
              </w:rPr>
            </w:pPr>
            <w:r>
              <w:rPr>
                <w:rFonts w:ascii="Arial" w:cs="Arial" w:eastAsia="Arial" w:hAnsi="Arial"/>
                <w:sz w:val="18"/>
                <w:szCs w:val="18"/>
                <w:color w:val="auto"/>
              </w:rPr>
              <w:t>May</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$13.08</w:t>
            </w:r>
          </w:p>
        </w:tc>
        <w:tc>
          <w:tcPr>
            <w:tcW w:w="1700" w:type="dxa"/>
            <w:vAlign w:val="bottom"/>
          </w:tcPr>
          <w:p>
            <w:pPr>
              <w:jc w:val="right"/>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43"/>
        </w:trPr>
        <w:tc>
          <w:tcPr>
            <w:tcW w:w="9100" w:type="dxa"/>
            <w:vAlign w:val="bottom"/>
            <w:gridSpan w:val="2"/>
          </w:tcPr>
          <w:p>
            <w:pPr>
              <w:ind w:left="220"/>
              <w:spacing w:after="0"/>
              <w:rPr>
                <w:sz w:val="20"/>
                <w:szCs w:val="20"/>
                <w:color w:val="auto"/>
              </w:rPr>
            </w:pPr>
            <w:r>
              <w:rPr>
                <w:rFonts w:ascii="Arial" w:cs="Arial" w:eastAsia="Arial" w:hAnsi="Arial"/>
                <w:sz w:val="18"/>
                <w:szCs w:val="18"/>
                <w:color w:val="auto"/>
              </w:rPr>
              <w:t>June (through June 10)</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$13.05</w:t>
            </w:r>
          </w:p>
        </w:tc>
        <w:tc>
          <w:tcPr>
            <w:tcW w:w="1700" w:type="dxa"/>
            <w:vAlign w:val="bottom"/>
          </w:tcPr>
          <w:p>
            <w:pPr>
              <w:jc w:val="right"/>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37"/>
        </w:trPr>
        <w:tc>
          <w:tcPr>
            <w:tcW w:w="7980" w:type="dxa"/>
            <w:vAlign w:val="bottom"/>
          </w:tcPr>
          <w:p>
            <w:pPr>
              <w:spacing w:after="0"/>
              <w:rPr>
                <w:sz w:val="20"/>
                <w:szCs w:val="20"/>
                <w:color w:val="auto"/>
              </w:rPr>
            </w:pPr>
            <w:r>
              <w:rPr>
                <w:rFonts w:ascii="Arial" w:cs="Arial" w:eastAsia="Arial" w:hAnsi="Arial"/>
                <w:sz w:val="18"/>
                <w:szCs w:val="18"/>
                <w:color w:val="auto"/>
              </w:rPr>
              <w:t>_____________________</w:t>
            </w: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9100" w:type="dxa"/>
            <w:vAlign w:val="bottom"/>
            <w:gridSpan w:val="2"/>
          </w:tcPr>
          <w:p>
            <w:pPr>
              <w:spacing w:after="0"/>
              <w:rPr>
                <w:sz w:val="20"/>
                <w:szCs w:val="20"/>
                <w:color w:val="auto"/>
              </w:rPr>
            </w:pPr>
            <w:r>
              <w:rPr>
                <w:rFonts w:ascii="Arial" w:cs="Arial" w:eastAsia="Arial" w:hAnsi="Arial"/>
                <w:sz w:val="18"/>
                <w:szCs w:val="18"/>
                <w:color w:val="auto"/>
              </w:rPr>
              <w:t>Source: Economatica</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6123940</wp:posOffset>
            </wp:positionH>
            <wp:positionV relativeFrom="paragraph">
              <wp:posOffset>-1923415</wp:posOffset>
            </wp:positionV>
            <wp:extent cx="34290" cy="342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-1923415</wp:posOffset>
            </wp:positionV>
            <wp:extent cx="34290" cy="342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table below sets forth, for the indicated months, the reported high and low closing prices for the Common Shares on the Lima Stock Exchange.</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80" w:type="dxa"/>
            <w:vAlign w:val="bottom"/>
          </w:tcPr>
          <w:p>
            <w:pPr>
              <w:spacing w:after="0"/>
              <w:rPr>
                <w:sz w:val="19"/>
                <w:szCs w:val="19"/>
                <w:color w:val="auto"/>
              </w:rPr>
            </w:pPr>
          </w:p>
        </w:tc>
        <w:tc>
          <w:tcPr>
            <w:tcW w:w="1120" w:type="dxa"/>
            <w:vAlign w:val="bottom"/>
          </w:tcPr>
          <w:p>
            <w:pPr>
              <w:ind w:left="660"/>
              <w:spacing w:after="0"/>
              <w:rPr>
                <w:sz w:val="20"/>
                <w:szCs w:val="20"/>
                <w:color w:val="auto"/>
              </w:rPr>
            </w:pPr>
            <w:r>
              <w:rPr>
                <w:rFonts w:ascii="Arial" w:cs="Arial" w:eastAsia="Arial" w:hAnsi="Arial"/>
                <w:sz w:val="18"/>
                <w:szCs w:val="18"/>
                <w:b w:val="1"/>
                <w:bCs w:val="1"/>
                <w:color w:val="auto"/>
              </w:rPr>
              <w:t>High</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Pr>
          <w:p>
            <w:pPr>
              <w:jc w:val="right"/>
              <w:ind w:right="592"/>
              <w:spacing w:after="0"/>
              <w:rPr>
                <w:sz w:val="20"/>
                <w:szCs w:val="20"/>
                <w:color w:val="auto"/>
              </w:rPr>
            </w:pPr>
            <w:r>
              <w:rPr>
                <w:rFonts w:ascii="Arial" w:cs="Arial" w:eastAsia="Arial" w:hAnsi="Arial"/>
                <w:sz w:val="18"/>
                <w:szCs w:val="18"/>
                <w:b w:val="1"/>
                <w:bCs w:val="1"/>
                <w:color w:val="auto"/>
              </w:rPr>
              <w:t>Low</w:t>
            </w:r>
          </w:p>
        </w:tc>
        <w:tc>
          <w:tcPr>
            <w:tcW w:w="0" w:type="dxa"/>
            <w:vAlign w:val="bottom"/>
          </w:tcPr>
          <w:p>
            <w:pPr>
              <w:spacing w:after="0"/>
              <w:rPr>
                <w:sz w:val="1"/>
                <w:szCs w:val="1"/>
                <w:color w:val="auto"/>
              </w:rPr>
            </w:pPr>
          </w:p>
        </w:tc>
      </w:tr>
      <w:tr>
        <w:trPr>
          <w:trHeight w:val="137"/>
        </w:trPr>
        <w:tc>
          <w:tcPr>
            <w:tcW w:w="79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2003</w:t>
            </w:r>
          </w:p>
        </w:tc>
        <w:tc>
          <w:tcPr>
            <w:tcW w:w="11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586"/>
        </w:trPr>
        <w:tc>
          <w:tcPr>
            <w:tcW w:w="79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100" w:type="dxa"/>
            <w:vAlign w:val="bottom"/>
            <w:gridSpan w:val="2"/>
          </w:tcPr>
          <w:p>
            <w:pPr>
              <w:ind w:left="220"/>
              <w:spacing w:after="0"/>
              <w:rPr>
                <w:sz w:val="20"/>
                <w:szCs w:val="20"/>
                <w:color w:val="auto"/>
              </w:rPr>
            </w:pPr>
            <w:r>
              <w:rPr>
                <w:rFonts w:ascii="Arial" w:cs="Arial" w:eastAsia="Arial" w:hAnsi="Arial"/>
                <w:sz w:val="18"/>
                <w:szCs w:val="18"/>
                <w:color w:val="auto"/>
              </w:rPr>
              <w:t>December</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$13.20</w:t>
            </w:r>
          </w:p>
        </w:tc>
        <w:tc>
          <w:tcPr>
            <w:tcW w:w="1700" w:type="dxa"/>
            <w:vAlign w:val="bottom"/>
          </w:tcPr>
          <w:p>
            <w:pPr>
              <w:jc w:val="right"/>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b w:val="1"/>
                <w:bCs w:val="1"/>
                <w:color w:val="auto"/>
              </w:rPr>
              <w:t>2004</w:t>
            </w:r>
          </w:p>
        </w:tc>
        <w:tc>
          <w:tcPr>
            <w:tcW w:w="1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100" w:type="dxa"/>
            <w:vAlign w:val="bottom"/>
            <w:gridSpan w:val="2"/>
          </w:tcPr>
          <w:p>
            <w:pPr>
              <w:ind w:left="220"/>
              <w:spacing w:after="0"/>
              <w:rPr>
                <w:sz w:val="20"/>
                <w:szCs w:val="20"/>
                <w:color w:val="auto"/>
              </w:rPr>
            </w:pPr>
            <w:r>
              <w:rPr>
                <w:rFonts w:ascii="Arial" w:cs="Arial" w:eastAsia="Arial" w:hAnsi="Arial"/>
                <w:sz w:val="18"/>
                <w:szCs w:val="18"/>
                <w:color w:val="auto"/>
              </w:rPr>
              <w:t>January</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$15.02</w:t>
            </w:r>
          </w:p>
        </w:tc>
        <w:tc>
          <w:tcPr>
            <w:tcW w:w="1700" w:type="dxa"/>
            <w:vAlign w:val="bottom"/>
          </w:tcPr>
          <w:p>
            <w:pPr>
              <w:jc w:val="right"/>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43"/>
        </w:trPr>
        <w:tc>
          <w:tcPr>
            <w:tcW w:w="9100" w:type="dxa"/>
            <w:vAlign w:val="bottom"/>
            <w:gridSpan w:val="2"/>
          </w:tcPr>
          <w:p>
            <w:pPr>
              <w:ind w:left="220"/>
              <w:spacing w:after="0"/>
              <w:rPr>
                <w:sz w:val="20"/>
                <w:szCs w:val="20"/>
                <w:color w:val="auto"/>
              </w:rPr>
            </w:pPr>
            <w:r>
              <w:rPr>
                <w:rFonts w:ascii="Arial" w:cs="Arial" w:eastAsia="Arial" w:hAnsi="Arial"/>
                <w:sz w:val="18"/>
                <w:szCs w:val="18"/>
                <w:color w:val="auto"/>
              </w:rPr>
              <w:t>February</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$13.20</w:t>
            </w:r>
          </w:p>
        </w:tc>
        <w:tc>
          <w:tcPr>
            <w:tcW w:w="1700" w:type="dxa"/>
            <w:vAlign w:val="bottom"/>
          </w:tcPr>
          <w:p>
            <w:pPr>
              <w:jc w:val="right"/>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43"/>
        </w:trPr>
        <w:tc>
          <w:tcPr>
            <w:tcW w:w="9100" w:type="dxa"/>
            <w:vAlign w:val="bottom"/>
            <w:gridSpan w:val="2"/>
          </w:tcPr>
          <w:p>
            <w:pPr>
              <w:ind w:left="220"/>
              <w:spacing w:after="0"/>
              <w:rPr>
                <w:sz w:val="20"/>
                <w:szCs w:val="20"/>
                <w:color w:val="auto"/>
              </w:rPr>
            </w:pPr>
            <w:r>
              <w:rPr>
                <w:rFonts w:ascii="Arial" w:cs="Arial" w:eastAsia="Arial" w:hAnsi="Arial"/>
                <w:sz w:val="18"/>
                <w:szCs w:val="18"/>
                <w:color w:val="auto"/>
              </w:rPr>
              <w:t>March</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$13.05</w:t>
            </w:r>
          </w:p>
        </w:tc>
        <w:tc>
          <w:tcPr>
            <w:tcW w:w="1700" w:type="dxa"/>
            <w:vAlign w:val="bottom"/>
          </w:tcPr>
          <w:p>
            <w:pPr>
              <w:jc w:val="right"/>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43"/>
        </w:trPr>
        <w:tc>
          <w:tcPr>
            <w:tcW w:w="9100" w:type="dxa"/>
            <w:vAlign w:val="bottom"/>
            <w:gridSpan w:val="2"/>
          </w:tcPr>
          <w:p>
            <w:pPr>
              <w:ind w:left="200"/>
              <w:spacing w:after="0"/>
              <w:rPr>
                <w:sz w:val="20"/>
                <w:szCs w:val="20"/>
                <w:color w:val="auto"/>
              </w:rPr>
            </w:pPr>
            <w:r>
              <w:rPr>
                <w:rFonts w:ascii="Arial" w:cs="Arial" w:eastAsia="Arial" w:hAnsi="Arial"/>
                <w:sz w:val="18"/>
                <w:szCs w:val="18"/>
                <w:color w:val="auto"/>
              </w:rPr>
              <w:t>April</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$13.00</w:t>
            </w:r>
          </w:p>
        </w:tc>
        <w:tc>
          <w:tcPr>
            <w:tcW w:w="1700" w:type="dxa"/>
            <w:vAlign w:val="bottom"/>
          </w:tcPr>
          <w:p>
            <w:pPr>
              <w:jc w:val="right"/>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43"/>
        </w:trPr>
        <w:tc>
          <w:tcPr>
            <w:tcW w:w="9100" w:type="dxa"/>
            <w:vAlign w:val="bottom"/>
            <w:gridSpan w:val="2"/>
          </w:tcPr>
          <w:p>
            <w:pPr>
              <w:ind w:left="220"/>
              <w:spacing w:after="0"/>
              <w:rPr>
                <w:sz w:val="20"/>
                <w:szCs w:val="20"/>
                <w:color w:val="auto"/>
              </w:rPr>
            </w:pPr>
            <w:r>
              <w:rPr>
                <w:rFonts w:ascii="Arial" w:cs="Arial" w:eastAsia="Arial" w:hAnsi="Arial"/>
                <w:sz w:val="18"/>
                <w:szCs w:val="18"/>
                <w:color w:val="auto"/>
              </w:rPr>
              <w:t>May</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$13.00</w:t>
            </w:r>
          </w:p>
        </w:tc>
        <w:tc>
          <w:tcPr>
            <w:tcW w:w="1700" w:type="dxa"/>
            <w:vAlign w:val="bottom"/>
          </w:tcPr>
          <w:p>
            <w:pPr>
              <w:jc w:val="right"/>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43"/>
        </w:trPr>
        <w:tc>
          <w:tcPr>
            <w:tcW w:w="9100" w:type="dxa"/>
            <w:vAlign w:val="bottom"/>
            <w:gridSpan w:val="2"/>
          </w:tcPr>
          <w:p>
            <w:pPr>
              <w:ind w:left="220"/>
              <w:spacing w:after="0"/>
              <w:rPr>
                <w:sz w:val="20"/>
                <w:szCs w:val="20"/>
                <w:color w:val="auto"/>
              </w:rPr>
            </w:pPr>
            <w:r>
              <w:rPr>
                <w:rFonts w:ascii="Arial" w:cs="Arial" w:eastAsia="Arial" w:hAnsi="Arial"/>
                <w:sz w:val="18"/>
                <w:szCs w:val="18"/>
                <w:color w:val="auto"/>
              </w:rPr>
              <w:t>June (through June 10)</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$13.00</w:t>
            </w:r>
          </w:p>
        </w:tc>
        <w:tc>
          <w:tcPr>
            <w:tcW w:w="1700" w:type="dxa"/>
            <w:vAlign w:val="bottom"/>
          </w:tcPr>
          <w:p>
            <w:pPr>
              <w:jc w:val="right"/>
              <w:spacing w:after="0"/>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37"/>
        </w:trPr>
        <w:tc>
          <w:tcPr>
            <w:tcW w:w="7980" w:type="dxa"/>
            <w:vAlign w:val="bottom"/>
          </w:tcPr>
          <w:p>
            <w:pPr>
              <w:spacing w:after="0"/>
              <w:rPr>
                <w:sz w:val="20"/>
                <w:szCs w:val="20"/>
                <w:color w:val="auto"/>
              </w:rPr>
            </w:pPr>
            <w:r>
              <w:rPr>
                <w:rFonts w:ascii="Arial" w:cs="Arial" w:eastAsia="Arial" w:hAnsi="Arial"/>
                <w:sz w:val="18"/>
                <w:szCs w:val="18"/>
                <w:color w:val="auto"/>
              </w:rPr>
              <w:t>_____________________</w:t>
            </w: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9100" w:type="dxa"/>
            <w:vAlign w:val="bottom"/>
            <w:gridSpan w:val="2"/>
          </w:tcPr>
          <w:p>
            <w:pPr>
              <w:spacing w:after="0"/>
              <w:rPr>
                <w:sz w:val="20"/>
                <w:szCs w:val="20"/>
                <w:color w:val="auto"/>
              </w:rPr>
            </w:pPr>
            <w:r>
              <w:rPr>
                <w:rFonts w:ascii="Arial" w:cs="Arial" w:eastAsia="Arial" w:hAnsi="Arial"/>
                <w:sz w:val="18"/>
                <w:szCs w:val="18"/>
                <w:color w:val="auto"/>
              </w:rPr>
              <w:t>Source: Economatica</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6123940</wp:posOffset>
            </wp:positionH>
            <wp:positionV relativeFrom="paragraph">
              <wp:posOffset>-1923415</wp:posOffset>
            </wp:positionV>
            <wp:extent cx="34290" cy="342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-1923415</wp:posOffset>
            </wp:positionV>
            <wp:extent cx="34290" cy="342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90" w:lineRule="exact"/>
        <w:rPr>
          <w:sz w:val="20"/>
          <w:szCs w:val="20"/>
          <w:color w:val="auto"/>
        </w:rPr>
      </w:pPr>
    </w:p>
    <w:p>
      <w:pPr>
        <w:jc w:val="both"/>
        <w:ind w:firstLine="183"/>
        <w:spacing w:after="0" w:line="268" w:lineRule="auto"/>
        <w:rPr>
          <w:sz w:val="20"/>
          <w:szCs w:val="20"/>
          <w:color w:val="auto"/>
        </w:rPr>
      </w:pPr>
      <w:r>
        <w:rPr>
          <w:rFonts w:ascii="Arial" w:cs="Arial" w:eastAsia="Arial" w:hAnsi="Arial"/>
          <w:sz w:val="18"/>
          <w:szCs w:val="18"/>
          <w:color w:val="auto"/>
        </w:rPr>
        <w:t>On June 10, 2004, the last sale price of the Common Shares on the New York Stock Exchange was US$12.95 per share. On June 10, 2004, the closing price of the Common Shares on the Lima Stock Exchange was US$12.83 per share.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Plan of Distribution</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347" w:right="2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(C) Markets</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Lima Stock Exchange</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 Trading</w:t>
      </w:r>
    </w:p>
    <w:p>
      <w:pPr>
        <w:spacing w:after="0" w:line="225" w:lineRule="exact"/>
        <w:rPr>
          <w:sz w:val="20"/>
          <w:szCs w:val="20"/>
          <w:color w:val="auto"/>
        </w:rPr>
      </w:pPr>
    </w:p>
    <w:p>
      <w:pPr>
        <w:jc w:val="both"/>
        <w:ind w:firstLine="191"/>
        <w:spacing w:after="0" w:line="294" w:lineRule="auto"/>
        <w:rPr>
          <w:sz w:val="20"/>
          <w:szCs w:val="20"/>
          <w:color w:val="auto"/>
        </w:rPr>
      </w:pPr>
      <w:r>
        <w:rPr>
          <w:rFonts w:ascii="Arial" w:cs="Arial" w:eastAsia="Arial" w:hAnsi="Arial"/>
          <w:sz w:val="16"/>
          <w:szCs w:val="16"/>
          <w:color w:val="auto"/>
        </w:rPr>
        <w:t xml:space="preserve">As of December 2003, there were 232 companies listed on the </w:t>
      </w:r>
      <w:r>
        <w:rPr>
          <w:rFonts w:ascii="Arial" w:cs="Arial" w:eastAsia="Arial" w:hAnsi="Arial"/>
          <w:sz w:val="16"/>
          <w:szCs w:val="16"/>
          <w:i w:val="1"/>
          <w:iCs w:val="1"/>
          <w:color w:val="auto"/>
        </w:rPr>
        <w:t>Bolsa de Valores de Lima</w:t>
      </w:r>
      <w:r>
        <w:rPr>
          <w:rFonts w:ascii="Arial" w:cs="Arial" w:eastAsia="Arial" w:hAnsi="Arial"/>
          <w:sz w:val="16"/>
          <w:szCs w:val="16"/>
          <w:color w:val="auto"/>
        </w:rPr>
        <w:t xml:space="preserve"> (Lima Stock Exchange), Perú’s only securities exchange, which was established in 1970. Trading on the Lima Stock Exchange is primarily done on an electronic trading system that became operational in August 1995. Trading hours are Monday through Friday as follows: 9:00 a.m.—9:30 a.m. (pre-market ordering); 9:30 a.m.—1:30 p.m. (trading); and, 1:30 p.m.—2:00 p.m. (after market sales). Equity securities may also be traded in an open outcry auction floor session, which was the exclusive method of trading equity securities prior to the introduction of electronic trading. Nearly 100% of transactions currently take place on the electronic system.</w:t>
      </w:r>
    </w:p>
    <w:p>
      <w:pPr>
        <w:spacing w:after="0" w:line="170" w:lineRule="exact"/>
        <w:rPr>
          <w:sz w:val="20"/>
          <w:szCs w:val="20"/>
          <w:color w:val="auto"/>
        </w:rPr>
      </w:pPr>
    </w:p>
    <w:p>
      <w:pPr>
        <w:jc w:val="both"/>
        <w:ind w:firstLine="183"/>
        <w:spacing w:after="0" w:line="256" w:lineRule="auto"/>
        <w:rPr>
          <w:sz w:val="20"/>
          <w:szCs w:val="20"/>
          <w:color w:val="auto"/>
        </w:rPr>
      </w:pPr>
      <w:r>
        <w:rPr>
          <w:rFonts w:ascii="Arial" w:cs="Arial" w:eastAsia="Arial" w:hAnsi="Arial"/>
          <w:sz w:val="18"/>
          <w:szCs w:val="18"/>
          <w:color w:val="auto"/>
        </w:rPr>
        <w:t>Transactions during both open outcry and electronic sessions are executed through brokerage firms and stock brokers on behalf of their clients. Brokers submit their orders in strict accordance with written instructions, following the chronological order of the receipt. The orders specify the type of security ordered or offered, the amounts, and the price of the sale or purchase, as the case may be. In general, share prices are permitted to increase or decrease up to 10% within a single trading day.</w:t>
      </w:r>
    </w:p>
    <w:p>
      <w:pPr>
        <w:spacing w:after="0" w:line="197" w:lineRule="exact"/>
        <w:rPr>
          <w:sz w:val="20"/>
          <w:szCs w:val="20"/>
          <w:color w:val="auto"/>
        </w:rPr>
      </w:pPr>
    </w:p>
    <w:p>
      <w:pPr>
        <w:jc w:val="both"/>
        <w:ind w:firstLine="240"/>
        <w:spacing w:after="0" w:line="289" w:lineRule="auto"/>
        <w:rPr>
          <w:sz w:val="20"/>
          <w:szCs w:val="20"/>
          <w:color w:val="auto"/>
        </w:rPr>
      </w:pPr>
      <w:r>
        <w:rPr>
          <w:rFonts w:ascii="Arial" w:cs="Arial" w:eastAsia="Arial" w:hAnsi="Arial"/>
          <w:sz w:val="16"/>
          <w:szCs w:val="16"/>
          <w:color w:val="auto"/>
        </w:rPr>
        <w:t>The Peruvian stock market capitalization increased, in U.S. Dollar terms, 93.3%, 60.5%, 43.4%, 18.3%, and 25.6% in 1993, 1994, 1995, 1996, and 1997, respectively, decreased 36.5% during 1998, but grew 21.5% in 1999, declined 21.6% during 2000, but grew 3.3% in 2001, again by 15.9% in 2002 and a further 27.7% in 2003. Volume in the Peruvian market is highly concentrated, with the ten most actively traded companies representing approximately 77% of total traded value of equity securities during 2003. Total traded volume has increased from US$1.98 billion in 1993 to US$4.05 billion in 1994, to US$5.28 billion in 1995, to US$8.49 billion in 1996, to US$12.1 billion in 1997, but decreased to US$7.7 billion in 1998, to US$4.7 billion in 1999, to US$3.6 billion in 2000, to US$3.4 billion in 2001, to US$2.9 billion in 2002 and further to US$2.3 billion in 2003. Average daily traded volume increased from US$3.0 million in late 1992 to US$48.3 million during 1997, then declined to US$31.3 million in 1998, to US$18.9 million in 1999, to US$14.4 million in 2000, to US$13.8 million in 2001, to US$11.7 million in 2002 and further to US$9.0 million for the year ended December 31, 2003.</w:t>
      </w:r>
    </w:p>
    <w:p>
      <w:pPr>
        <w:spacing w:after="0" w:line="172" w:lineRule="exact"/>
        <w:rPr>
          <w:sz w:val="20"/>
          <w:szCs w:val="20"/>
          <w:color w:val="auto"/>
        </w:rPr>
      </w:pPr>
    </w:p>
    <w:p>
      <w:pPr>
        <w:jc w:val="both"/>
        <w:ind w:firstLine="183"/>
        <w:spacing w:after="0" w:line="306"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Indice General de la Bolsa de Valores de Lima</w:t>
      </w:r>
      <w:r>
        <w:rPr>
          <w:rFonts w:ascii="Arial" w:cs="Arial" w:eastAsia="Arial" w:hAnsi="Arial"/>
          <w:sz w:val="16"/>
          <w:szCs w:val="16"/>
          <w:color w:val="auto"/>
        </w:rPr>
        <w:t xml:space="preserve"> (the General Index of the Lima Stock Exchange (IGBVL), after increasing, in U.S. Dollar terms, 88.7% in 1993, increased 50.5% in 1994, decreased 17.3% in 1995, increased 2.84% in 1996, increased 18.86% in 1997, decreased 33.9% in 1998, increased 23.3% in 1999, decreased 34.2% in 2000, increased 0.2% in 2001, increased 16.3% in 2002 and increased again by 76.3% in 2003.</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(ii) Market Regulation</w:t>
      </w:r>
    </w:p>
    <w:p>
      <w:pPr>
        <w:spacing w:after="0" w:line="225" w:lineRule="exact"/>
        <w:rPr>
          <w:sz w:val="20"/>
          <w:szCs w:val="20"/>
          <w:color w:val="auto"/>
        </w:rPr>
      </w:pPr>
    </w:p>
    <w:p>
      <w:pPr>
        <w:jc w:val="both"/>
        <w:ind w:firstLine="212"/>
        <w:spacing w:after="0" w:line="298" w:lineRule="auto"/>
        <w:rPr>
          <w:sz w:val="20"/>
          <w:szCs w:val="20"/>
          <w:color w:val="auto"/>
        </w:rPr>
      </w:pPr>
      <w:r>
        <w:rPr>
          <w:rFonts w:ascii="Arial" w:cs="Arial" w:eastAsia="Arial" w:hAnsi="Arial"/>
          <w:sz w:val="16"/>
          <w:szCs w:val="16"/>
          <w:color w:val="auto"/>
        </w:rPr>
        <w:t>As of December 1996, a new Peruvian securities law, Legislative Decree 861 (the “Securities Market Law”), superseded Legislative Decree 755, which had been in effect since November 1991. The rapid development and internationalization of the Peruvian economy brought about the need to modernize Perú’s old securities law. The Securities Market Law addresses such matters as: transparency and disclosure; takeovers and corporate actions; capital market instruments and operations; the securities markets and broker-dealers; and risk rating agencies.</w:t>
      </w:r>
    </w:p>
    <w:p>
      <w:pPr>
        <w:spacing w:after="0" w:line="167" w:lineRule="exact"/>
        <w:rPr>
          <w:sz w:val="20"/>
          <w:szCs w:val="20"/>
          <w:color w:val="auto"/>
        </w:rPr>
      </w:pPr>
    </w:p>
    <w:p>
      <w:pPr>
        <w:jc w:val="both"/>
        <w:ind w:firstLine="203"/>
        <w:spacing w:after="0" w:line="268" w:lineRule="auto"/>
        <w:rPr>
          <w:sz w:val="20"/>
          <w:szCs w:val="20"/>
          <w:color w:val="auto"/>
        </w:rPr>
      </w:pPr>
      <w:r>
        <w:rPr>
          <w:rFonts w:ascii="Arial" w:cs="Arial" w:eastAsia="Arial" w:hAnsi="Arial"/>
          <w:sz w:val="18"/>
          <w:szCs w:val="18"/>
          <w:color w:val="auto"/>
        </w:rPr>
        <w:t>CONASEV, a public entity reporting to Perú’s Ministry of Economy and Finance, was given additional responsibilities relating to the supervision, regulation, and development of the securities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341" w:right="239" w:bottom="1440" w:gutter="0" w:footer="0" w:header="0"/>
        </w:sectPr>
      </w:pPr>
    </w:p>
    <w:bookmarkStart w:id="111" w:name="page112"/>
    <w:bookmarkEnd w:id="111"/>
    <w:p>
      <w:pPr>
        <w:jc w:val="both"/>
        <w:ind w:right="20"/>
        <w:spacing w:after="0" w:line="268" w:lineRule="auto"/>
        <w:rPr>
          <w:sz w:val="20"/>
          <w:szCs w:val="20"/>
          <w:color w:val="auto"/>
        </w:rPr>
      </w:pPr>
      <w:r>
        <w:rPr>
          <w:rFonts w:ascii="Arial" w:cs="Arial" w:eastAsia="Arial" w:hAnsi="Arial"/>
          <w:sz w:val="18"/>
          <w:szCs w:val="18"/>
          <w:color w:val="auto"/>
        </w:rPr>
        <w:t>market, while a self-regulatory status was established for the Lima Stock Exchange and its member firms. Additionally, a unified system of guarantees and capital requirements was established for the Lima Stock Exchange and its member firms.</w:t>
      </w:r>
    </w:p>
    <w:p>
      <w:pPr>
        <w:spacing w:after="0" w:line="186" w:lineRule="exact"/>
        <w:rPr>
          <w:sz w:val="20"/>
          <w:szCs w:val="20"/>
          <w:color w:val="auto"/>
        </w:rPr>
      </w:pPr>
    </w:p>
    <w:p>
      <w:pPr>
        <w:jc w:val="both"/>
        <w:ind w:firstLine="294"/>
        <w:spacing w:after="0" w:line="288" w:lineRule="auto"/>
        <w:rPr>
          <w:sz w:val="20"/>
          <w:szCs w:val="20"/>
          <w:color w:val="auto"/>
        </w:rPr>
      </w:pPr>
      <w:r>
        <w:rPr>
          <w:rFonts w:ascii="Arial" w:cs="Arial" w:eastAsia="Arial" w:hAnsi="Arial"/>
          <w:sz w:val="16"/>
          <w:szCs w:val="16"/>
          <w:color w:val="auto"/>
        </w:rPr>
        <w:t>CONASEV is governed by a nine-member board appointed by the government. CONASEV has broad regulatory powers, including supervision of all companies incorporated in Perú as well as Peruvian branches or agencies of foreign corporations, the process of admission of members to the Lima Stock Exchange, the authorization for the creation of exchanges, and the approval of the registration of offerings of securities. CONASEV supervises the securities markets and the dissemination of information to investors. It also governs the operations of the Public Registry of Securities and Brokers, regulates mutual funds and their management companies, monitors compliance with accounting regulations by companies under its supervision and the accuracy of financial statements, and registers and supervises auditors providing accounting services to those companies under CONASEV’s supervision. On August 22, 1995, CONASEV approved regulations governing the public offering of securities in Perú by entities organized outside of Perú and, for the first time, authorized foreign companies to be listed on the Lima Stock Exchange. On October 25, 1995, Credicorp became the first non-Peruvian company to list its shares on the Lima Stock Exchange. See “Item 4. Information on the Company—(B) Business Overview—(11) Supervision and Regulation.”</w:t>
      </w:r>
    </w:p>
    <w:p>
      <w:pPr>
        <w:spacing w:after="0" w:line="174" w:lineRule="exact"/>
        <w:rPr>
          <w:sz w:val="20"/>
          <w:szCs w:val="20"/>
          <w:color w:val="auto"/>
        </w:rPr>
      </w:pPr>
    </w:p>
    <w:p>
      <w:pPr>
        <w:jc w:val="both"/>
        <w:ind w:firstLine="273"/>
        <w:spacing w:after="0" w:line="294" w:lineRule="auto"/>
        <w:rPr>
          <w:sz w:val="20"/>
          <w:szCs w:val="20"/>
          <w:color w:val="auto"/>
        </w:rPr>
      </w:pPr>
      <w:r>
        <w:rPr>
          <w:rFonts w:ascii="Arial" w:cs="Arial" w:eastAsia="Arial" w:hAnsi="Arial"/>
          <w:sz w:val="16"/>
          <w:szCs w:val="16"/>
          <w:color w:val="auto"/>
        </w:rPr>
        <w:t>Pursuant to the Securities Market Law, a guarantee fund must be maintained by the Lima Stock Exchange and funded by its member firms. The actual contributions to be made by the 21 member firms of the Lima Stock Exchange are based on volume traded over the exchange. At present, the fund has approximately S/.20 million (US$5.7 million), which exceeds the target set by the regulations based on the exchange’s total traded volume. In addition to the guarantee fund managed by the Lima Stock Exchange, each member firm is required to maintain a guarantee for operations carried outside the exchange in favor of CONASEV. The manner in which such guarantees are generally established is through stand-by letters of credit issued by local banks.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Selling Shareholders</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Dilution</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Expenses of the issue</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347" w:right="239" w:bottom="1440" w:gutter="0" w:footer="0" w:header="0"/>
        </w:sectPr>
      </w:pPr>
    </w:p>
    <w:bookmarkStart w:id="112" w:name="page113"/>
    <w:bookmarkEnd w:id="112"/>
    <w:p>
      <w:pPr>
        <w:jc w:val="right"/>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ADDITIONAL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Share Capital</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Memorandum and Articles of Association</w:t>
      </w:r>
    </w:p>
    <w:p>
      <w:pPr>
        <w:spacing w:after="0" w:line="231" w:lineRule="exact"/>
        <w:rPr>
          <w:sz w:val="20"/>
          <w:szCs w:val="20"/>
          <w:color w:val="auto"/>
        </w:rPr>
      </w:pPr>
    </w:p>
    <w:p>
      <w:pPr>
        <w:jc w:val="both"/>
        <w:ind w:firstLine="276"/>
        <w:spacing w:after="0" w:line="268" w:lineRule="auto"/>
        <w:rPr>
          <w:sz w:val="20"/>
          <w:szCs w:val="20"/>
          <w:color w:val="auto"/>
        </w:rPr>
      </w:pPr>
      <w:r>
        <w:rPr>
          <w:rFonts w:ascii="Arial" w:cs="Arial" w:eastAsia="Arial" w:hAnsi="Arial"/>
          <w:sz w:val="18"/>
          <w:szCs w:val="18"/>
          <w:color w:val="auto"/>
        </w:rPr>
        <w:t>“Item 10. Additional Information—Memorandum and Articles of Incorporation” from Credicorp’s Annual Report on Form 20-F dated June 27, 2003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Material Contracts</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 of the date hereof, there are no material contracts entered into by Credicorp.</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Exchange Controls</w:t>
      </w:r>
    </w:p>
    <w:p>
      <w:pPr>
        <w:spacing w:after="0" w:line="231" w:lineRule="exact"/>
        <w:rPr>
          <w:sz w:val="20"/>
          <w:szCs w:val="20"/>
          <w:color w:val="auto"/>
        </w:rPr>
      </w:pPr>
    </w:p>
    <w:p>
      <w:pPr>
        <w:jc w:val="both"/>
        <w:ind w:firstLine="226"/>
        <w:spacing w:after="0" w:line="332" w:lineRule="auto"/>
        <w:rPr>
          <w:sz w:val="20"/>
          <w:szCs w:val="20"/>
          <w:color w:val="auto"/>
        </w:rPr>
      </w:pPr>
      <w:r>
        <w:rPr>
          <w:rFonts w:ascii="Arial" w:cs="Arial" w:eastAsia="Arial" w:hAnsi="Arial"/>
          <w:sz w:val="16"/>
          <w:szCs w:val="16"/>
          <w:color w:val="auto"/>
        </w:rPr>
        <w:t>Credicorp has been designated as a non-resident for Bermuda exchange control purposes, and as such there are no restrictions on its ability to transfer non-Bermuda funds in and out of Bermuda or to pay dividends to United States residents who are holders of Common Shares.</w:t>
      </w:r>
    </w:p>
    <w:p>
      <w:pPr>
        <w:spacing w:after="0" w:line="139" w:lineRule="exact"/>
        <w:rPr>
          <w:sz w:val="20"/>
          <w:szCs w:val="20"/>
          <w:color w:val="auto"/>
        </w:rPr>
      </w:pPr>
    </w:p>
    <w:p>
      <w:pPr>
        <w:jc w:val="both"/>
        <w:ind w:right="20" w:firstLine="227"/>
        <w:spacing w:after="0" w:line="259" w:lineRule="auto"/>
        <w:rPr>
          <w:sz w:val="20"/>
          <w:szCs w:val="20"/>
          <w:color w:val="auto"/>
        </w:rPr>
      </w:pPr>
      <w:r>
        <w:rPr>
          <w:rFonts w:ascii="Arial" w:cs="Arial" w:eastAsia="Arial" w:hAnsi="Arial"/>
          <w:sz w:val="18"/>
          <w:szCs w:val="18"/>
          <w:color w:val="auto"/>
        </w:rPr>
        <w:t>As Credicorp relies almost exclusively on dividends from BCP, ASHC, PPS and its other subsidiaries for the payment of dividends to holders of Common Shares and corporate expenses, to the extent these subsidiaries are restricted by law from paying dividends to Credicorp, Credicorp’s ability to pay dividends on the Common Shares will be adversely affected.</w:t>
      </w:r>
    </w:p>
    <w:p>
      <w:pPr>
        <w:spacing w:after="0" w:line="194" w:lineRule="exact"/>
        <w:rPr>
          <w:sz w:val="20"/>
          <w:szCs w:val="20"/>
          <w:color w:val="auto"/>
        </w:rPr>
      </w:pPr>
    </w:p>
    <w:p>
      <w:pPr>
        <w:jc w:val="both"/>
        <w:ind w:firstLine="194"/>
        <w:spacing w:after="0" w:line="306" w:lineRule="auto"/>
        <w:rPr>
          <w:sz w:val="20"/>
          <w:szCs w:val="20"/>
          <w:color w:val="auto"/>
        </w:rPr>
      </w:pPr>
      <w:r>
        <w:rPr>
          <w:rFonts w:ascii="Arial" w:cs="Arial" w:eastAsia="Arial" w:hAnsi="Arial"/>
          <w:sz w:val="16"/>
          <w:szCs w:val="16"/>
          <w:color w:val="auto"/>
        </w:rPr>
        <w:t>In addition, Credicorp presents its financial statements and pays dividends in U.S. Dollars. BCP and PPS prepare their financial statements and pay dividends in Nuevos Soles. The Peruvian currency has been devalued numerous times during the past two decades. If the value of the Nuevo Sol falls relative to the U.S. Dollar between the date of declaration and the date of payment of dividends, the value of such dividends to Credicorp would be adversely affected.</w:t>
      </w:r>
    </w:p>
    <w:p>
      <w:pPr>
        <w:spacing w:after="0" w:line="161" w:lineRule="exact"/>
        <w:rPr>
          <w:sz w:val="20"/>
          <w:szCs w:val="20"/>
          <w:color w:val="auto"/>
        </w:rPr>
      </w:pPr>
    </w:p>
    <w:p>
      <w:pPr>
        <w:jc w:val="both"/>
        <w:ind w:firstLine="252"/>
        <w:spacing w:after="0" w:line="255" w:lineRule="auto"/>
        <w:rPr>
          <w:sz w:val="20"/>
          <w:szCs w:val="20"/>
          <w:color w:val="auto"/>
        </w:rPr>
      </w:pPr>
      <w:r>
        <w:rPr>
          <w:rFonts w:ascii="Arial" w:cs="Arial" w:eastAsia="Arial" w:hAnsi="Arial"/>
          <w:sz w:val="18"/>
          <w:szCs w:val="18"/>
          <w:color w:val="auto"/>
        </w:rPr>
        <w:t>Although substantially all of the customers of BCP, ASHC and PPS are located in Perú, as of December 31, 2003, approximately 83.9% of BCP’s loan portfolio, 100% of ASHC’s loan portfolio and 71.0% of PPS’s premiums were denominated in U.S. Dollars. A devaluation of the Nuevo Sol would therefore have the effect of increasing the cost to the borrower or insured of repaying these loans or making premium payments, in Nuevo Sol terms, which is the currency in which most of the customers of BCP, ASHC and PPS generate revenues. As a result, a devaluation could lead to increased nonperforming loans or unpaid premiums.</w:t>
      </w:r>
    </w:p>
    <w:p>
      <w:pPr>
        <w:spacing w:after="0" w:line="197" w:lineRule="exact"/>
        <w:rPr>
          <w:sz w:val="20"/>
          <w:szCs w:val="20"/>
          <w:color w:val="auto"/>
        </w:rPr>
      </w:pPr>
    </w:p>
    <w:p>
      <w:pPr>
        <w:jc w:val="both"/>
        <w:ind w:firstLine="174"/>
        <w:spacing w:after="0" w:line="298" w:lineRule="auto"/>
        <w:rPr>
          <w:sz w:val="20"/>
          <w:szCs w:val="20"/>
          <w:color w:val="auto"/>
        </w:rPr>
      </w:pPr>
      <w:r>
        <w:rPr>
          <w:rFonts w:ascii="Arial" w:cs="Arial" w:eastAsia="Arial" w:hAnsi="Arial"/>
          <w:sz w:val="16"/>
          <w:szCs w:val="16"/>
          <w:color w:val="auto"/>
        </w:rPr>
        <w:t>Among the economic circumstances that could lead to a devaluation would be a decline in Peruvian foreign reserves to inadequate levels. Although the current level of Perú’s foreign reserves compares favorably with those of other Latin American countries, there can be no assurance that Perú will be able to maintain adequate foreign reserves to meet its foreign currency denominated obligations, or that Perúwill not devalue its currency should its foreign reserves decline. See “Item 4. Information on the Company—(B) Business Overview—(9) Peruvian Government and Economy.”</w:t>
      </w:r>
    </w:p>
    <w:p>
      <w:pPr>
        <w:spacing w:after="0" w:line="167" w:lineRule="exact"/>
        <w:rPr>
          <w:sz w:val="20"/>
          <w:szCs w:val="20"/>
          <w:color w:val="auto"/>
        </w:rPr>
      </w:pPr>
    </w:p>
    <w:p>
      <w:pPr>
        <w:jc w:val="both"/>
        <w:ind w:firstLine="176"/>
        <w:spacing w:after="0" w:line="332" w:lineRule="auto"/>
        <w:rPr>
          <w:sz w:val="20"/>
          <w:szCs w:val="20"/>
          <w:color w:val="auto"/>
        </w:rPr>
      </w:pPr>
      <w:r>
        <w:rPr>
          <w:rFonts w:ascii="Arial" w:cs="Arial" w:eastAsia="Arial" w:hAnsi="Arial"/>
          <w:sz w:val="16"/>
          <w:szCs w:val="16"/>
          <w:color w:val="auto"/>
        </w:rPr>
        <w:t>Since March 1991, there have been no exchange controls in Perú and all foreign exchange transactions are based on free market exchange rates. Prior to March 1991, the Peruvian foreign exchange market consisted of several alternative exchange rates. Additionally, during the last two</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131" w:right="239" w:bottom="1440" w:gutter="0" w:footer="0" w:header="0"/>
        </w:sectPr>
      </w:pPr>
    </w:p>
    <w:bookmarkStart w:id="113" w:name="page114"/>
    <w:bookmarkEnd w:id="113"/>
    <w:p>
      <w:pPr>
        <w:jc w:val="both"/>
        <w:spacing w:after="0" w:line="255" w:lineRule="auto"/>
        <w:rPr>
          <w:sz w:val="20"/>
          <w:szCs w:val="20"/>
          <w:color w:val="auto"/>
        </w:rPr>
      </w:pPr>
      <w:r>
        <w:rPr>
          <w:rFonts w:ascii="Arial" w:cs="Arial" w:eastAsia="Arial" w:hAnsi="Arial"/>
          <w:sz w:val="18"/>
          <w:szCs w:val="18"/>
          <w:color w:val="auto"/>
        </w:rPr>
        <w:t>decades, the Peruvian currency has experienced a significant number of large devaluations and Perú has consequently adopted and operated under various exchange rate control practices and exchange rate determination policies, ranging from strict control over exchange rates to market-determination of rates. Current Peruvian regulations on foreign investment allow the foreign holders of equity shares of Peruvian companies to receive and repatriate 100% of the cash dividends distributed by the company. Such investors are allowed to purchase foreign exchange at free market exchange rates through any member of the Peruvian banking system.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Taxation</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At the present time, there is no Bermuda income or profits tax, withholding tax, capital gains tax, capital transfer tax, estate duty or inheritance tax payable by Credicorp or by its shareholders in respect of its shares. Credicorp has obtained an assurance from the Minister of Finance of Bermuda under the Exempted Undertakings Tax Protection Act 1966 that, in the event that any legislation is enacted in Bermuda imposing any tax computed on profits or income, or computed on any capital asset, gain or appreciation or any tax in the nature of estate duty or inheritance tax, such tax shall not, until March 28, 2016, be applicable to it or to any of its operations or to its shares, debentures or other obligations except insofar as such tax applies to persons ordinarily resident in Bermuda or to any taxes payable by Credicorp in respect of real property owned or leased by it in Bermuda.</w:t>
      </w:r>
    </w:p>
    <w:p>
      <w:pPr>
        <w:spacing w:after="0" w:line="17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As an exempted company, Credicorp is liable to pay in Bermuda an annual government fee based upon its authorized share capital and the premium on its issued Common Shares, which amounted to US$16,695 in 2003 and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Dividends and Paying Agents</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Statement by Experts</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Documents on Display</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documents referred to in this Annual Report are available for inspection at the Registered Office of the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Subsidiary Information</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347" w:right="239" w:bottom="1440" w:gutter="0" w:footer="0" w:header="0"/>
        </w:sectPr>
      </w:pPr>
    </w:p>
    <w:bookmarkStart w:id="114" w:name="page115"/>
    <w:bookmarkEnd w:id="114"/>
    <w:p>
      <w:pPr>
        <w:jc w:val="right"/>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QUANTITATIVE AND QUALITATIVE DISCLOSURES ABOUT MARKET RISK</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Market Risk</w:t>
      </w:r>
    </w:p>
    <w:p>
      <w:pPr>
        <w:spacing w:after="0" w:line="225" w:lineRule="exact"/>
        <w:rPr>
          <w:sz w:val="20"/>
          <w:szCs w:val="20"/>
          <w:color w:val="auto"/>
        </w:rPr>
      </w:pPr>
    </w:p>
    <w:p>
      <w:pPr>
        <w:jc w:val="both"/>
        <w:ind w:right="20" w:firstLine="186"/>
        <w:spacing w:after="0" w:line="259" w:lineRule="auto"/>
        <w:rPr>
          <w:sz w:val="20"/>
          <w:szCs w:val="20"/>
          <w:color w:val="auto"/>
        </w:rPr>
      </w:pPr>
      <w:r>
        <w:rPr>
          <w:rFonts w:ascii="Arial" w:cs="Arial" w:eastAsia="Arial" w:hAnsi="Arial"/>
          <w:sz w:val="18"/>
          <w:szCs w:val="18"/>
          <w:color w:val="auto"/>
        </w:rPr>
        <w:t>Credicorp has specific risk management policies and procedures that structure and delineate exposures to credit risks, market risk, liquidity and, more recently, operational risks (see “Item 4. Information on the Company—(B) Business Overview—(11) Supervision and Regulation—(ii) BCP—Management of Operational Risk”).</w:t>
      </w:r>
    </w:p>
    <w:p>
      <w:pPr>
        <w:spacing w:after="0" w:line="194" w:lineRule="exact"/>
        <w:rPr>
          <w:sz w:val="20"/>
          <w:szCs w:val="20"/>
          <w:color w:val="auto"/>
        </w:rPr>
      </w:pPr>
    </w:p>
    <w:p>
      <w:pPr>
        <w:jc w:val="both"/>
        <w:ind w:firstLine="186"/>
        <w:spacing w:after="0" w:line="256" w:lineRule="auto"/>
        <w:rPr>
          <w:sz w:val="20"/>
          <w:szCs w:val="20"/>
          <w:color w:val="auto"/>
        </w:rPr>
      </w:pPr>
      <w:r>
        <w:rPr>
          <w:rFonts w:ascii="Arial" w:cs="Arial" w:eastAsia="Arial" w:hAnsi="Arial"/>
          <w:sz w:val="18"/>
          <w:szCs w:val="18"/>
          <w:color w:val="auto"/>
        </w:rPr>
        <w:t>Market risk is the risk of loss to future earnings, to fair values, or to future cash flows arising from adverse changes in market rates and prices, such as interest rates, foreign currency exchange rates, commodity prices, and other relevant market or price changes. Market risk is attributed to all market risk sensitive financial instruments, including securities, loans, deposits, borrowings, as well as derivative instruments. Special emphasis is placed in managing exposure due to mismatched positions in maturities, foreign currency and interest rates.</w:t>
      </w:r>
    </w:p>
    <w:p>
      <w:pPr>
        <w:spacing w:after="0" w:line="197" w:lineRule="exact"/>
        <w:rPr>
          <w:sz w:val="20"/>
          <w:szCs w:val="20"/>
          <w:color w:val="auto"/>
        </w:rPr>
      </w:pPr>
    </w:p>
    <w:p>
      <w:pPr>
        <w:jc w:val="both"/>
        <w:ind w:firstLine="262"/>
        <w:spacing w:after="0" w:line="268" w:lineRule="auto"/>
        <w:rPr>
          <w:sz w:val="20"/>
          <w:szCs w:val="20"/>
          <w:color w:val="auto"/>
        </w:rPr>
      </w:pPr>
      <w:r>
        <w:rPr>
          <w:rFonts w:ascii="Arial" w:cs="Arial" w:eastAsia="Arial" w:hAnsi="Arial"/>
          <w:sz w:val="18"/>
          <w:szCs w:val="18"/>
          <w:color w:val="auto"/>
        </w:rPr>
        <w:t>The objective of market risk management is to avoid excessive exposure of earnings and equity to loss and to reduce the volatility inherent in financial instruments.</w:t>
      </w:r>
    </w:p>
    <w:p>
      <w:pPr>
        <w:spacing w:after="0" w:line="186" w:lineRule="exact"/>
        <w:rPr>
          <w:sz w:val="20"/>
          <w:szCs w:val="20"/>
          <w:color w:val="auto"/>
        </w:rPr>
      </w:pPr>
    </w:p>
    <w:p>
      <w:pPr>
        <w:jc w:val="both"/>
        <w:ind w:firstLine="176"/>
        <w:spacing w:after="0" w:line="298" w:lineRule="auto"/>
        <w:rPr>
          <w:sz w:val="20"/>
          <w:szCs w:val="20"/>
          <w:color w:val="auto"/>
        </w:rPr>
      </w:pPr>
      <w:r>
        <w:rPr>
          <w:rFonts w:ascii="Arial" w:cs="Arial" w:eastAsia="Arial" w:hAnsi="Arial"/>
          <w:sz w:val="16"/>
          <w:szCs w:val="16"/>
          <w:color w:val="auto"/>
        </w:rPr>
        <w:t>Credicorp’s primary market risk exposure is that to interest rates as the net interest income is affected primarily by interest rate volatility, and, to a lesser extent, to foreign currency exchange risk. The management of interest rate risk must incorporate the differences between Nuevos Soles and Foreign Currency-based interest-sensitive assets and liabilities. With the exception of foreign currency forward contracts and a limited number of interest rate hedging instruments, Credicorp has not entered into derivative instrument contracts. Credicorp’s policy has been to hedge substantially all of the exchange risk of its forward contracts.</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Asset and Liability Management</w:t>
      </w:r>
    </w:p>
    <w:p>
      <w:pPr>
        <w:spacing w:after="0" w:line="225" w:lineRule="exact"/>
        <w:rPr>
          <w:sz w:val="20"/>
          <w:szCs w:val="20"/>
          <w:color w:val="auto"/>
        </w:rPr>
      </w:pPr>
    </w:p>
    <w:p>
      <w:pPr>
        <w:jc w:val="both"/>
        <w:ind w:firstLine="208"/>
        <w:spacing w:after="0" w:line="298" w:lineRule="auto"/>
        <w:rPr>
          <w:sz w:val="20"/>
          <w:szCs w:val="20"/>
          <w:color w:val="auto"/>
        </w:rPr>
      </w:pPr>
      <w:r>
        <w:rPr>
          <w:rFonts w:ascii="Arial" w:cs="Arial" w:eastAsia="Arial" w:hAnsi="Arial"/>
          <w:sz w:val="16"/>
          <w:szCs w:val="16"/>
          <w:color w:val="auto"/>
        </w:rPr>
        <w:t>Credicorp’s exposure to market risk is a function of its Asset and Liability Management (“ALM”) activities, its trading activities for its own account, and its role as a financial intermediary in customer-related transactions. Credicorp’s ALM policy seeks to ensure sufficient liquidity to meet operational funding requirements, as well as to supervise, measure and control interest rate risks, exchange risks, and market risks on securities trading positions. Credicorp, through its various operating units, applies non-statistical and statistical models, such as the Value-at-Risk (“VaR”) methodology for the ALM tasks.</w:t>
      </w:r>
    </w:p>
    <w:p>
      <w:pPr>
        <w:spacing w:after="0" w:line="167" w:lineRule="exact"/>
        <w:rPr>
          <w:sz w:val="20"/>
          <w:szCs w:val="20"/>
          <w:color w:val="auto"/>
        </w:rPr>
      </w:pPr>
    </w:p>
    <w:p>
      <w:pPr>
        <w:jc w:val="both"/>
        <w:ind w:firstLine="166"/>
        <w:spacing w:after="0" w:line="291" w:lineRule="auto"/>
        <w:rPr>
          <w:sz w:val="20"/>
          <w:szCs w:val="20"/>
          <w:color w:val="auto"/>
        </w:rPr>
      </w:pPr>
      <w:r>
        <w:rPr>
          <w:rFonts w:ascii="Arial" w:cs="Arial" w:eastAsia="Arial" w:hAnsi="Arial"/>
          <w:sz w:val="16"/>
          <w:szCs w:val="16"/>
          <w:color w:val="auto"/>
        </w:rPr>
        <w:t>At BCP, decisions regarding management of liquidity, interest rate policy, foreign exchange position and other significant ALM matters are made by the Market Risk Committee which consists of a member of the Board of Directors, the General Manager, the Executive Vice President, Credicorp’s Senior Vice President, Insurance, two Central Managers, six Division Managers and the Head of the Market Risk Unit. The Committee meets monthly. Day-to-day ALM decisions are made by the Central Manager of Finance and the Treasury Department and reviewed in the weekly senior management meeting. The Market Risk Unit is in charge of the measurement, control and follow-up of all positions that involve market risk exposure. At ASHC, decisions regarding asset and liability management are made by the President and Senior Vice President, Manager of Operations and Administration and the Chief Financial Officer.</w:t>
      </w:r>
    </w:p>
    <w:p>
      <w:pPr>
        <w:spacing w:after="0" w:line="174" w:lineRule="exact"/>
        <w:rPr>
          <w:sz w:val="20"/>
          <w:szCs w:val="20"/>
          <w:color w:val="auto"/>
        </w:rPr>
      </w:pPr>
    </w:p>
    <w:p>
      <w:pPr>
        <w:jc w:val="both"/>
        <w:ind w:firstLine="262"/>
        <w:spacing w:after="0" w:line="259" w:lineRule="auto"/>
        <w:rPr>
          <w:sz w:val="20"/>
          <w:szCs w:val="20"/>
          <w:color w:val="auto"/>
        </w:rPr>
      </w:pPr>
      <w:r>
        <w:rPr>
          <w:rFonts w:ascii="Arial" w:cs="Arial" w:eastAsia="Arial" w:hAnsi="Arial"/>
          <w:sz w:val="18"/>
          <w:szCs w:val="18"/>
          <w:color w:val="auto"/>
        </w:rPr>
        <w:t>Credicorp uses a variety of tools to measure market risks arising from changes in the price of financial instruments and securities prices. Non-statistical methods to measure market risks include: position limits for each trading activity and their allowable risk (“Stop-loss”), daily marking of all positions to market, daily profit and loss statements, position reports, and independent verification of all</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131" w:right="239" w:bottom="1440" w:gutter="0" w:footer="0" w:header="0"/>
        </w:sectPr>
      </w:pPr>
    </w:p>
    <w:bookmarkStart w:id="115" w:name="page116"/>
    <w:bookmarkEnd w:id="115"/>
    <w:p>
      <w:pPr>
        <w:jc w:val="both"/>
        <w:spacing w:after="0" w:line="259" w:lineRule="auto"/>
        <w:rPr>
          <w:sz w:val="20"/>
          <w:szCs w:val="20"/>
          <w:color w:val="auto"/>
        </w:rPr>
      </w:pPr>
      <w:r>
        <w:rPr>
          <w:rFonts w:ascii="Arial" w:cs="Arial" w:eastAsia="Arial" w:hAnsi="Arial"/>
          <w:sz w:val="18"/>
          <w:szCs w:val="18"/>
          <w:color w:val="auto"/>
        </w:rPr>
        <w:t>inventory pricing. The statistical estimation of potential losses under adverse market conditions is considered an important tool in the market risk measurement at Credicorp, and for that purpose the VaR methodology is used for certain market risks in its parametric version at a 99% confidence level. Testing exercises are performed periodically by which VaR estimates are compared with actual results.</w:t>
      </w:r>
    </w:p>
    <w:p>
      <w:pPr>
        <w:spacing w:after="0" w:line="194" w:lineRule="exact"/>
        <w:rPr>
          <w:sz w:val="20"/>
          <w:szCs w:val="20"/>
          <w:color w:val="auto"/>
        </w:rPr>
      </w:pPr>
    </w:p>
    <w:p>
      <w:pPr>
        <w:jc w:val="both"/>
        <w:ind w:firstLine="203"/>
        <w:spacing w:after="0" w:line="256" w:lineRule="auto"/>
        <w:rPr>
          <w:sz w:val="20"/>
          <w:szCs w:val="20"/>
          <w:color w:val="auto"/>
        </w:rPr>
      </w:pPr>
      <w:r>
        <w:rPr>
          <w:rFonts w:ascii="Arial" w:cs="Arial" w:eastAsia="Arial" w:hAnsi="Arial"/>
          <w:sz w:val="18"/>
          <w:szCs w:val="18"/>
          <w:color w:val="auto"/>
        </w:rPr>
        <w:t>BCP prefers two methodologies for measurement of risk due to price fluctuations: Interest Rate Gap and VaR. The Interest Rate Gap approach measures on a monthly basis the exposure of the financial margin to changes in interest rates. This has been complemented by Earnings at Risk (“EAR”) analysis which measures the impact of interest rates changes on the net interest margin, and the Duration Gap, which measures the impact on market values of assets and liabilities in the face of changes in market interest rates.</w:t>
      </w:r>
    </w:p>
    <w:p>
      <w:pPr>
        <w:spacing w:after="0" w:line="197" w:lineRule="exact"/>
        <w:rPr>
          <w:sz w:val="20"/>
          <w:szCs w:val="20"/>
          <w:color w:val="auto"/>
        </w:rPr>
      </w:pPr>
    </w:p>
    <w:p>
      <w:pPr>
        <w:jc w:val="both"/>
        <w:ind w:firstLine="181"/>
        <w:spacing w:after="0" w:line="259" w:lineRule="auto"/>
        <w:rPr>
          <w:sz w:val="20"/>
          <w:szCs w:val="20"/>
          <w:color w:val="auto"/>
        </w:rPr>
      </w:pPr>
      <w:r>
        <w:rPr>
          <w:rFonts w:ascii="Arial" w:cs="Arial" w:eastAsia="Arial" w:hAnsi="Arial"/>
          <w:sz w:val="18"/>
          <w:szCs w:val="18"/>
          <w:color w:val="auto"/>
        </w:rPr>
        <w:t>The VaR, in its historical simulation version, is applied to products managed by the Capital Markets Division that are affected by price risk. This methodology is applied to: (i) the foreign currency positions (“spot” and “forward” foreign currency contracts), (ii) the securities portfolio (fixed income, equities and government bonds), and (iii) money market instruments (certificates and overnight deposits).</w:t>
      </w:r>
    </w:p>
    <w:p>
      <w:pPr>
        <w:spacing w:after="0" w:line="194" w:lineRule="exact"/>
        <w:rPr>
          <w:sz w:val="20"/>
          <w:szCs w:val="20"/>
          <w:color w:val="auto"/>
        </w:rPr>
      </w:pPr>
    </w:p>
    <w:p>
      <w:pPr>
        <w:jc w:val="both"/>
        <w:ind w:firstLine="242"/>
        <w:spacing w:after="0" w:line="294" w:lineRule="auto"/>
        <w:rPr>
          <w:sz w:val="20"/>
          <w:szCs w:val="20"/>
          <w:color w:val="auto"/>
        </w:rPr>
      </w:pPr>
      <w:r>
        <w:rPr>
          <w:rFonts w:ascii="Arial" w:cs="Arial" w:eastAsia="Arial" w:hAnsi="Arial"/>
          <w:sz w:val="16"/>
          <w:szCs w:val="16"/>
          <w:color w:val="auto"/>
        </w:rPr>
        <w:t>Additionally, the risk analysis of the investment portfolio is complemented by various indicators including the Degree of Portfolio Diversification, which measures the concentration of investments taking into account their risk factors, and VaR as a percentage of the investment, which measures the risk level assumed in a specific segment of the portfolio. As of year-end 2003, BCP maintains a Degree of Portfolio Diversification of 78% (57% in 2002) and a ratio of VaR over total portfolio of 0.39% (0.34% in 2002). BCP has established VaR limits and Stop-loss limits alerts as a function of the maximum potential losses in unfavorable market scenarios that it is willing to assume in the portfolio of each type of security.</w:t>
      </w:r>
    </w:p>
    <w:p>
      <w:pPr>
        <w:spacing w:after="0" w:line="170" w:lineRule="exact"/>
        <w:rPr>
          <w:sz w:val="20"/>
          <w:szCs w:val="20"/>
          <w:color w:val="auto"/>
        </w:rPr>
      </w:pPr>
    </w:p>
    <w:p>
      <w:pPr>
        <w:jc w:val="both"/>
        <w:ind w:firstLine="206"/>
        <w:spacing w:after="0" w:line="256" w:lineRule="auto"/>
        <w:rPr>
          <w:sz w:val="20"/>
          <w:szCs w:val="20"/>
          <w:color w:val="auto"/>
        </w:rPr>
      </w:pPr>
      <w:r>
        <w:rPr>
          <w:rFonts w:ascii="Arial" w:cs="Arial" w:eastAsia="Arial" w:hAnsi="Arial"/>
          <w:sz w:val="18"/>
          <w:szCs w:val="18"/>
          <w:color w:val="auto"/>
        </w:rPr>
        <w:t>BCP’s Market Risk Unit issues on a daily basis to the Treasurer and trading managers and weekly to the Chief Financial Officer, reports on positions, profits and losses, VaR results, as well as a series of alerts that have been incorporated using VaR estimates. The Market Risk Committee is provided reports on a monthly basis. Credicorp believes that these procedures, which stress timely communication between the Market Risk Unit and senior management, are important elements of the risk management process.</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following table shows the maturities of Credicorp’s marketable investment securities by type at December 31, 2003. See “Item 4. Information on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 (B) Business Overview—(12) Selected Statistical Information—(ii) Investment Portfolio”:</w:t>
      </w: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After 3 months But</w:t>
            </w: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28"/>
        </w:trPr>
        <w:tc>
          <w:tcPr>
            <w:tcW w:w="4540" w:type="dxa"/>
            <w:vAlign w:val="bottom"/>
          </w:tcPr>
          <w:p>
            <w:pPr>
              <w:spacing w:after="0"/>
              <w:rPr>
                <w:sz w:val="19"/>
                <w:szCs w:val="19"/>
                <w:color w:val="auto"/>
              </w:rPr>
            </w:pPr>
          </w:p>
        </w:tc>
        <w:tc>
          <w:tcPr>
            <w:tcW w:w="1680" w:type="dxa"/>
            <w:vAlign w:val="bottom"/>
          </w:tcPr>
          <w:p>
            <w:pPr>
              <w:jc w:val="right"/>
              <w:ind w:right="132"/>
              <w:spacing w:after="0"/>
              <w:rPr>
                <w:sz w:val="20"/>
                <w:szCs w:val="20"/>
                <w:color w:val="auto"/>
              </w:rPr>
            </w:pPr>
            <w:r>
              <w:rPr>
                <w:rFonts w:ascii="Arial" w:cs="Arial" w:eastAsia="Arial" w:hAnsi="Arial"/>
                <w:sz w:val="18"/>
                <w:szCs w:val="18"/>
                <w:b w:val="1"/>
                <w:bCs w:val="1"/>
                <w:color w:val="auto"/>
              </w:rPr>
              <w:t>Within 3 months</w:t>
            </w:r>
          </w:p>
        </w:tc>
        <w:tc>
          <w:tcPr>
            <w:tcW w:w="20" w:type="dxa"/>
            <w:vAlign w:val="bottom"/>
          </w:tcPr>
          <w:p>
            <w:pPr>
              <w:spacing w:after="0"/>
              <w:rPr>
                <w:sz w:val="19"/>
                <w:szCs w:val="19"/>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within 1 year</w:t>
            </w:r>
          </w:p>
        </w:tc>
        <w:tc>
          <w:tcPr>
            <w:tcW w:w="1720" w:type="dxa"/>
            <w:vAlign w:val="bottom"/>
            <w:gridSpan w:val="2"/>
          </w:tcPr>
          <w:p>
            <w:pPr>
              <w:ind w:left="740"/>
              <w:spacing w:after="0"/>
              <w:rPr>
                <w:sz w:val="20"/>
                <w:szCs w:val="20"/>
                <w:color w:val="auto"/>
              </w:rPr>
            </w:pPr>
            <w:r>
              <w:rPr>
                <w:rFonts w:ascii="Arial" w:cs="Arial" w:eastAsia="Arial" w:hAnsi="Arial"/>
                <w:sz w:val="18"/>
                <w:szCs w:val="18"/>
                <w:b w:val="1"/>
                <w:bCs w:val="1"/>
                <w:color w:val="auto"/>
              </w:rPr>
              <w:t>Total</w:t>
            </w:r>
          </w:p>
        </w:tc>
        <w:tc>
          <w:tcPr>
            <w:tcW w:w="1680" w:type="dxa"/>
            <w:vAlign w:val="bottom"/>
          </w:tcPr>
          <w:p>
            <w:pPr>
              <w:jc w:val="right"/>
              <w:ind w:right="372"/>
              <w:spacing w:after="0"/>
              <w:rPr>
                <w:sz w:val="20"/>
                <w:szCs w:val="20"/>
                <w:color w:val="auto"/>
              </w:rPr>
            </w:pPr>
            <w:r>
              <w:rPr>
                <w:rFonts w:ascii="Arial" w:cs="Arial" w:eastAsia="Arial" w:hAnsi="Arial"/>
                <w:sz w:val="18"/>
                <w:szCs w:val="18"/>
                <w:b w:val="1"/>
                <w:bCs w:val="1"/>
                <w:color w:val="auto"/>
              </w:rPr>
              <w:t>Fair Value</w:t>
            </w:r>
          </w:p>
        </w:tc>
      </w:tr>
      <w:tr>
        <w:trPr>
          <w:trHeight w:val="137"/>
        </w:trPr>
        <w:tc>
          <w:tcPr>
            <w:tcW w:w="45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r>
      <w:tr>
        <w:trPr>
          <w:trHeight w:val="343"/>
        </w:trPr>
        <w:tc>
          <w:tcPr>
            <w:tcW w:w="45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460" w:type="dxa"/>
            <w:vAlign w:val="bottom"/>
            <w:gridSpan w:val="5"/>
          </w:tcPr>
          <w:p>
            <w:pPr>
              <w:ind w:left="20"/>
              <w:spacing w:after="0"/>
              <w:rPr>
                <w:sz w:val="20"/>
                <w:szCs w:val="20"/>
                <w:color w:val="auto"/>
              </w:rPr>
            </w:pPr>
            <w:r>
              <w:rPr>
                <w:rFonts w:ascii="Arial" w:cs="Arial" w:eastAsia="Arial" w:hAnsi="Arial"/>
                <w:sz w:val="18"/>
                <w:szCs w:val="18"/>
                <w:color w:val="auto"/>
                <w:w w:val="88"/>
              </w:rPr>
              <w:t xml:space="preserve">( </w:t>
            </w:r>
            <w:r>
              <w:rPr>
                <w:rFonts w:ascii="Arial" w:cs="Arial" w:eastAsia="Arial" w:hAnsi="Arial"/>
                <w:sz w:val="18"/>
                <w:szCs w:val="18"/>
                <w:i w:val="1"/>
                <w:iCs w:val="1"/>
                <w:color w:val="auto"/>
                <w:w w:val="88"/>
              </w:rPr>
              <w:t>U.S. Dollars in thousands, except percentages)</w:t>
            </w:r>
          </w:p>
        </w:tc>
        <w:tc>
          <w:tcPr>
            <w:tcW w:w="1680" w:type="dxa"/>
            <w:vAlign w:val="bottom"/>
          </w:tcPr>
          <w:p>
            <w:pPr>
              <w:spacing w:after="0"/>
              <w:rPr>
                <w:sz w:val="24"/>
                <w:szCs w:val="24"/>
                <w:color w:val="auto"/>
              </w:rPr>
            </w:pP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Nuevo Sol-denominated:</w:t>
            </w: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43"/>
        </w:trPr>
        <w:tc>
          <w:tcPr>
            <w:tcW w:w="4540" w:type="dxa"/>
            <w:vAlign w:val="bottom"/>
          </w:tcPr>
          <w:p>
            <w:pPr>
              <w:ind w:left="180"/>
              <w:spacing w:after="0"/>
              <w:rPr>
                <w:sz w:val="20"/>
                <w:szCs w:val="20"/>
                <w:color w:val="auto"/>
              </w:rPr>
            </w:pPr>
            <w:r>
              <w:rPr>
                <w:rFonts w:ascii="Arial" w:cs="Arial" w:eastAsia="Arial" w:hAnsi="Arial"/>
                <w:sz w:val="18"/>
                <w:szCs w:val="18"/>
                <w:color w:val="auto"/>
              </w:rPr>
              <w:t>Peruvian Government Bonds</w:t>
            </w:r>
          </w:p>
        </w:tc>
        <w:tc>
          <w:tcPr>
            <w:tcW w:w="1680" w:type="dxa"/>
            <w:vAlign w:val="bottom"/>
          </w:tcPr>
          <w:p>
            <w:pPr>
              <w:jc w:val="right"/>
              <w:spacing w:after="0"/>
              <w:rPr>
                <w:sz w:val="20"/>
                <w:szCs w:val="20"/>
                <w:color w:val="auto"/>
              </w:rPr>
            </w:pPr>
            <w:r>
              <w:rPr>
                <w:rFonts w:ascii="Arial" w:cs="Arial" w:eastAsia="Arial" w:hAnsi="Arial"/>
                <w:sz w:val="18"/>
                <w:szCs w:val="18"/>
                <w:color w:val="auto"/>
              </w:rPr>
              <w:t>US$ 0</w:t>
            </w:r>
          </w:p>
        </w:tc>
        <w:tc>
          <w:tcPr>
            <w:tcW w:w="20" w:type="dxa"/>
            <w:vAlign w:val="bottom"/>
          </w:tcPr>
          <w:p>
            <w:pPr>
              <w:spacing w:after="0"/>
              <w:rPr>
                <w:sz w:val="21"/>
                <w:szCs w:val="21"/>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US$ 28,196</w:t>
            </w:r>
          </w:p>
        </w:tc>
        <w:tc>
          <w:tcPr>
            <w:tcW w:w="1720" w:type="dxa"/>
            <w:vAlign w:val="bottom"/>
            <w:gridSpan w:val="2"/>
          </w:tcPr>
          <w:p>
            <w:pPr>
              <w:ind w:left="860"/>
              <w:spacing w:after="0"/>
              <w:rPr>
                <w:sz w:val="20"/>
                <w:szCs w:val="20"/>
                <w:color w:val="auto"/>
              </w:rPr>
            </w:pPr>
            <w:r>
              <w:rPr>
                <w:rFonts w:ascii="Arial" w:cs="Arial" w:eastAsia="Arial" w:hAnsi="Arial"/>
                <w:sz w:val="18"/>
                <w:szCs w:val="18"/>
                <w:color w:val="auto"/>
                <w:w w:val="88"/>
              </w:rPr>
              <w:t>US$ 28,196</w:t>
            </w:r>
          </w:p>
        </w:tc>
        <w:tc>
          <w:tcPr>
            <w:tcW w:w="1680" w:type="dxa"/>
            <w:vAlign w:val="bottom"/>
          </w:tcPr>
          <w:p>
            <w:pPr>
              <w:jc w:val="right"/>
              <w:spacing w:after="0"/>
              <w:rPr>
                <w:sz w:val="20"/>
                <w:szCs w:val="20"/>
                <w:color w:val="auto"/>
              </w:rPr>
            </w:pPr>
            <w:r>
              <w:rPr>
                <w:rFonts w:ascii="Arial" w:cs="Arial" w:eastAsia="Arial" w:hAnsi="Arial"/>
                <w:sz w:val="18"/>
                <w:szCs w:val="18"/>
                <w:color w:val="auto"/>
              </w:rPr>
              <w:t>US$ 28,196</w:t>
            </w:r>
          </w:p>
        </w:tc>
      </w:tr>
      <w:tr>
        <w:trPr>
          <w:trHeight w:val="243"/>
        </w:trPr>
        <w:tc>
          <w:tcPr>
            <w:tcW w:w="4540" w:type="dxa"/>
            <w:vAlign w:val="bottom"/>
          </w:tcPr>
          <w:p>
            <w:pPr>
              <w:ind w:left="180"/>
              <w:spacing w:after="0"/>
              <w:rPr>
                <w:sz w:val="20"/>
                <w:szCs w:val="20"/>
                <w:color w:val="auto"/>
              </w:rPr>
            </w:pPr>
            <w:r>
              <w:rPr>
                <w:rFonts w:ascii="Arial" w:cs="Arial" w:eastAsia="Arial" w:hAnsi="Arial"/>
                <w:sz w:val="18"/>
                <w:szCs w:val="18"/>
                <w:color w:val="auto"/>
              </w:rPr>
              <w:t>Equity securities</w:t>
            </w:r>
          </w:p>
        </w:tc>
        <w:tc>
          <w:tcPr>
            <w:tcW w:w="1680" w:type="dxa"/>
            <w:vAlign w:val="bottom"/>
          </w:tcPr>
          <w:p>
            <w:pPr>
              <w:jc w:val="right"/>
              <w:spacing w:after="0"/>
              <w:rPr>
                <w:sz w:val="20"/>
                <w:szCs w:val="20"/>
                <w:color w:val="auto"/>
              </w:rPr>
            </w:pPr>
            <w:r>
              <w:rPr>
                <w:rFonts w:ascii="Arial" w:cs="Arial" w:eastAsia="Arial" w:hAnsi="Arial"/>
                <w:sz w:val="18"/>
                <w:szCs w:val="18"/>
                <w:color w:val="auto"/>
              </w:rPr>
              <w:t>3,392</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0</w:t>
            </w:r>
          </w:p>
        </w:tc>
        <w:tc>
          <w:tcPr>
            <w:tcW w:w="1700" w:type="dxa"/>
            <w:vAlign w:val="bottom"/>
          </w:tcPr>
          <w:p>
            <w:pPr>
              <w:jc w:val="right"/>
              <w:spacing w:after="0"/>
              <w:rPr>
                <w:sz w:val="20"/>
                <w:szCs w:val="20"/>
                <w:color w:val="auto"/>
              </w:rPr>
            </w:pPr>
            <w:r>
              <w:rPr>
                <w:rFonts w:ascii="Arial" w:cs="Arial" w:eastAsia="Arial" w:hAnsi="Arial"/>
                <w:sz w:val="18"/>
                <w:szCs w:val="18"/>
                <w:color w:val="auto"/>
              </w:rPr>
              <w:t>3,392</w:t>
            </w:r>
          </w:p>
        </w:tc>
        <w:tc>
          <w:tcPr>
            <w:tcW w:w="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3,392</w:t>
            </w:r>
          </w:p>
        </w:tc>
      </w:tr>
      <w:tr>
        <w:trPr>
          <w:trHeight w:val="243"/>
        </w:trPr>
        <w:tc>
          <w:tcPr>
            <w:tcW w:w="4540" w:type="dxa"/>
            <w:vAlign w:val="bottom"/>
          </w:tcPr>
          <w:p>
            <w:pPr>
              <w:ind w:left="180"/>
              <w:spacing w:after="0"/>
              <w:rPr>
                <w:sz w:val="20"/>
                <w:szCs w:val="20"/>
                <w:color w:val="auto"/>
              </w:rPr>
            </w:pPr>
            <w:r>
              <w:rPr>
                <w:rFonts w:ascii="Arial" w:cs="Arial" w:eastAsia="Arial" w:hAnsi="Arial"/>
                <w:sz w:val="18"/>
                <w:szCs w:val="18"/>
                <w:color w:val="auto"/>
              </w:rPr>
              <w:t>Bonds and debentures</w:t>
            </w:r>
          </w:p>
        </w:tc>
        <w:tc>
          <w:tcPr>
            <w:tcW w:w="1680" w:type="dxa"/>
            <w:vAlign w:val="bottom"/>
          </w:tcPr>
          <w:p>
            <w:pPr>
              <w:jc w:val="right"/>
              <w:spacing w:after="0"/>
              <w:rPr>
                <w:sz w:val="20"/>
                <w:szCs w:val="20"/>
                <w:color w:val="auto"/>
              </w:rPr>
            </w:pPr>
            <w:r>
              <w:rPr>
                <w:rFonts w:ascii="Arial" w:cs="Arial" w:eastAsia="Arial" w:hAnsi="Arial"/>
                <w:sz w:val="18"/>
                <w:szCs w:val="18"/>
                <w:color w:val="auto"/>
              </w:rPr>
              <w:t>0</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0</w:t>
            </w:r>
          </w:p>
        </w:tc>
        <w:tc>
          <w:tcPr>
            <w:tcW w:w="17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43"/>
        </w:trPr>
        <w:tc>
          <w:tcPr>
            <w:tcW w:w="4540" w:type="dxa"/>
            <w:vAlign w:val="bottom"/>
          </w:tcPr>
          <w:p>
            <w:pPr>
              <w:ind w:left="180"/>
              <w:spacing w:after="0"/>
              <w:rPr>
                <w:sz w:val="20"/>
                <w:szCs w:val="20"/>
                <w:color w:val="auto"/>
              </w:rPr>
            </w:pPr>
            <w:r>
              <w:rPr>
                <w:rFonts w:ascii="Arial" w:cs="Arial" w:eastAsia="Arial" w:hAnsi="Arial"/>
                <w:sz w:val="18"/>
                <w:szCs w:val="18"/>
                <w:color w:val="auto"/>
              </w:rPr>
              <w:t>Peruvian Central Bank certificate notes</w:t>
            </w:r>
          </w:p>
        </w:tc>
        <w:tc>
          <w:tcPr>
            <w:tcW w:w="1680" w:type="dxa"/>
            <w:vAlign w:val="bottom"/>
          </w:tcPr>
          <w:p>
            <w:pPr>
              <w:jc w:val="right"/>
              <w:spacing w:after="0"/>
              <w:rPr>
                <w:sz w:val="20"/>
                <w:szCs w:val="20"/>
                <w:color w:val="auto"/>
              </w:rPr>
            </w:pPr>
            <w:r>
              <w:rPr>
                <w:rFonts w:ascii="Arial" w:cs="Arial" w:eastAsia="Arial" w:hAnsi="Arial"/>
                <w:sz w:val="18"/>
                <w:szCs w:val="18"/>
                <w:color w:val="auto"/>
              </w:rPr>
              <w:t>0</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0</w:t>
            </w:r>
          </w:p>
        </w:tc>
        <w:tc>
          <w:tcPr>
            <w:tcW w:w="17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43"/>
        </w:trPr>
        <w:tc>
          <w:tcPr>
            <w:tcW w:w="4540" w:type="dxa"/>
            <w:vAlign w:val="bottom"/>
          </w:tcPr>
          <w:p>
            <w:pPr>
              <w:ind w:left="180"/>
              <w:spacing w:after="0"/>
              <w:rPr>
                <w:sz w:val="20"/>
                <w:szCs w:val="20"/>
                <w:color w:val="auto"/>
              </w:rPr>
            </w:pPr>
            <w:r>
              <w:rPr>
                <w:rFonts w:ascii="Arial" w:cs="Arial" w:eastAsia="Arial" w:hAnsi="Arial"/>
                <w:sz w:val="18"/>
                <w:szCs w:val="18"/>
                <w:color w:val="auto"/>
              </w:rPr>
              <w:t>Other investments</w:t>
            </w:r>
          </w:p>
        </w:tc>
        <w:tc>
          <w:tcPr>
            <w:tcW w:w="1680" w:type="dxa"/>
            <w:vAlign w:val="bottom"/>
          </w:tcPr>
          <w:p>
            <w:pPr>
              <w:jc w:val="right"/>
              <w:spacing w:after="0"/>
              <w:rPr>
                <w:sz w:val="20"/>
                <w:szCs w:val="20"/>
                <w:color w:val="auto"/>
              </w:rPr>
            </w:pPr>
            <w:r>
              <w:rPr>
                <w:rFonts w:ascii="Arial" w:cs="Arial" w:eastAsia="Arial" w:hAnsi="Arial"/>
                <w:sz w:val="18"/>
                <w:szCs w:val="18"/>
                <w:color w:val="auto"/>
              </w:rPr>
              <w:t>0</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0</w:t>
            </w:r>
          </w:p>
        </w:tc>
        <w:tc>
          <w:tcPr>
            <w:tcW w:w="17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137"/>
        </w:trPr>
        <w:tc>
          <w:tcPr>
            <w:tcW w:w="45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r>
      <w:tr>
        <w:trPr>
          <w:trHeight w:val="343"/>
        </w:trPr>
        <w:tc>
          <w:tcPr>
            <w:tcW w:w="4540" w:type="dxa"/>
            <w:vAlign w:val="bottom"/>
          </w:tcPr>
          <w:p>
            <w:pPr>
              <w:spacing w:after="0"/>
              <w:rPr>
                <w:sz w:val="20"/>
                <w:szCs w:val="20"/>
                <w:color w:val="auto"/>
              </w:rPr>
            </w:pPr>
            <w:r>
              <w:rPr>
                <w:rFonts w:ascii="Arial" w:cs="Arial" w:eastAsia="Arial" w:hAnsi="Arial"/>
                <w:sz w:val="18"/>
                <w:szCs w:val="18"/>
                <w:color w:val="auto"/>
              </w:rPr>
              <w:t>Total Nuevo Sol-denominated</w:t>
            </w:r>
          </w:p>
        </w:tc>
        <w:tc>
          <w:tcPr>
            <w:tcW w:w="1680" w:type="dxa"/>
            <w:vAlign w:val="bottom"/>
          </w:tcPr>
          <w:p>
            <w:pPr>
              <w:jc w:val="right"/>
              <w:spacing w:after="0"/>
              <w:rPr>
                <w:sz w:val="20"/>
                <w:szCs w:val="20"/>
                <w:color w:val="auto"/>
              </w:rPr>
            </w:pPr>
            <w:r>
              <w:rPr>
                <w:rFonts w:ascii="Arial" w:cs="Arial" w:eastAsia="Arial" w:hAnsi="Arial"/>
                <w:sz w:val="18"/>
                <w:szCs w:val="18"/>
                <w:color w:val="auto"/>
              </w:rPr>
              <w:t>US$ 3,392</w:t>
            </w:r>
          </w:p>
        </w:tc>
        <w:tc>
          <w:tcPr>
            <w:tcW w:w="20" w:type="dxa"/>
            <w:vAlign w:val="bottom"/>
          </w:tcPr>
          <w:p>
            <w:pPr>
              <w:spacing w:after="0"/>
              <w:rPr>
                <w:sz w:val="24"/>
                <w:szCs w:val="24"/>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US$ 28,196</w:t>
            </w:r>
          </w:p>
        </w:tc>
        <w:tc>
          <w:tcPr>
            <w:tcW w:w="1720" w:type="dxa"/>
            <w:vAlign w:val="bottom"/>
            <w:gridSpan w:val="2"/>
          </w:tcPr>
          <w:p>
            <w:pPr>
              <w:ind w:left="860"/>
              <w:spacing w:after="0"/>
              <w:rPr>
                <w:sz w:val="20"/>
                <w:szCs w:val="20"/>
                <w:color w:val="auto"/>
              </w:rPr>
            </w:pPr>
            <w:r>
              <w:rPr>
                <w:rFonts w:ascii="Arial" w:cs="Arial" w:eastAsia="Arial" w:hAnsi="Arial"/>
                <w:sz w:val="18"/>
                <w:szCs w:val="18"/>
                <w:color w:val="auto"/>
                <w:w w:val="88"/>
              </w:rPr>
              <w:t>US$ 31,588</w:t>
            </w:r>
          </w:p>
        </w:tc>
        <w:tc>
          <w:tcPr>
            <w:tcW w:w="1680" w:type="dxa"/>
            <w:vAlign w:val="bottom"/>
          </w:tcPr>
          <w:p>
            <w:pPr>
              <w:jc w:val="right"/>
              <w:spacing w:after="0"/>
              <w:rPr>
                <w:sz w:val="20"/>
                <w:szCs w:val="20"/>
                <w:color w:val="auto"/>
              </w:rPr>
            </w:pPr>
            <w:r>
              <w:rPr>
                <w:rFonts w:ascii="Arial" w:cs="Arial" w:eastAsia="Arial" w:hAnsi="Arial"/>
                <w:sz w:val="18"/>
                <w:szCs w:val="18"/>
                <w:color w:val="auto"/>
              </w:rPr>
              <w:t>US$ 31,588</w:t>
            </w: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Foreign Currency-denominated:</w:t>
            </w: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43"/>
        </w:trPr>
        <w:tc>
          <w:tcPr>
            <w:tcW w:w="4540" w:type="dxa"/>
            <w:vAlign w:val="bottom"/>
          </w:tcPr>
          <w:p>
            <w:pPr>
              <w:ind w:left="180"/>
              <w:spacing w:after="0"/>
              <w:rPr>
                <w:sz w:val="20"/>
                <w:szCs w:val="20"/>
                <w:color w:val="auto"/>
              </w:rPr>
            </w:pPr>
            <w:r>
              <w:rPr>
                <w:rFonts w:ascii="Arial" w:cs="Arial" w:eastAsia="Arial" w:hAnsi="Arial"/>
                <w:sz w:val="18"/>
                <w:szCs w:val="18"/>
                <w:color w:val="auto"/>
              </w:rPr>
              <w:t>Equity securities</w:t>
            </w:r>
          </w:p>
        </w:tc>
        <w:tc>
          <w:tcPr>
            <w:tcW w:w="1680" w:type="dxa"/>
            <w:vAlign w:val="bottom"/>
          </w:tcPr>
          <w:p>
            <w:pPr>
              <w:jc w:val="right"/>
              <w:spacing w:after="0"/>
              <w:rPr>
                <w:sz w:val="20"/>
                <w:szCs w:val="20"/>
                <w:color w:val="auto"/>
              </w:rPr>
            </w:pPr>
            <w:r>
              <w:rPr>
                <w:rFonts w:ascii="Arial" w:cs="Arial" w:eastAsia="Arial" w:hAnsi="Arial"/>
                <w:sz w:val="18"/>
                <w:szCs w:val="18"/>
                <w:color w:val="auto"/>
              </w:rPr>
              <w:t>US$ 10,636</w:t>
            </w:r>
          </w:p>
        </w:tc>
        <w:tc>
          <w:tcPr>
            <w:tcW w:w="20" w:type="dxa"/>
            <w:vAlign w:val="bottom"/>
          </w:tcPr>
          <w:p>
            <w:pPr>
              <w:spacing w:after="0"/>
              <w:rPr>
                <w:sz w:val="21"/>
                <w:szCs w:val="21"/>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US$ 0</w:t>
            </w:r>
          </w:p>
        </w:tc>
        <w:tc>
          <w:tcPr>
            <w:tcW w:w="1720" w:type="dxa"/>
            <w:vAlign w:val="bottom"/>
            <w:gridSpan w:val="2"/>
          </w:tcPr>
          <w:p>
            <w:pPr>
              <w:ind w:left="860"/>
              <w:spacing w:after="0"/>
              <w:rPr>
                <w:sz w:val="20"/>
                <w:szCs w:val="20"/>
                <w:color w:val="auto"/>
              </w:rPr>
            </w:pPr>
            <w:r>
              <w:rPr>
                <w:rFonts w:ascii="Arial" w:cs="Arial" w:eastAsia="Arial" w:hAnsi="Arial"/>
                <w:sz w:val="18"/>
                <w:szCs w:val="18"/>
                <w:color w:val="auto"/>
                <w:w w:val="88"/>
              </w:rPr>
              <w:t>US$ 10,636</w:t>
            </w:r>
          </w:p>
        </w:tc>
        <w:tc>
          <w:tcPr>
            <w:tcW w:w="1680" w:type="dxa"/>
            <w:vAlign w:val="bottom"/>
          </w:tcPr>
          <w:p>
            <w:pPr>
              <w:jc w:val="right"/>
              <w:spacing w:after="0"/>
              <w:rPr>
                <w:sz w:val="20"/>
                <w:szCs w:val="20"/>
                <w:color w:val="auto"/>
              </w:rPr>
            </w:pPr>
            <w:r>
              <w:rPr>
                <w:rFonts w:ascii="Arial" w:cs="Arial" w:eastAsia="Arial" w:hAnsi="Arial"/>
                <w:sz w:val="18"/>
                <w:szCs w:val="18"/>
                <w:color w:val="auto"/>
              </w:rPr>
              <w:t>US$ 10,636</w:t>
            </w:r>
          </w:p>
        </w:tc>
      </w:tr>
      <w:tr>
        <w:trPr>
          <w:trHeight w:val="243"/>
        </w:trPr>
        <w:tc>
          <w:tcPr>
            <w:tcW w:w="4540" w:type="dxa"/>
            <w:vAlign w:val="bottom"/>
          </w:tcPr>
          <w:p>
            <w:pPr>
              <w:ind w:left="180"/>
              <w:spacing w:after="0"/>
              <w:rPr>
                <w:sz w:val="20"/>
                <w:szCs w:val="20"/>
                <w:color w:val="auto"/>
              </w:rPr>
            </w:pPr>
            <w:r>
              <w:rPr>
                <w:rFonts w:ascii="Arial" w:cs="Arial" w:eastAsia="Arial" w:hAnsi="Arial"/>
                <w:sz w:val="18"/>
                <w:szCs w:val="18"/>
                <w:color w:val="auto"/>
              </w:rPr>
              <w:t>Bonds</w:t>
            </w:r>
          </w:p>
        </w:tc>
        <w:tc>
          <w:tcPr>
            <w:tcW w:w="1680" w:type="dxa"/>
            <w:vAlign w:val="bottom"/>
          </w:tcPr>
          <w:p>
            <w:pPr>
              <w:jc w:val="right"/>
              <w:spacing w:after="0"/>
              <w:rPr>
                <w:sz w:val="20"/>
                <w:szCs w:val="20"/>
                <w:color w:val="auto"/>
              </w:rPr>
            </w:pPr>
            <w:r>
              <w:rPr>
                <w:rFonts w:ascii="Arial" w:cs="Arial" w:eastAsia="Arial" w:hAnsi="Arial"/>
                <w:sz w:val="18"/>
                <w:szCs w:val="18"/>
                <w:color w:val="auto"/>
              </w:rPr>
              <w:t>0</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21,642</w:t>
            </w:r>
          </w:p>
        </w:tc>
        <w:tc>
          <w:tcPr>
            <w:tcW w:w="1700" w:type="dxa"/>
            <w:vAlign w:val="bottom"/>
          </w:tcPr>
          <w:p>
            <w:pPr>
              <w:jc w:val="right"/>
              <w:spacing w:after="0"/>
              <w:rPr>
                <w:sz w:val="20"/>
                <w:szCs w:val="20"/>
                <w:color w:val="auto"/>
              </w:rPr>
            </w:pPr>
            <w:r>
              <w:rPr>
                <w:rFonts w:ascii="Arial" w:cs="Arial" w:eastAsia="Arial" w:hAnsi="Arial"/>
                <w:sz w:val="18"/>
                <w:szCs w:val="18"/>
                <w:color w:val="auto"/>
              </w:rPr>
              <w:t>21,642</w:t>
            </w:r>
          </w:p>
        </w:tc>
        <w:tc>
          <w:tcPr>
            <w:tcW w:w="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21,642</w:t>
            </w:r>
          </w:p>
        </w:tc>
      </w:tr>
      <w:tr>
        <w:trPr>
          <w:trHeight w:val="243"/>
        </w:trPr>
        <w:tc>
          <w:tcPr>
            <w:tcW w:w="4540" w:type="dxa"/>
            <w:vAlign w:val="bottom"/>
          </w:tcPr>
          <w:p>
            <w:pPr>
              <w:ind w:left="180"/>
              <w:spacing w:after="0"/>
              <w:rPr>
                <w:sz w:val="20"/>
                <w:szCs w:val="20"/>
                <w:color w:val="auto"/>
              </w:rPr>
            </w:pPr>
            <w:r>
              <w:rPr>
                <w:rFonts w:ascii="Arial" w:cs="Arial" w:eastAsia="Arial" w:hAnsi="Arial"/>
                <w:sz w:val="18"/>
                <w:szCs w:val="18"/>
                <w:color w:val="auto"/>
              </w:rPr>
              <w:t>Investment in Peruvian debt</w:t>
            </w:r>
          </w:p>
        </w:tc>
        <w:tc>
          <w:tcPr>
            <w:tcW w:w="1680" w:type="dxa"/>
            <w:vAlign w:val="bottom"/>
          </w:tcPr>
          <w:p>
            <w:pPr>
              <w:jc w:val="right"/>
              <w:spacing w:after="0"/>
              <w:rPr>
                <w:sz w:val="20"/>
                <w:szCs w:val="20"/>
                <w:color w:val="auto"/>
              </w:rPr>
            </w:pPr>
            <w:r>
              <w:rPr>
                <w:rFonts w:ascii="Arial" w:cs="Arial" w:eastAsia="Arial" w:hAnsi="Arial"/>
                <w:sz w:val="18"/>
                <w:szCs w:val="18"/>
                <w:color w:val="auto"/>
              </w:rPr>
              <w:t>0</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0</w:t>
            </w:r>
          </w:p>
        </w:tc>
        <w:tc>
          <w:tcPr>
            <w:tcW w:w="17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43"/>
        </w:trPr>
        <w:tc>
          <w:tcPr>
            <w:tcW w:w="4540" w:type="dxa"/>
            <w:vAlign w:val="bottom"/>
          </w:tcPr>
          <w:p>
            <w:pPr>
              <w:ind w:left="180"/>
              <w:spacing w:after="0"/>
              <w:rPr>
                <w:sz w:val="20"/>
                <w:szCs w:val="20"/>
                <w:color w:val="auto"/>
              </w:rPr>
            </w:pPr>
            <w:r>
              <w:rPr>
                <w:rFonts w:ascii="Arial" w:cs="Arial" w:eastAsia="Arial" w:hAnsi="Arial"/>
                <w:sz w:val="18"/>
                <w:szCs w:val="18"/>
                <w:color w:val="auto"/>
              </w:rPr>
              <w:t>Other investments</w:t>
            </w:r>
          </w:p>
        </w:tc>
        <w:tc>
          <w:tcPr>
            <w:tcW w:w="1680" w:type="dxa"/>
            <w:vAlign w:val="bottom"/>
          </w:tcPr>
          <w:p>
            <w:pPr>
              <w:jc w:val="right"/>
              <w:spacing w:after="0"/>
              <w:rPr>
                <w:sz w:val="20"/>
                <w:szCs w:val="20"/>
                <w:color w:val="auto"/>
              </w:rPr>
            </w:pPr>
            <w:r>
              <w:rPr>
                <w:rFonts w:ascii="Arial" w:cs="Arial" w:eastAsia="Arial" w:hAnsi="Arial"/>
                <w:sz w:val="18"/>
                <w:szCs w:val="18"/>
                <w:color w:val="auto"/>
              </w:rPr>
              <w:t>20,529</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13,755</w:t>
            </w:r>
          </w:p>
        </w:tc>
        <w:tc>
          <w:tcPr>
            <w:tcW w:w="1700" w:type="dxa"/>
            <w:vAlign w:val="bottom"/>
          </w:tcPr>
          <w:p>
            <w:pPr>
              <w:jc w:val="right"/>
              <w:spacing w:after="0"/>
              <w:rPr>
                <w:sz w:val="20"/>
                <w:szCs w:val="20"/>
                <w:color w:val="auto"/>
              </w:rPr>
            </w:pPr>
            <w:r>
              <w:rPr>
                <w:rFonts w:ascii="Arial" w:cs="Arial" w:eastAsia="Arial" w:hAnsi="Arial"/>
                <w:sz w:val="18"/>
                <w:szCs w:val="18"/>
                <w:color w:val="auto"/>
              </w:rPr>
              <w:t>34,284</w:t>
            </w:r>
          </w:p>
        </w:tc>
        <w:tc>
          <w:tcPr>
            <w:tcW w:w="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34,284</w:t>
            </w: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Total Foreign Currency-denominated</w:t>
            </w:r>
          </w:p>
        </w:tc>
        <w:tc>
          <w:tcPr>
            <w:tcW w:w="1680" w:type="dxa"/>
            <w:vAlign w:val="bottom"/>
          </w:tcPr>
          <w:p>
            <w:pPr>
              <w:jc w:val="right"/>
              <w:spacing w:after="0"/>
              <w:rPr>
                <w:sz w:val="20"/>
                <w:szCs w:val="20"/>
                <w:color w:val="auto"/>
              </w:rPr>
            </w:pPr>
            <w:r>
              <w:rPr>
                <w:rFonts w:ascii="Arial" w:cs="Arial" w:eastAsia="Arial" w:hAnsi="Arial"/>
                <w:sz w:val="18"/>
                <w:szCs w:val="18"/>
                <w:color w:val="auto"/>
              </w:rPr>
              <w:t>US$ 31,165</w:t>
            </w:r>
          </w:p>
        </w:tc>
        <w:tc>
          <w:tcPr>
            <w:tcW w:w="20" w:type="dxa"/>
            <w:vAlign w:val="bottom"/>
          </w:tcPr>
          <w:p>
            <w:pPr>
              <w:spacing w:after="0"/>
              <w:rPr>
                <w:sz w:val="21"/>
                <w:szCs w:val="21"/>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US$ 35,397</w:t>
            </w:r>
          </w:p>
        </w:tc>
        <w:tc>
          <w:tcPr>
            <w:tcW w:w="1720" w:type="dxa"/>
            <w:vAlign w:val="bottom"/>
            <w:gridSpan w:val="2"/>
          </w:tcPr>
          <w:p>
            <w:pPr>
              <w:ind w:left="860"/>
              <w:spacing w:after="0"/>
              <w:rPr>
                <w:sz w:val="20"/>
                <w:szCs w:val="20"/>
                <w:color w:val="auto"/>
              </w:rPr>
            </w:pPr>
            <w:r>
              <w:rPr>
                <w:rFonts w:ascii="Arial" w:cs="Arial" w:eastAsia="Arial" w:hAnsi="Arial"/>
                <w:sz w:val="18"/>
                <w:szCs w:val="18"/>
                <w:color w:val="auto"/>
                <w:w w:val="88"/>
              </w:rPr>
              <w:t>US$ 66,562</w:t>
            </w:r>
          </w:p>
        </w:tc>
        <w:tc>
          <w:tcPr>
            <w:tcW w:w="1680" w:type="dxa"/>
            <w:vAlign w:val="bottom"/>
          </w:tcPr>
          <w:p>
            <w:pPr>
              <w:jc w:val="right"/>
              <w:spacing w:after="0"/>
              <w:rPr>
                <w:sz w:val="20"/>
                <w:szCs w:val="20"/>
                <w:color w:val="auto"/>
              </w:rPr>
            </w:pPr>
            <w:r>
              <w:rPr>
                <w:rFonts w:ascii="Arial" w:cs="Arial" w:eastAsia="Arial" w:hAnsi="Arial"/>
                <w:sz w:val="18"/>
                <w:szCs w:val="18"/>
                <w:color w:val="auto"/>
              </w:rPr>
              <w:t>US$ 66,562</w:t>
            </w:r>
          </w:p>
        </w:tc>
      </w:tr>
      <w:tr>
        <w:trPr>
          <w:trHeight w:val="137"/>
        </w:trPr>
        <w:tc>
          <w:tcPr>
            <w:tcW w:w="45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r>
      <w:tr>
        <w:trPr>
          <w:trHeight w:val="343"/>
        </w:trPr>
        <w:tc>
          <w:tcPr>
            <w:tcW w:w="4540" w:type="dxa"/>
            <w:vAlign w:val="bottom"/>
          </w:tcPr>
          <w:p>
            <w:pPr>
              <w:spacing w:after="0"/>
              <w:rPr>
                <w:sz w:val="20"/>
                <w:szCs w:val="20"/>
                <w:color w:val="auto"/>
              </w:rPr>
            </w:pPr>
            <w:r>
              <w:rPr>
                <w:rFonts w:ascii="Arial" w:cs="Arial" w:eastAsia="Arial" w:hAnsi="Arial"/>
                <w:sz w:val="18"/>
                <w:szCs w:val="18"/>
                <w:b w:val="1"/>
                <w:bCs w:val="1"/>
                <w:color w:val="auto"/>
              </w:rPr>
              <w:t>Total securities holdings</w:t>
            </w: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US$ 34,557</w:t>
            </w:r>
          </w:p>
        </w:tc>
        <w:tc>
          <w:tcPr>
            <w:tcW w:w="20" w:type="dxa"/>
            <w:vAlign w:val="bottom"/>
          </w:tcPr>
          <w:p>
            <w:pPr>
              <w:spacing w:after="0"/>
              <w:rPr>
                <w:sz w:val="24"/>
                <w:szCs w:val="24"/>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US$ 63,593</w:t>
            </w:r>
          </w:p>
        </w:tc>
        <w:tc>
          <w:tcPr>
            <w:tcW w:w="1720" w:type="dxa"/>
            <w:vAlign w:val="bottom"/>
            <w:gridSpan w:val="2"/>
          </w:tcPr>
          <w:p>
            <w:pPr>
              <w:ind w:left="860"/>
              <w:spacing w:after="0"/>
              <w:rPr>
                <w:sz w:val="20"/>
                <w:szCs w:val="20"/>
                <w:color w:val="auto"/>
              </w:rPr>
            </w:pPr>
            <w:r>
              <w:rPr>
                <w:rFonts w:ascii="Arial" w:cs="Arial" w:eastAsia="Arial" w:hAnsi="Arial"/>
                <w:sz w:val="18"/>
                <w:szCs w:val="18"/>
                <w:b w:val="1"/>
                <w:bCs w:val="1"/>
                <w:color w:val="auto"/>
                <w:w w:val="88"/>
              </w:rPr>
              <w:t>US$ 98,150</w:t>
            </w: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US$ 98,150</w:t>
            </w:r>
          </w:p>
        </w:tc>
      </w:tr>
      <w:tr>
        <w:trPr>
          <w:trHeight w:val="147"/>
        </w:trPr>
        <w:tc>
          <w:tcPr>
            <w:tcW w:w="4540" w:type="dxa"/>
            <w:vAlign w:val="bottom"/>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r>
      <w:tr>
        <w:trPr>
          <w:trHeight w:val="562"/>
        </w:trPr>
        <w:tc>
          <w:tcPr>
            <w:tcW w:w="4540" w:type="dxa"/>
            <w:vAlign w:val="bottom"/>
          </w:tcPr>
          <w:p>
            <w:pPr>
              <w:spacing w:after="0"/>
              <w:rPr>
                <w:sz w:val="24"/>
                <w:szCs w:val="24"/>
                <w:color w:val="auto"/>
              </w:rPr>
            </w:pPr>
          </w:p>
        </w:tc>
        <w:tc>
          <w:tcPr>
            <w:tcW w:w="1680" w:type="dxa"/>
            <w:vAlign w:val="bottom"/>
          </w:tcPr>
          <w:p>
            <w:pPr>
              <w:jc w:val="right"/>
              <w:ind w:right="332"/>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3954145</wp:posOffset>
            </wp:positionH>
            <wp:positionV relativeFrom="paragraph">
              <wp:posOffset>-3192145</wp:posOffset>
            </wp:positionV>
            <wp:extent cx="34290" cy="342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5043805</wp:posOffset>
            </wp:positionH>
            <wp:positionV relativeFrom="paragraph">
              <wp:posOffset>-3192145</wp:posOffset>
            </wp:positionV>
            <wp:extent cx="34290" cy="342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-3192145</wp:posOffset>
            </wp:positionV>
            <wp:extent cx="34290" cy="342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-3192145</wp:posOffset>
            </wp:positionV>
            <wp:extent cx="34290" cy="342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-1948815</wp:posOffset>
            </wp:positionV>
            <wp:extent cx="34290" cy="342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5043805</wp:posOffset>
            </wp:positionH>
            <wp:positionV relativeFrom="paragraph">
              <wp:posOffset>-1948815</wp:posOffset>
            </wp:positionV>
            <wp:extent cx="34290" cy="342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-1948815</wp:posOffset>
            </wp:positionV>
            <wp:extent cx="34290" cy="342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-1948815</wp:posOffset>
            </wp:positionV>
            <wp:extent cx="34290" cy="342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-705485</wp:posOffset>
            </wp:positionV>
            <wp:extent cx="34290" cy="342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5043805</wp:posOffset>
            </wp:positionH>
            <wp:positionV relativeFrom="paragraph">
              <wp:posOffset>-705485</wp:posOffset>
            </wp:positionV>
            <wp:extent cx="34290" cy="342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-705485</wp:posOffset>
            </wp:positionV>
            <wp:extent cx="34290" cy="342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-705485</wp:posOffset>
            </wp:positionV>
            <wp:extent cx="34290" cy="342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-370840</wp:posOffset>
            </wp:positionV>
            <wp:extent cx="1270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-370840</wp:posOffset>
            </wp:positionV>
            <wp:extent cx="1270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-370840</wp:posOffset>
            </wp:positionV>
            <wp:extent cx="1270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-370840</wp:posOffset>
            </wp:positionV>
            <wp:extent cx="1270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-370840</wp:posOffset>
            </wp:positionV>
            <wp:extent cx="1270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-370840</wp:posOffset>
            </wp:positionV>
            <wp:extent cx="1270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-370840</wp:posOffset>
            </wp:positionV>
            <wp:extent cx="1270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-370840</wp:posOffset>
            </wp:positionV>
            <wp:extent cx="1270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116" w:name="page117"/>
    <w:bookmarkEnd w:id="116"/>
    <w:p>
      <w:pPr>
        <w:jc w:val="both"/>
        <w:ind w:firstLine="221"/>
        <w:spacing w:after="0" w:line="268" w:lineRule="auto"/>
        <w:rPr>
          <w:sz w:val="20"/>
          <w:szCs w:val="20"/>
          <w:color w:val="auto"/>
        </w:rPr>
      </w:pPr>
      <w:r>
        <w:rPr>
          <w:rFonts w:ascii="Arial" w:cs="Arial" w:eastAsia="Arial" w:hAnsi="Arial"/>
          <w:sz w:val="18"/>
          <w:szCs w:val="18"/>
          <w:color w:val="auto"/>
        </w:rPr>
        <w:t>Since 2001, Credicorp applies IAS 39 “Financial Instruments: Recognition and Measurement.” IAS 39 requires that investments be carried at market value, which is similar to their fair values (see Note 3(i) to the Credicorp Consolidated Financial Statements).</w:t>
      </w:r>
    </w:p>
    <w:p>
      <w:pPr>
        <w:spacing w:after="0" w:line="186" w:lineRule="exact"/>
        <w:rPr>
          <w:sz w:val="20"/>
          <w:szCs w:val="20"/>
          <w:color w:val="auto"/>
        </w:rPr>
      </w:pPr>
    </w:p>
    <w:p>
      <w:pPr>
        <w:jc w:val="both"/>
        <w:ind w:firstLine="172"/>
        <w:spacing w:after="0" w:line="268" w:lineRule="auto"/>
        <w:rPr>
          <w:sz w:val="20"/>
          <w:szCs w:val="20"/>
          <w:color w:val="auto"/>
        </w:rPr>
      </w:pPr>
      <w:r>
        <w:rPr>
          <w:rFonts w:ascii="Arial" w:cs="Arial" w:eastAsia="Arial" w:hAnsi="Arial"/>
          <w:sz w:val="18"/>
          <w:szCs w:val="18"/>
          <w:color w:val="auto"/>
        </w:rPr>
        <w:t>The foreign currency-denominated Other investments, US$34.3 million in the preceding table, are principally composed of US$13.8 million of securities issued by central banks other than the Peruvian Central Bank and US$20.5 million of shares in various mutual funds.</w:t>
      </w:r>
    </w:p>
    <w:p>
      <w:pPr>
        <w:spacing w:after="0" w:line="186" w:lineRule="exact"/>
        <w:rPr>
          <w:sz w:val="20"/>
          <w:szCs w:val="20"/>
          <w:color w:val="auto"/>
        </w:rPr>
      </w:pPr>
    </w:p>
    <w:p>
      <w:pPr>
        <w:jc w:val="both"/>
        <w:ind w:firstLine="266"/>
        <w:spacing w:after="0" w:line="306" w:lineRule="auto"/>
        <w:rPr>
          <w:sz w:val="20"/>
          <w:szCs w:val="20"/>
          <w:color w:val="auto"/>
        </w:rPr>
      </w:pPr>
      <w:r>
        <w:rPr>
          <w:rFonts w:ascii="Arial" w:cs="Arial" w:eastAsia="Arial" w:hAnsi="Arial"/>
          <w:sz w:val="16"/>
          <w:szCs w:val="16"/>
          <w:color w:val="auto"/>
        </w:rPr>
        <w:t>Given the relatively higher volatility of Nuevo Sol-denominated interest rates compared to foreign currency-denominated rates, maturities of Nuevo Sol-denominated securities are essentially of shorter term than foreign currency-denominated investments. Peruvian Central Bank certificate notes have an important share in the portfolio mostly because they are actively traded in the secondary capital markets, which facilitates the management of their position.</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shows the maturities of Credicorp’s available for sale investment securities by type at December 31, 2003. See “Item 4. Information on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Company—(B) Business Overview—(12) Selected Statistical Information—(ii) Investment Portfolio”:</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4"/>
              </w:rPr>
              <w:t>Maturing</w:t>
            </w: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0"/>
              </w:rPr>
              <w:t>After 1 year</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7"/>
              </w:rPr>
              <w:t>After 5 years</w:t>
            </w: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But within 5</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But within 10</w:t>
            </w: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54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4"/>
              </w:rPr>
              <w:t>Within 1 year</w:t>
            </w:r>
          </w:p>
        </w:tc>
        <w:tc>
          <w:tcPr>
            <w:tcW w:w="11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4"/>
              </w:rPr>
              <w:t>years</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4"/>
              </w:rPr>
              <w:t>years</w:t>
            </w:r>
          </w:p>
        </w:tc>
        <w:tc>
          <w:tcPr>
            <w:tcW w:w="20" w:type="dxa"/>
            <w:vAlign w:val="bottom"/>
          </w:tcPr>
          <w:p>
            <w:pPr>
              <w:spacing w:after="0"/>
              <w:rPr>
                <w:sz w:val="19"/>
                <w:szCs w:val="19"/>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b w:val="1"/>
                <w:bCs w:val="1"/>
                <w:color w:val="auto"/>
                <w:w w:val="92"/>
              </w:rPr>
              <w:t>After 10 years</w:t>
            </w:r>
          </w:p>
        </w:tc>
        <w:tc>
          <w:tcPr>
            <w:tcW w:w="1140" w:type="dxa"/>
            <w:vAlign w:val="bottom"/>
            <w:gridSpan w:val="2"/>
          </w:tcPr>
          <w:p>
            <w:pPr>
              <w:ind w:left="540"/>
              <w:spacing w:after="0"/>
              <w:rPr>
                <w:sz w:val="20"/>
                <w:szCs w:val="20"/>
                <w:color w:val="auto"/>
              </w:rPr>
            </w:pPr>
            <w:r>
              <w:rPr>
                <w:rFonts w:ascii="Arial" w:cs="Arial" w:eastAsia="Arial" w:hAnsi="Arial"/>
                <w:sz w:val="18"/>
                <w:szCs w:val="18"/>
                <w:b w:val="1"/>
                <w:bCs w:val="1"/>
                <w:color w:val="auto"/>
              </w:rPr>
              <w:t>Total</w:t>
            </w:r>
          </w:p>
        </w:tc>
        <w:tc>
          <w:tcPr>
            <w:tcW w:w="1120" w:type="dxa"/>
            <w:vAlign w:val="bottom"/>
          </w:tcPr>
          <w:p>
            <w:pPr>
              <w:jc w:val="right"/>
              <w:ind w:right="72"/>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137"/>
        </w:trPr>
        <w:tc>
          <w:tcPr>
            <w:tcW w:w="454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43"/>
        </w:trPr>
        <w:tc>
          <w:tcPr>
            <w:tcW w:w="4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00" w:type="dxa"/>
            <w:vAlign w:val="bottom"/>
            <w:gridSpan w:val="4"/>
          </w:tcPr>
          <w:p>
            <w:pPr>
              <w:ind w:left="140"/>
              <w:spacing w:after="0"/>
              <w:rPr>
                <w:sz w:val="20"/>
                <w:szCs w:val="20"/>
                <w:color w:val="auto"/>
              </w:rPr>
            </w:pPr>
            <w:r>
              <w:rPr>
                <w:rFonts w:ascii="Arial" w:cs="Arial" w:eastAsia="Arial" w:hAnsi="Arial"/>
                <w:sz w:val="18"/>
                <w:szCs w:val="18"/>
                <w:color w:val="auto"/>
                <w:w w:val="97"/>
              </w:rPr>
              <w:t xml:space="preserve">( </w:t>
            </w:r>
            <w:r>
              <w:rPr>
                <w:rFonts w:ascii="Arial" w:cs="Arial" w:eastAsia="Arial" w:hAnsi="Arial"/>
                <w:sz w:val="18"/>
                <w:szCs w:val="18"/>
                <w:i w:val="1"/>
                <w:iCs w:val="1"/>
                <w:color w:val="auto"/>
                <w:w w:val="97"/>
              </w:rPr>
              <w:t>U.S. Dollars in thousands)</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Nuevo Sol-denominated:</w:t>
            </w: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220"/>
              <w:spacing w:after="0"/>
              <w:rPr>
                <w:sz w:val="20"/>
                <w:szCs w:val="20"/>
                <w:color w:val="auto"/>
              </w:rPr>
            </w:pPr>
            <w:r>
              <w:rPr>
                <w:rFonts w:ascii="Arial" w:cs="Arial" w:eastAsia="Arial" w:hAnsi="Arial"/>
                <w:sz w:val="18"/>
                <w:szCs w:val="18"/>
                <w:color w:val="auto"/>
              </w:rPr>
              <w:t>Equity securities (1)</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US$ 62,225</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US$ 0</w:t>
            </w:r>
          </w:p>
        </w:tc>
        <w:tc>
          <w:tcPr>
            <w:tcW w:w="1120" w:type="dxa"/>
            <w:vAlign w:val="bottom"/>
          </w:tcPr>
          <w:p>
            <w:pPr>
              <w:jc w:val="right"/>
              <w:spacing w:after="0"/>
              <w:rPr>
                <w:sz w:val="20"/>
                <w:szCs w:val="20"/>
                <w:color w:val="auto"/>
              </w:rPr>
            </w:pPr>
            <w:r>
              <w:rPr>
                <w:rFonts w:ascii="Arial" w:cs="Arial" w:eastAsia="Arial" w:hAnsi="Arial"/>
                <w:sz w:val="18"/>
                <w:szCs w:val="18"/>
                <w:color w:val="auto"/>
              </w:rPr>
              <w:t>US$ 0</w:t>
            </w:r>
          </w:p>
        </w:tc>
        <w:tc>
          <w:tcPr>
            <w:tcW w:w="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US$ 0</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US$62,225</w:t>
            </w:r>
          </w:p>
        </w:tc>
        <w:tc>
          <w:tcPr>
            <w:tcW w:w="1120" w:type="dxa"/>
            <w:vAlign w:val="bottom"/>
          </w:tcPr>
          <w:p>
            <w:pPr>
              <w:jc w:val="right"/>
              <w:spacing w:after="0"/>
              <w:rPr>
                <w:sz w:val="20"/>
                <w:szCs w:val="20"/>
                <w:color w:val="auto"/>
              </w:rPr>
            </w:pPr>
            <w:r>
              <w:rPr>
                <w:rFonts w:ascii="Arial" w:cs="Arial" w:eastAsia="Arial" w:hAnsi="Arial"/>
                <w:sz w:val="18"/>
                <w:szCs w:val="18"/>
                <w:color w:val="auto"/>
              </w:rPr>
              <w:t>US$62,225</w:t>
            </w:r>
          </w:p>
        </w:tc>
        <w:tc>
          <w:tcPr>
            <w:tcW w:w="0" w:type="dxa"/>
            <w:vAlign w:val="bottom"/>
          </w:tcPr>
          <w:p>
            <w:pPr>
              <w:spacing w:after="0"/>
              <w:rPr>
                <w:sz w:val="1"/>
                <w:szCs w:val="1"/>
                <w:color w:val="auto"/>
              </w:rPr>
            </w:pPr>
          </w:p>
        </w:tc>
      </w:tr>
      <w:tr>
        <w:trPr>
          <w:trHeight w:val="243"/>
        </w:trPr>
        <w:tc>
          <w:tcPr>
            <w:tcW w:w="4540" w:type="dxa"/>
            <w:vAlign w:val="bottom"/>
          </w:tcPr>
          <w:p>
            <w:pPr>
              <w:ind w:left="220"/>
              <w:spacing w:after="0"/>
              <w:rPr>
                <w:sz w:val="20"/>
                <w:szCs w:val="20"/>
                <w:color w:val="auto"/>
              </w:rPr>
            </w:pPr>
            <w:r>
              <w:rPr>
                <w:rFonts w:ascii="Arial" w:cs="Arial" w:eastAsia="Arial" w:hAnsi="Arial"/>
                <w:sz w:val="18"/>
                <w:szCs w:val="18"/>
                <w:color w:val="auto"/>
              </w:rPr>
              <w:t>Bonds and debentures</w:t>
            </w:r>
          </w:p>
        </w:tc>
        <w:tc>
          <w:tcPr>
            <w:tcW w:w="1120" w:type="dxa"/>
            <w:vAlign w:val="bottom"/>
          </w:tcPr>
          <w:p>
            <w:pPr>
              <w:jc w:val="right"/>
              <w:spacing w:after="0"/>
              <w:rPr>
                <w:sz w:val="20"/>
                <w:szCs w:val="20"/>
                <w:color w:val="auto"/>
              </w:rPr>
            </w:pPr>
            <w:r>
              <w:rPr>
                <w:rFonts w:ascii="Arial" w:cs="Arial" w:eastAsia="Arial" w:hAnsi="Arial"/>
                <w:sz w:val="18"/>
                <w:szCs w:val="18"/>
                <w:color w:val="auto"/>
              </w:rPr>
              <w:t>768</w:t>
            </w:r>
          </w:p>
        </w:tc>
        <w:tc>
          <w:tcPr>
            <w:tcW w:w="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70,861</w:t>
            </w:r>
          </w:p>
        </w:tc>
        <w:tc>
          <w:tcPr>
            <w:tcW w:w="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5,166</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0</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76,795</w:t>
            </w:r>
          </w:p>
        </w:tc>
        <w:tc>
          <w:tcPr>
            <w:tcW w:w="1120" w:type="dxa"/>
            <w:vAlign w:val="bottom"/>
          </w:tcPr>
          <w:p>
            <w:pPr>
              <w:jc w:val="right"/>
              <w:spacing w:after="0"/>
              <w:rPr>
                <w:sz w:val="20"/>
                <w:szCs w:val="20"/>
                <w:color w:val="auto"/>
              </w:rPr>
            </w:pPr>
            <w:r>
              <w:rPr>
                <w:rFonts w:ascii="Arial" w:cs="Arial" w:eastAsia="Arial" w:hAnsi="Arial"/>
                <w:sz w:val="18"/>
                <w:szCs w:val="18"/>
                <w:color w:val="auto"/>
              </w:rPr>
              <w:t>76,795</w:t>
            </w:r>
          </w:p>
        </w:tc>
        <w:tc>
          <w:tcPr>
            <w:tcW w:w="0" w:type="dxa"/>
            <w:vAlign w:val="bottom"/>
          </w:tcPr>
          <w:p>
            <w:pPr>
              <w:spacing w:after="0"/>
              <w:rPr>
                <w:sz w:val="1"/>
                <w:szCs w:val="1"/>
                <w:color w:val="auto"/>
              </w:rPr>
            </w:pPr>
          </w:p>
        </w:tc>
      </w:tr>
      <w:tr>
        <w:trPr>
          <w:trHeight w:val="243"/>
        </w:trPr>
        <w:tc>
          <w:tcPr>
            <w:tcW w:w="4540" w:type="dxa"/>
            <w:vAlign w:val="bottom"/>
          </w:tcPr>
          <w:p>
            <w:pPr>
              <w:ind w:left="220"/>
              <w:spacing w:after="0"/>
              <w:rPr>
                <w:sz w:val="20"/>
                <w:szCs w:val="20"/>
                <w:color w:val="auto"/>
              </w:rPr>
            </w:pPr>
            <w:r>
              <w:rPr>
                <w:rFonts w:ascii="Arial" w:cs="Arial" w:eastAsia="Arial" w:hAnsi="Arial"/>
                <w:sz w:val="18"/>
                <w:szCs w:val="18"/>
                <w:color w:val="auto"/>
              </w:rPr>
              <w:t>Peruvian Central Bank certif. notes</w:t>
            </w:r>
          </w:p>
        </w:tc>
        <w:tc>
          <w:tcPr>
            <w:tcW w:w="1120" w:type="dxa"/>
            <w:vAlign w:val="bottom"/>
          </w:tcPr>
          <w:p>
            <w:pPr>
              <w:jc w:val="right"/>
              <w:spacing w:after="0"/>
              <w:rPr>
                <w:sz w:val="20"/>
                <w:szCs w:val="20"/>
                <w:color w:val="auto"/>
              </w:rPr>
            </w:pPr>
            <w:r>
              <w:rPr>
                <w:rFonts w:ascii="Arial" w:cs="Arial" w:eastAsia="Arial" w:hAnsi="Arial"/>
                <w:sz w:val="18"/>
                <w:szCs w:val="18"/>
                <w:color w:val="auto"/>
              </w:rPr>
              <w:t>335,386</w:t>
            </w:r>
          </w:p>
        </w:tc>
        <w:tc>
          <w:tcPr>
            <w:tcW w:w="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40,327</w:t>
            </w:r>
          </w:p>
        </w:tc>
        <w:tc>
          <w:tcPr>
            <w:tcW w:w="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0</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375,713</w:t>
            </w:r>
          </w:p>
        </w:tc>
        <w:tc>
          <w:tcPr>
            <w:tcW w:w="1120" w:type="dxa"/>
            <w:vAlign w:val="bottom"/>
          </w:tcPr>
          <w:p>
            <w:pPr>
              <w:jc w:val="right"/>
              <w:spacing w:after="0"/>
              <w:rPr>
                <w:sz w:val="20"/>
                <w:szCs w:val="20"/>
                <w:color w:val="auto"/>
              </w:rPr>
            </w:pPr>
            <w:r>
              <w:rPr>
                <w:rFonts w:ascii="Arial" w:cs="Arial" w:eastAsia="Arial" w:hAnsi="Arial"/>
                <w:sz w:val="18"/>
                <w:szCs w:val="18"/>
                <w:color w:val="auto"/>
              </w:rPr>
              <w:t>375,713</w:t>
            </w:r>
          </w:p>
        </w:tc>
        <w:tc>
          <w:tcPr>
            <w:tcW w:w="0" w:type="dxa"/>
            <w:vAlign w:val="bottom"/>
          </w:tcPr>
          <w:p>
            <w:pPr>
              <w:spacing w:after="0"/>
              <w:rPr>
                <w:sz w:val="1"/>
                <w:szCs w:val="1"/>
                <w:color w:val="auto"/>
              </w:rPr>
            </w:pPr>
          </w:p>
        </w:tc>
      </w:tr>
      <w:tr>
        <w:trPr>
          <w:trHeight w:val="243"/>
        </w:trPr>
        <w:tc>
          <w:tcPr>
            <w:tcW w:w="4540" w:type="dxa"/>
            <w:vAlign w:val="bottom"/>
          </w:tcPr>
          <w:p>
            <w:pPr>
              <w:ind w:left="220"/>
              <w:spacing w:after="0"/>
              <w:rPr>
                <w:sz w:val="20"/>
                <w:szCs w:val="20"/>
                <w:color w:val="auto"/>
              </w:rPr>
            </w:pPr>
            <w:r>
              <w:rPr>
                <w:rFonts w:ascii="Arial" w:cs="Arial" w:eastAsia="Arial" w:hAnsi="Arial"/>
                <w:sz w:val="18"/>
                <w:szCs w:val="18"/>
                <w:color w:val="auto"/>
              </w:rPr>
              <w:t>Other investments</w:t>
            </w:r>
          </w:p>
        </w:tc>
        <w:tc>
          <w:tcPr>
            <w:tcW w:w="1120" w:type="dxa"/>
            <w:vAlign w:val="bottom"/>
          </w:tcPr>
          <w:p>
            <w:pPr>
              <w:jc w:val="right"/>
              <w:spacing w:after="0"/>
              <w:rPr>
                <w:sz w:val="20"/>
                <w:szCs w:val="20"/>
                <w:color w:val="auto"/>
              </w:rPr>
            </w:pPr>
            <w:r>
              <w:rPr>
                <w:rFonts w:ascii="Arial" w:cs="Arial" w:eastAsia="Arial" w:hAnsi="Arial"/>
                <w:sz w:val="18"/>
                <w:szCs w:val="18"/>
                <w:color w:val="auto"/>
              </w:rPr>
              <w:t>15,570</w:t>
            </w:r>
          </w:p>
        </w:tc>
        <w:tc>
          <w:tcPr>
            <w:tcW w:w="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0</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15,570</w:t>
            </w:r>
          </w:p>
        </w:tc>
        <w:tc>
          <w:tcPr>
            <w:tcW w:w="1120" w:type="dxa"/>
            <w:vAlign w:val="bottom"/>
          </w:tcPr>
          <w:p>
            <w:pPr>
              <w:jc w:val="right"/>
              <w:spacing w:after="0"/>
              <w:rPr>
                <w:sz w:val="20"/>
                <w:szCs w:val="20"/>
                <w:color w:val="auto"/>
              </w:rPr>
            </w:pPr>
            <w:r>
              <w:rPr>
                <w:rFonts w:ascii="Arial" w:cs="Arial" w:eastAsia="Arial" w:hAnsi="Arial"/>
                <w:sz w:val="18"/>
                <w:szCs w:val="18"/>
                <w:color w:val="auto"/>
              </w:rPr>
              <w:t>15,570</w:t>
            </w:r>
          </w:p>
        </w:tc>
        <w:tc>
          <w:tcPr>
            <w:tcW w:w="0" w:type="dxa"/>
            <w:vAlign w:val="bottom"/>
          </w:tcPr>
          <w:p>
            <w:pPr>
              <w:spacing w:after="0"/>
              <w:rPr>
                <w:sz w:val="1"/>
                <w:szCs w:val="1"/>
                <w:color w:val="auto"/>
              </w:rPr>
            </w:pPr>
          </w:p>
        </w:tc>
      </w:tr>
      <w:tr>
        <w:trPr>
          <w:trHeight w:val="137"/>
        </w:trPr>
        <w:tc>
          <w:tcPr>
            <w:tcW w:w="454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43"/>
        </w:trPr>
        <w:tc>
          <w:tcPr>
            <w:tcW w:w="4540" w:type="dxa"/>
            <w:vAlign w:val="bottom"/>
          </w:tcPr>
          <w:p>
            <w:pPr>
              <w:ind w:left="40"/>
              <w:spacing w:after="0"/>
              <w:rPr>
                <w:sz w:val="20"/>
                <w:szCs w:val="20"/>
                <w:color w:val="auto"/>
              </w:rPr>
            </w:pPr>
            <w:r>
              <w:rPr>
                <w:rFonts w:ascii="Arial" w:cs="Arial" w:eastAsia="Arial" w:hAnsi="Arial"/>
                <w:sz w:val="18"/>
                <w:szCs w:val="18"/>
                <w:color w:val="auto"/>
              </w:rPr>
              <w:t>Total Nuevo Sol-denominated</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US$413,949</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US$111,188</w:t>
            </w:r>
          </w:p>
        </w:tc>
        <w:tc>
          <w:tcPr>
            <w:tcW w:w="1120" w:type="dxa"/>
            <w:vAlign w:val="bottom"/>
          </w:tcPr>
          <w:p>
            <w:pPr>
              <w:jc w:val="right"/>
              <w:spacing w:after="0"/>
              <w:rPr>
                <w:sz w:val="20"/>
                <w:szCs w:val="20"/>
                <w:color w:val="auto"/>
              </w:rPr>
            </w:pPr>
            <w:r>
              <w:rPr>
                <w:rFonts w:ascii="Arial" w:cs="Arial" w:eastAsia="Arial" w:hAnsi="Arial"/>
                <w:sz w:val="18"/>
                <w:szCs w:val="18"/>
                <w:color w:val="auto"/>
              </w:rPr>
              <w:t>US$ 5,166</w:t>
            </w:r>
          </w:p>
        </w:tc>
        <w:tc>
          <w:tcPr>
            <w:tcW w:w="2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US$ 0</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US$530,303</w:t>
            </w:r>
          </w:p>
        </w:tc>
        <w:tc>
          <w:tcPr>
            <w:tcW w:w="1120" w:type="dxa"/>
            <w:vAlign w:val="bottom"/>
          </w:tcPr>
          <w:p>
            <w:pPr>
              <w:jc w:val="right"/>
              <w:spacing w:after="0"/>
              <w:rPr>
                <w:sz w:val="20"/>
                <w:szCs w:val="20"/>
                <w:color w:val="auto"/>
              </w:rPr>
            </w:pPr>
            <w:r>
              <w:rPr>
                <w:rFonts w:ascii="Arial" w:cs="Arial" w:eastAsia="Arial" w:hAnsi="Arial"/>
                <w:sz w:val="18"/>
                <w:szCs w:val="18"/>
                <w:color w:val="auto"/>
              </w:rPr>
              <w:t>US$530,303</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Foreign Currency-denominated:</w:t>
            </w: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220"/>
              <w:spacing w:after="0"/>
              <w:rPr>
                <w:sz w:val="20"/>
                <w:szCs w:val="20"/>
                <w:color w:val="auto"/>
              </w:rPr>
            </w:pPr>
            <w:r>
              <w:rPr>
                <w:rFonts w:ascii="Arial" w:cs="Arial" w:eastAsia="Arial" w:hAnsi="Arial"/>
                <w:sz w:val="18"/>
                <w:szCs w:val="18"/>
                <w:color w:val="auto"/>
              </w:rPr>
              <w:t>Equity securities</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US$48,899</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US$ 0</w:t>
            </w:r>
          </w:p>
        </w:tc>
        <w:tc>
          <w:tcPr>
            <w:tcW w:w="1120" w:type="dxa"/>
            <w:vAlign w:val="bottom"/>
          </w:tcPr>
          <w:p>
            <w:pPr>
              <w:jc w:val="right"/>
              <w:spacing w:after="0"/>
              <w:rPr>
                <w:sz w:val="20"/>
                <w:szCs w:val="20"/>
                <w:color w:val="auto"/>
              </w:rPr>
            </w:pPr>
            <w:r>
              <w:rPr>
                <w:rFonts w:ascii="Arial" w:cs="Arial" w:eastAsia="Arial" w:hAnsi="Arial"/>
                <w:sz w:val="18"/>
                <w:szCs w:val="18"/>
                <w:color w:val="auto"/>
              </w:rPr>
              <w:t>US$ 0</w:t>
            </w:r>
          </w:p>
        </w:tc>
        <w:tc>
          <w:tcPr>
            <w:tcW w:w="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US$ 0</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US$ 48,899</w:t>
            </w:r>
          </w:p>
        </w:tc>
        <w:tc>
          <w:tcPr>
            <w:tcW w:w="1120" w:type="dxa"/>
            <w:vAlign w:val="bottom"/>
          </w:tcPr>
          <w:p>
            <w:pPr>
              <w:jc w:val="right"/>
              <w:spacing w:after="0"/>
              <w:rPr>
                <w:sz w:val="20"/>
                <w:szCs w:val="20"/>
                <w:color w:val="auto"/>
              </w:rPr>
            </w:pPr>
            <w:r>
              <w:rPr>
                <w:rFonts w:ascii="Arial" w:cs="Arial" w:eastAsia="Arial" w:hAnsi="Arial"/>
                <w:sz w:val="18"/>
                <w:szCs w:val="18"/>
                <w:color w:val="auto"/>
              </w:rPr>
              <w:t>US$ 48,899</w:t>
            </w:r>
          </w:p>
        </w:tc>
        <w:tc>
          <w:tcPr>
            <w:tcW w:w="0" w:type="dxa"/>
            <w:vAlign w:val="bottom"/>
          </w:tcPr>
          <w:p>
            <w:pPr>
              <w:spacing w:after="0"/>
              <w:rPr>
                <w:sz w:val="1"/>
                <w:szCs w:val="1"/>
                <w:color w:val="auto"/>
              </w:rPr>
            </w:pPr>
          </w:p>
        </w:tc>
      </w:tr>
      <w:tr>
        <w:trPr>
          <w:trHeight w:val="243"/>
        </w:trPr>
        <w:tc>
          <w:tcPr>
            <w:tcW w:w="4540" w:type="dxa"/>
            <w:vAlign w:val="bottom"/>
          </w:tcPr>
          <w:p>
            <w:pPr>
              <w:ind w:left="220"/>
              <w:spacing w:after="0"/>
              <w:rPr>
                <w:sz w:val="20"/>
                <w:szCs w:val="20"/>
                <w:color w:val="auto"/>
              </w:rPr>
            </w:pPr>
            <w:r>
              <w:rPr>
                <w:rFonts w:ascii="Arial" w:cs="Arial" w:eastAsia="Arial" w:hAnsi="Arial"/>
                <w:sz w:val="18"/>
                <w:szCs w:val="18"/>
                <w:color w:val="auto"/>
              </w:rPr>
              <w:t>Bonds</w:t>
            </w:r>
          </w:p>
        </w:tc>
        <w:tc>
          <w:tcPr>
            <w:tcW w:w="1120" w:type="dxa"/>
            <w:vAlign w:val="bottom"/>
          </w:tcPr>
          <w:p>
            <w:pPr>
              <w:jc w:val="right"/>
              <w:spacing w:after="0"/>
              <w:rPr>
                <w:sz w:val="20"/>
                <w:szCs w:val="20"/>
                <w:color w:val="auto"/>
              </w:rPr>
            </w:pPr>
            <w:r>
              <w:rPr>
                <w:rFonts w:ascii="Arial" w:cs="Arial" w:eastAsia="Arial" w:hAnsi="Arial"/>
                <w:sz w:val="18"/>
                <w:szCs w:val="18"/>
                <w:color w:val="auto"/>
              </w:rPr>
              <w:t>157,802</w:t>
            </w:r>
          </w:p>
        </w:tc>
        <w:tc>
          <w:tcPr>
            <w:tcW w:w="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557,560</w:t>
            </w:r>
          </w:p>
        </w:tc>
        <w:tc>
          <w:tcPr>
            <w:tcW w:w="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62,817</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0</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778,179</w:t>
            </w:r>
          </w:p>
        </w:tc>
        <w:tc>
          <w:tcPr>
            <w:tcW w:w="1120" w:type="dxa"/>
            <w:vAlign w:val="bottom"/>
          </w:tcPr>
          <w:p>
            <w:pPr>
              <w:jc w:val="right"/>
              <w:spacing w:after="0"/>
              <w:rPr>
                <w:sz w:val="20"/>
                <w:szCs w:val="20"/>
                <w:color w:val="auto"/>
              </w:rPr>
            </w:pPr>
            <w:r>
              <w:rPr>
                <w:rFonts w:ascii="Arial" w:cs="Arial" w:eastAsia="Arial" w:hAnsi="Arial"/>
                <w:sz w:val="18"/>
                <w:szCs w:val="18"/>
                <w:color w:val="auto"/>
              </w:rPr>
              <w:t>778,179</w:t>
            </w:r>
          </w:p>
        </w:tc>
        <w:tc>
          <w:tcPr>
            <w:tcW w:w="0" w:type="dxa"/>
            <w:vAlign w:val="bottom"/>
          </w:tcPr>
          <w:p>
            <w:pPr>
              <w:spacing w:after="0"/>
              <w:rPr>
                <w:sz w:val="1"/>
                <w:szCs w:val="1"/>
                <w:color w:val="auto"/>
              </w:rPr>
            </w:pPr>
          </w:p>
        </w:tc>
      </w:tr>
      <w:tr>
        <w:trPr>
          <w:trHeight w:val="243"/>
        </w:trPr>
        <w:tc>
          <w:tcPr>
            <w:tcW w:w="4540" w:type="dxa"/>
            <w:vAlign w:val="bottom"/>
          </w:tcPr>
          <w:p>
            <w:pPr>
              <w:ind w:left="220"/>
              <w:spacing w:after="0"/>
              <w:rPr>
                <w:sz w:val="20"/>
                <w:szCs w:val="20"/>
                <w:color w:val="auto"/>
              </w:rPr>
            </w:pPr>
            <w:r>
              <w:rPr>
                <w:rFonts w:ascii="Arial" w:cs="Arial" w:eastAsia="Arial" w:hAnsi="Arial"/>
                <w:sz w:val="18"/>
                <w:szCs w:val="18"/>
                <w:color w:val="auto"/>
              </w:rPr>
              <w:t>Investment in Peruvian debt</w:t>
            </w:r>
          </w:p>
        </w:tc>
        <w:tc>
          <w:tcPr>
            <w:tcW w:w="1120" w:type="dxa"/>
            <w:vAlign w:val="bottom"/>
          </w:tcPr>
          <w:p>
            <w:pPr>
              <w:jc w:val="right"/>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62,305</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50,152</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112,457</w:t>
            </w:r>
          </w:p>
        </w:tc>
        <w:tc>
          <w:tcPr>
            <w:tcW w:w="1120" w:type="dxa"/>
            <w:vAlign w:val="bottom"/>
          </w:tcPr>
          <w:p>
            <w:pPr>
              <w:jc w:val="right"/>
              <w:spacing w:after="0"/>
              <w:rPr>
                <w:sz w:val="20"/>
                <w:szCs w:val="20"/>
                <w:color w:val="auto"/>
              </w:rPr>
            </w:pPr>
            <w:r>
              <w:rPr>
                <w:rFonts w:ascii="Arial" w:cs="Arial" w:eastAsia="Arial" w:hAnsi="Arial"/>
                <w:sz w:val="18"/>
                <w:szCs w:val="18"/>
                <w:color w:val="auto"/>
              </w:rPr>
              <w:t>112,457</w:t>
            </w:r>
          </w:p>
        </w:tc>
        <w:tc>
          <w:tcPr>
            <w:tcW w:w="0" w:type="dxa"/>
            <w:vAlign w:val="bottom"/>
          </w:tcPr>
          <w:p>
            <w:pPr>
              <w:spacing w:after="0"/>
              <w:rPr>
                <w:sz w:val="1"/>
                <w:szCs w:val="1"/>
                <w:color w:val="auto"/>
              </w:rPr>
            </w:pPr>
          </w:p>
        </w:tc>
      </w:tr>
      <w:tr>
        <w:trPr>
          <w:trHeight w:val="243"/>
        </w:trPr>
        <w:tc>
          <w:tcPr>
            <w:tcW w:w="4540" w:type="dxa"/>
            <w:vAlign w:val="bottom"/>
          </w:tcPr>
          <w:p>
            <w:pPr>
              <w:ind w:left="220"/>
              <w:spacing w:after="0"/>
              <w:rPr>
                <w:sz w:val="20"/>
                <w:szCs w:val="20"/>
                <w:color w:val="auto"/>
              </w:rPr>
            </w:pPr>
            <w:r>
              <w:rPr>
                <w:rFonts w:ascii="Arial" w:cs="Arial" w:eastAsia="Arial" w:hAnsi="Arial"/>
                <w:sz w:val="18"/>
                <w:szCs w:val="18"/>
                <w:color w:val="auto"/>
              </w:rPr>
              <w:t>Other investments</w:t>
            </w:r>
          </w:p>
        </w:tc>
        <w:tc>
          <w:tcPr>
            <w:tcW w:w="1120" w:type="dxa"/>
            <w:vAlign w:val="bottom"/>
          </w:tcPr>
          <w:p>
            <w:pPr>
              <w:jc w:val="right"/>
              <w:spacing w:after="0"/>
              <w:rPr>
                <w:sz w:val="20"/>
                <w:szCs w:val="20"/>
                <w:color w:val="auto"/>
              </w:rPr>
            </w:pPr>
            <w:r>
              <w:rPr>
                <w:rFonts w:ascii="Arial" w:cs="Arial" w:eastAsia="Arial" w:hAnsi="Arial"/>
                <w:sz w:val="18"/>
                <w:szCs w:val="18"/>
                <w:color w:val="auto"/>
              </w:rPr>
              <w:t>91,943</w:t>
            </w:r>
          </w:p>
        </w:tc>
        <w:tc>
          <w:tcPr>
            <w:tcW w:w="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80,321</w:t>
            </w:r>
          </w:p>
        </w:tc>
        <w:tc>
          <w:tcPr>
            <w:tcW w:w="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0</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172,264</w:t>
            </w:r>
          </w:p>
        </w:tc>
        <w:tc>
          <w:tcPr>
            <w:tcW w:w="1120" w:type="dxa"/>
            <w:vAlign w:val="bottom"/>
          </w:tcPr>
          <w:p>
            <w:pPr>
              <w:jc w:val="right"/>
              <w:spacing w:after="0"/>
              <w:rPr>
                <w:sz w:val="20"/>
                <w:szCs w:val="20"/>
                <w:color w:val="auto"/>
              </w:rPr>
            </w:pPr>
            <w:r>
              <w:rPr>
                <w:rFonts w:ascii="Arial" w:cs="Arial" w:eastAsia="Arial" w:hAnsi="Arial"/>
                <w:sz w:val="18"/>
                <w:szCs w:val="18"/>
                <w:color w:val="auto"/>
              </w:rPr>
              <w:t>172,264</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Total Foreign Currency-denominated</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US$298,644</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US$637,881</w:t>
            </w:r>
          </w:p>
        </w:tc>
        <w:tc>
          <w:tcPr>
            <w:tcW w:w="1120" w:type="dxa"/>
            <w:vAlign w:val="bottom"/>
          </w:tcPr>
          <w:p>
            <w:pPr>
              <w:jc w:val="right"/>
              <w:spacing w:after="0"/>
              <w:rPr>
                <w:sz w:val="20"/>
                <w:szCs w:val="20"/>
                <w:color w:val="auto"/>
              </w:rPr>
            </w:pPr>
            <w:r>
              <w:rPr>
                <w:rFonts w:ascii="Arial" w:cs="Arial" w:eastAsia="Arial" w:hAnsi="Arial"/>
                <w:sz w:val="18"/>
                <w:szCs w:val="18"/>
                <w:color w:val="auto"/>
              </w:rPr>
              <w:t>US$125,122</w:t>
            </w:r>
          </w:p>
        </w:tc>
        <w:tc>
          <w:tcPr>
            <w:tcW w:w="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US$50,152</w:t>
            </w:r>
          </w:p>
        </w:tc>
        <w:tc>
          <w:tcPr>
            <w:tcW w:w="2260" w:type="dxa"/>
            <w:vAlign w:val="bottom"/>
            <w:gridSpan w:val="3"/>
          </w:tcPr>
          <w:p>
            <w:pPr>
              <w:jc w:val="right"/>
              <w:spacing w:after="0"/>
              <w:rPr>
                <w:sz w:val="20"/>
                <w:szCs w:val="20"/>
                <w:color w:val="auto"/>
              </w:rPr>
            </w:pPr>
            <w:r>
              <w:rPr>
                <w:rFonts w:ascii="Arial" w:cs="Arial" w:eastAsia="Arial" w:hAnsi="Arial"/>
                <w:sz w:val="18"/>
                <w:szCs w:val="18"/>
                <w:color w:val="auto"/>
                <w:w w:val="93"/>
              </w:rPr>
              <w:t>US$1,111,799  US$1,111,799</w:t>
            </w:r>
          </w:p>
        </w:tc>
        <w:tc>
          <w:tcPr>
            <w:tcW w:w="0" w:type="dxa"/>
            <w:vAlign w:val="bottom"/>
          </w:tcPr>
          <w:p>
            <w:pPr>
              <w:spacing w:after="0"/>
              <w:rPr>
                <w:sz w:val="1"/>
                <w:szCs w:val="1"/>
                <w:color w:val="auto"/>
              </w:rPr>
            </w:pPr>
          </w:p>
        </w:tc>
      </w:tr>
      <w:tr>
        <w:trPr>
          <w:trHeight w:val="137"/>
        </w:trPr>
        <w:tc>
          <w:tcPr>
            <w:tcW w:w="454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43"/>
        </w:trPr>
        <w:tc>
          <w:tcPr>
            <w:tcW w:w="4540" w:type="dxa"/>
            <w:vAlign w:val="bottom"/>
          </w:tcPr>
          <w:p>
            <w:pPr>
              <w:ind w:left="200"/>
              <w:spacing w:after="0"/>
              <w:rPr>
                <w:sz w:val="20"/>
                <w:szCs w:val="20"/>
                <w:color w:val="auto"/>
              </w:rPr>
            </w:pPr>
            <w:r>
              <w:rPr>
                <w:rFonts w:ascii="Arial" w:cs="Arial" w:eastAsia="Arial" w:hAnsi="Arial"/>
                <w:sz w:val="18"/>
                <w:szCs w:val="18"/>
                <w:b w:val="1"/>
                <w:bCs w:val="1"/>
                <w:color w:val="auto"/>
              </w:rPr>
              <w:t>Total securities holdings</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US$712,593</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US$749,069</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US$ 130,288</w:t>
            </w:r>
          </w:p>
        </w:tc>
        <w:tc>
          <w:tcPr>
            <w:tcW w:w="2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US$50,152</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5"/>
              </w:rPr>
              <w:t>US$1,642,102</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w w:val="95"/>
              </w:rPr>
              <w:t>US$1,642,102</w:t>
            </w:r>
          </w:p>
        </w:tc>
        <w:tc>
          <w:tcPr>
            <w:tcW w:w="0" w:type="dxa"/>
            <w:vAlign w:val="bottom"/>
          </w:tcPr>
          <w:p>
            <w:pPr>
              <w:spacing w:after="0"/>
              <w:rPr>
                <w:sz w:val="1"/>
                <w:szCs w:val="1"/>
                <w:color w:val="auto"/>
              </w:rPr>
            </w:pPr>
          </w:p>
        </w:tc>
      </w:tr>
      <w:tr>
        <w:trPr>
          <w:trHeight w:val="147"/>
        </w:trPr>
        <w:tc>
          <w:tcPr>
            <w:tcW w:w="454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11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46"/>
        </w:trPr>
        <w:tc>
          <w:tcPr>
            <w:tcW w:w="454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3576955</wp:posOffset>
            </wp:positionH>
            <wp:positionV relativeFrom="paragraph">
              <wp:posOffset>-2900680</wp:posOffset>
            </wp:positionV>
            <wp:extent cx="34290" cy="342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-2900680</wp:posOffset>
            </wp:positionV>
            <wp:extent cx="34290" cy="342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-2900680</wp:posOffset>
            </wp:positionV>
            <wp:extent cx="34290" cy="342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-2900680</wp:posOffset>
            </wp:positionV>
            <wp:extent cx="34290" cy="342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-2900680</wp:posOffset>
            </wp:positionV>
            <wp:extent cx="34290" cy="342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-2900680</wp:posOffset>
            </wp:positionV>
            <wp:extent cx="34290" cy="342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3576955</wp:posOffset>
            </wp:positionH>
            <wp:positionV relativeFrom="paragraph">
              <wp:posOffset>-1811655</wp:posOffset>
            </wp:positionV>
            <wp:extent cx="34290" cy="342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-1811655</wp:posOffset>
            </wp:positionV>
            <wp:extent cx="34290" cy="342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-1811655</wp:posOffset>
            </wp:positionV>
            <wp:extent cx="34290" cy="342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-1811655</wp:posOffset>
            </wp:positionV>
            <wp:extent cx="34290" cy="342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-1811655</wp:posOffset>
            </wp:positionV>
            <wp:extent cx="34290" cy="342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-1811655</wp:posOffset>
            </wp:positionV>
            <wp:extent cx="34290" cy="342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3576955</wp:posOffset>
            </wp:positionH>
            <wp:positionV relativeFrom="paragraph">
              <wp:posOffset>-568325</wp:posOffset>
            </wp:positionV>
            <wp:extent cx="34290" cy="342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-568325</wp:posOffset>
            </wp:positionV>
            <wp:extent cx="34290" cy="342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-568325</wp:posOffset>
            </wp:positionV>
            <wp:extent cx="34290" cy="342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-568325</wp:posOffset>
            </wp:positionV>
            <wp:extent cx="34290" cy="342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-568325</wp:posOffset>
            </wp:positionV>
            <wp:extent cx="34290" cy="342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-568325</wp:posOffset>
            </wp:positionV>
            <wp:extent cx="34290" cy="342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-233680</wp:posOffset>
            </wp:positionV>
            <wp:extent cx="1270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2884805</wp:posOffset>
            </wp:positionH>
            <wp:positionV relativeFrom="paragraph">
              <wp:posOffset>-233680</wp:posOffset>
            </wp:positionV>
            <wp:extent cx="1270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-233680</wp:posOffset>
            </wp:positionV>
            <wp:extent cx="1270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-233680</wp:posOffset>
            </wp:positionV>
            <wp:extent cx="1270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-233680</wp:posOffset>
            </wp:positionV>
            <wp:extent cx="1270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-233680</wp:posOffset>
            </wp:positionV>
            <wp:extent cx="1270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-233680</wp:posOffset>
            </wp:positionV>
            <wp:extent cx="1270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-233680</wp:posOffset>
            </wp:positionV>
            <wp:extent cx="1270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-233680</wp:posOffset>
            </wp:positionV>
            <wp:extent cx="1270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-233680</wp:posOffset>
            </wp:positionV>
            <wp:extent cx="1270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-233680</wp:posOffset>
            </wp:positionV>
            <wp:extent cx="1270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-233680</wp:posOffset>
            </wp:positionV>
            <wp:extent cx="1270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600" w:hanging="592"/>
        <w:spacing w:after="0"/>
        <w:tabs>
          <w:tab w:leader="none" w:pos="6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Equity securities in Credicorp’s trading account are categorized as maturing within one year, while other equity securities are categorized according to their maturity.</w:t>
      </w:r>
    </w:p>
    <w:p>
      <w:pPr>
        <w:spacing w:after="0" w:line="197" w:lineRule="exact"/>
        <w:rPr>
          <w:sz w:val="20"/>
          <w:szCs w:val="20"/>
          <w:color w:val="auto"/>
        </w:rPr>
      </w:pPr>
    </w:p>
    <w:p>
      <w:pPr>
        <w:jc w:val="both"/>
        <w:ind w:firstLine="244"/>
        <w:spacing w:after="0" w:line="259" w:lineRule="auto"/>
        <w:rPr>
          <w:sz w:val="20"/>
          <w:szCs w:val="20"/>
          <w:color w:val="auto"/>
        </w:rPr>
      </w:pPr>
      <w:r>
        <w:rPr>
          <w:rFonts w:ascii="Arial" w:cs="Arial" w:eastAsia="Arial" w:hAnsi="Arial"/>
          <w:sz w:val="18"/>
          <w:szCs w:val="18"/>
          <w:color w:val="auto"/>
        </w:rPr>
        <w:t>The foreign currency-denominated Other investments, US$172.3 million in the preceding table, are principally composed of US$60.0 million of shares in various mutual funds, US$54.0 million of securities issued by central banks other than the Peruvian Central Bank and US$53.2 million of certificate notes and commercial paper of other financial institutions.</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Rate Risk Management</w:t>
      </w:r>
    </w:p>
    <w:p>
      <w:pPr>
        <w:spacing w:after="0" w:line="225" w:lineRule="exact"/>
        <w:rPr>
          <w:sz w:val="20"/>
          <w:szCs w:val="20"/>
          <w:color w:val="auto"/>
        </w:rPr>
      </w:pPr>
    </w:p>
    <w:p>
      <w:pPr>
        <w:jc w:val="both"/>
        <w:ind w:firstLine="220"/>
        <w:spacing w:after="0" w:line="298" w:lineRule="auto"/>
        <w:rPr>
          <w:sz w:val="20"/>
          <w:szCs w:val="20"/>
          <w:color w:val="auto"/>
        </w:rPr>
      </w:pPr>
      <w:r>
        <w:rPr>
          <w:rFonts w:ascii="Arial" w:cs="Arial" w:eastAsia="Arial" w:hAnsi="Arial"/>
          <w:sz w:val="16"/>
          <w:szCs w:val="16"/>
          <w:color w:val="auto"/>
        </w:rPr>
        <w:t>A key component of Credicorp’s asset and liability management policy is the management of adverse changes in earnings as a result of changes in interest rates. The management of interest rate risk relates to the timing and magnitude of the repricing of assets compared to liabilities and attempts to control of risks associated with movements in interest rates. Credicorp hedges some of its interest rate risk through the use of interest rate derivative contracts. As part of the management of interest rate risks, BCP’s Market Risk Committee may direct changes in the composition of the balance sheet.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347" w:right="239" w:bottom="1440" w:gutter="0" w:footer="0" w:header="0"/>
        </w:sectPr>
      </w:pPr>
    </w:p>
    <w:bookmarkStart w:id="117" w:name="page118"/>
    <w:bookmarkEnd w:id="117"/>
    <w:p>
      <w:pPr>
        <w:jc w:val="both"/>
        <w:ind w:firstLine="222"/>
        <w:spacing w:after="0" w:line="291" w:lineRule="auto"/>
        <w:rPr>
          <w:sz w:val="20"/>
          <w:szCs w:val="20"/>
          <w:color w:val="auto"/>
        </w:rPr>
      </w:pPr>
      <w:r>
        <w:rPr>
          <w:rFonts w:ascii="Arial" w:cs="Arial" w:eastAsia="Arial" w:hAnsi="Arial"/>
          <w:sz w:val="16"/>
          <w:szCs w:val="16"/>
          <w:color w:val="auto"/>
        </w:rPr>
        <w:t>One method of measuring interest rate risk is by measuring the impact of interest rate changes over the financial margin, or the interest rate sensitivity gap. Interest rate sensitivity is the relationship between market interest rates and net interest income due to the maturity or repricing characteristics of interest-earning assets and interest-bearing liabilities. For any given period, the pricing structure is matched when an equal amount of such assets and liabilities mature or reprice in that period. Any mismatch of interest-earning assets and interest-bearing liabilities is known as a gap position. A negative gap denotes liability sensitivity and normally means that a decrease in interest rates would have a positive effect on net interest income, while an increase in interest rates would have a negative effect on net interest income. The financial margin exposure is usually analyzed for a period limited to a 12-month horizon.</w:t>
      </w:r>
    </w:p>
    <w:p>
      <w:pPr>
        <w:spacing w:after="0" w:line="174" w:lineRule="exact"/>
        <w:rPr>
          <w:sz w:val="20"/>
          <w:szCs w:val="20"/>
          <w:color w:val="auto"/>
        </w:rPr>
      </w:pPr>
    </w:p>
    <w:p>
      <w:pPr>
        <w:jc w:val="both"/>
        <w:ind w:firstLine="166"/>
        <w:spacing w:after="0" w:line="268" w:lineRule="auto"/>
        <w:rPr>
          <w:sz w:val="20"/>
          <w:szCs w:val="20"/>
          <w:color w:val="auto"/>
        </w:rPr>
      </w:pPr>
      <w:r>
        <w:rPr>
          <w:rFonts w:ascii="Arial" w:cs="Arial" w:eastAsia="Arial" w:hAnsi="Arial"/>
          <w:sz w:val="18"/>
          <w:szCs w:val="18"/>
          <w:color w:val="auto"/>
        </w:rPr>
        <w:t>A second measure of interest rate risk extends the period of analysis, considering expected durations of interest rate-sensitive assets and liabilities, to determine variations in their economic value due to interest rates changes.</w:t>
      </w:r>
    </w:p>
    <w:p>
      <w:pPr>
        <w:spacing w:after="0" w:line="186" w:lineRule="exact"/>
        <w:rPr>
          <w:sz w:val="20"/>
          <w:szCs w:val="20"/>
          <w:color w:val="auto"/>
        </w:rPr>
      </w:pPr>
    </w:p>
    <w:p>
      <w:pPr>
        <w:jc w:val="both"/>
        <w:ind w:firstLine="193"/>
        <w:spacing w:after="0" w:line="254" w:lineRule="auto"/>
        <w:rPr>
          <w:sz w:val="20"/>
          <w:szCs w:val="20"/>
          <w:color w:val="auto"/>
        </w:rPr>
      </w:pPr>
      <w:r>
        <w:rPr>
          <w:rFonts w:ascii="Arial" w:cs="Arial" w:eastAsia="Arial" w:hAnsi="Arial"/>
          <w:sz w:val="18"/>
          <w:szCs w:val="18"/>
          <w:color w:val="auto"/>
        </w:rPr>
        <w:t>The following table reflects, according to maturity and by currency, the interest-earning assets and interest-bearing liabilities of Credicorp as of December 31, 2003, and may not be representative of positions at other times. In addition, variations in interest rate sensitivity may arise within the repricing periods presented or among the currencies in which interest rate positions are held. Credicorp actively monitors and manages its interest rate sensitivity and has the ability to reprice relatively promptly both its interest-earning assets and interest-bearing liabilities. On the basis of its gap position at December 31, 2003, Credicorp believes that a significant increase or decrease in interest rates would not reasonably be expected to have a material effect on Credicorp’s financial condition or results of operations.</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4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580" w:type="dxa"/>
            <w:vAlign w:val="bottom"/>
            <w:gridSpan w:val="8"/>
          </w:tcPr>
          <w:p>
            <w:pPr>
              <w:jc w:val="center"/>
              <w:ind w:right="40"/>
              <w:spacing w:after="0"/>
              <w:rPr>
                <w:sz w:val="20"/>
                <w:szCs w:val="20"/>
                <w:color w:val="auto"/>
              </w:rPr>
            </w:pPr>
            <w:r>
              <w:rPr>
                <w:rFonts w:ascii="Arial" w:cs="Arial" w:eastAsia="Arial" w:hAnsi="Arial"/>
                <w:sz w:val="18"/>
                <w:szCs w:val="18"/>
                <w:b w:val="1"/>
                <w:bCs w:val="1"/>
                <w:color w:val="auto"/>
                <w:w w:val="89"/>
              </w:rPr>
              <w:t>Earliest Repricing Interval at December 31, 2003</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450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30"/>
        </w:trPr>
        <w:tc>
          <w:tcPr>
            <w:tcW w:w="4500" w:type="dxa"/>
            <w:vAlign w:val="bottom"/>
          </w:tcPr>
          <w:p>
            <w:pPr>
              <w:spacing w:after="0"/>
              <w:rPr>
                <w:sz w:val="24"/>
                <w:szCs w:val="24"/>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Overnight to 3</w:t>
            </w:r>
          </w:p>
        </w:tc>
        <w:tc>
          <w:tcPr>
            <w:tcW w:w="11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Over 3 to 12</w:t>
            </w:r>
          </w:p>
        </w:tc>
        <w:tc>
          <w:tcPr>
            <w:tcW w:w="1120" w:type="dxa"/>
            <w:vAlign w:val="bottom"/>
          </w:tcPr>
          <w:p>
            <w:pPr>
              <w:jc w:val="right"/>
              <w:ind w:right="12"/>
              <w:spacing w:after="0"/>
              <w:rPr>
                <w:sz w:val="20"/>
                <w:szCs w:val="20"/>
                <w:color w:val="auto"/>
              </w:rPr>
            </w:pPr>
            <w:r>
              <w:rPr>
                <w:rFonts w:ascii="Arial" w:cs="Arial" w:eastAsia="Arial" w:hAnsi="Arial"/>
                <w:sz w:val="18"/>
                <w:szCs w:val="18"/>
                <w:b w:val="1"/>
                <w:bCs w:val="1"/>
                <w:color w:val="auto"/>
                <w:w w:val="99"/>
              </w:rPr>
              <w:t>Total within</w:t>
            </w:r>
          </w:p>
        </w:tc>
        <w:tc>
          <w:tcPr>
            <w:tcW w:w="20" w:type="dxa"/>
            <w:vAlign w:val="bottom"/>
          </w:tcPr>
          <w:p>
            <w:pPr>
              <w:spacing w:after="0"/>
              <w:rPr>
                <w:sz w:val="24"/>
                <w:szCs w:val="24"/>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Over 1 to 5</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500" w:type="dxa"/>
            <w:vAlign w:val="bottom"/>
          </w:tcPr>
          <w:p>
            <w:pPr>
              <w:spacing w:after="0"/>
              <w:rPr>
                <w:sz w:val="19"/>
                <w:szCs w:val="19"/>
                <w:color w:val="auto"/>
              </w:rPr>
            </w:pPr>
          </w:p>
        </w:tc>
        <w:tc>
          <w:tcPr>
            <w:tcW w:w="11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6"/>
              </w:rPr>
              <w:t>months</w:t>
            </w:r>
          </w:p>
        </w:tc>
        <w:tc>
          <w:tcPr>
            <w:tcW w:w="11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6"/>
              </w:rPr>
              <w:t>months</w:t>
            </w:r>
          </w:p>
        </w:tc>
        <w:tc>
          <w:tcPr>
            <w:tcW w:w="1120" w:type="dxa"/>
            <w:vAlign w:val="bottom"/>
          </w:tcPr>
          <w:p>
            <w:pPr>
              <w:ind w:left="240"/>
              <w:spacing w:after="0"/>
              <w:rPr>
                <w:sz w:val="20"/>
                <w:szCs w:val="20"/>
                <w:color w:val="auto"/>
              </w:rPr>
            </w:pPr>
            <w:r>
              <w:rPr>
                <w:rFonts w:ascii="Arial" w:cs="Arial" w:eastAsia="Arial" w:hAnsi="Arial"/>
                <w:sz w:val="18"/>
                <w:szCs w:val="18"/>
                <w:b w:val="1"/>
                <w:bCs w:val="1"/>
                <w:color w:val="auto"/>
              </w:rPr>
              <w:t>one year</w:t>
            </w:r>
          </w:p>
        </w:tc>
        <w:tc>
          <w:tcPr>
            <w:tcW w:w="20" w:type="dxa"/>
            <w:vAlign w:val="bottom"/>
          </w:tcPr>
          <w:p>
            <w:pPr>
              <w:spacing w:after="0"/>
              <w:rPr>
                <w:sz w:val="19"/>
                <w:szCs w:val="19"/>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4"/>
              </w:rPr>
              <w:t>years</w:t>
            </w: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w w:val="90"/>
              </w:rPr>
              <w:t>Over 5 Years</w:t>
            </w:r>
          </w:p>
        </w:tc>
        <w:tc>
          <w:tcPr>
            <w:tcW w:w="1120" w:type="dxa"/>
            <w:vAlign w:val="bottom"/>
          </w:tcPr>
          <w:p>
            <w:pPr>
              <w:jc w:val="right"/>
              <w:ind w:right="23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37"/>
        </w:trPr>
        <w:tc>
          <w:tcPr>
            <w:tcW w:w="450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43"/>
        </w:trPr>
        <w:tc>
          <w:tcPr>
            <w:tcW w:w="4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80" w:type="dxa"/>
            <w:vAlign w:val="bottom"/>
            <w:gridSpan w:val="8"/>
          </w:tcPr>
          <w:p>
            <w:pPr>
              <w:jc w:val="center"/>
              <w:ind w:right="40"/>
              <w:spacing w:after="0"/>
              <w:rPr>
                <w:sz w:val="20"/>
                <w:szCs w:val="20"/>
                <w:color w:val="auto"/>
              </w:rPr>
            </w:pPr>
            <w:r>
              <w:rPr>
                <w:rFonts w:ascii="Arial" w:cs="Arial" w:eastAsia="Arial" w:hAnsi="Arial"/>
                <w:sz w:val="18"/>
                <w:szCs w:val="18"/>
                <w:i w:val="1"/>
                <w:iCs w:val="1"/>
                <w:color w:val="auto"/>
                <w:w w:val="87"/>
              </w:rPr>
              <w:t>(U.S. Dollars in thousands, except percentages)</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00" w:type="dxa"/>
            <w:vAlign w:val="bottom"/>
          </w:tcPr>
          <w:p>
            <w:pPr>
              <w:spacing w:after="0"/>
              <w:rPr>
                <w:sz w:val="20"/>
                <w:szCs w:val="20"/>
                <w:color w:val="auto"/>
              </w:rPr>
            </w:pPr>
            <w:r>
              <w:rPr>
                <w:rFonts w:ascii="Arial" w:cs="Arial" w:eastAsia="Arial" w:hAnsi="Arial"/>
                <w:sz w:val="18"/>
                <w:szCs w:val="18"/>
                <w:b w:val="1"/>
                <w:bCs w:val="1"/>
                <w:color w:val="auto"/>
              </w:rPr>
              <w:t>Nuevo Sol-denominated: Assets:</w:t>
            </w: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tcPr>
          <w:p>
            <w:pPr>
              <w:spacing w:after="0"/>
              <w:rPr>
                <w:sz w:val="20"/>
                <w:szCs w:val="20"/>
                <w:color w:val="auto"/>
              </w:rPr>
            </w:pPr>
            <w:r>
              <w:rPr>
                <w:rFonts w:ascii="Arial" w:cs="Arial" w:eastAsia="Arial" w:hAnsi="Arial"/>
                <w:sz w:val="18"/>
                <w:szCs w:val="18"/>
                <w:color w:val="auto"/>
              </w:rPr>
              <w:t>Loans, net</w:t>
            </w:r>
          </w:p>
        </w:tc>
        <w:tc>
          <w:tcPr>
            <w:tcW w:w="1160" w:type="dxa"/>
            <w:vAlign w:val="bottom"/>
            <w:gridSpan w:val="2"/>
          </w:tcPr>
          <w:p>
            <w:pPr>
              <w:ind w:left="240"/>
              <w:spacing w:after="0"/>
              <w:rPr>
                <w:sz w:val="20"/>
                <w:szCs w:val="20"/>
                <w:color w:val="auto"/>
              </w:rPr>
            </w:pPr>
            <w:r>
              <w:rPr>
                <w:rFonts w:ascii="Arial" w:cs="Arial" w:eastAsia="Arial" w:hAnsi="Arial"/>
                <w:sz w:val="18"/>
                <w:szCs w:val="18"/>
                <w:color w:val="auto"/>
                <w:w w:val="89"/>
              </w:rPr>
              <w:t>US$408,216</w:t>
            </w:r>
          </w:p>
        </w:tc>
        <w:tc>
          <w:tcPr>
            <w:tcW w:w="1140" w:type="dxa"/>
            <w:vAlign w:val="bottom"/>
            <w:gridSpan w:val="2"/>
          </w:tcPr>
          <w:p>
            <w:pPr>
              <w:ind w:left="240"/>
              <w:spacing w:after="0"/>
              <w:rPr>
                <w:sz w:val="20"/>
                <w:szCs w:val="20"/>
                <w:color w:val="auto"/>
              </w:rPr>
            </w:pPr>
            <w:r>
              <w:rPr>
                <w:rFonts w:ascii="Arial" w:cs="Arial" w:eastAsia="Arial" w:hAnsi="Arial"/>
                <w:sz w:val="18"/>
                <w:szCs w:val="18"/>
                <w:color w:val="auto"/>
                <w:w w:val="87"/>
              </w:rPr>
              <w:t>US$150,534</w:t>
            </w:r>
          </w:p>
        </w:tc>
        <w:tc>
          <w:tcPr>
            <w:tcW w:w="1120" w:type="dxa"/>
            <w:vAlign w:val="bottom"/>
          </w:tcPr>
          <w:p>
            <w:pPr>
              <w:ind w:left="240"/>
              <w:spacing w:after="0"/>
              <w:rPr>
                <w:sz w:val="20"/>
                <w:szCs w:val="20"/>
                <w:color w:val="auto"/>
              </w:rPr>
            </w:pPr>
            <w:r>
              <w:rPr>
                <w:rFonts w:ascii="Arial" w:cs="Arial" w:eastAsia="Arial" w:hAnsi="Arial"/>
                <w:sz w:val="18"/>
                <w:szCs w:val="18"/>
                <w:color w:val="auto"/>
                <w:w w:val="85"/>
              </w:rPr>
              <w:t>US$558,751</w:t>
            </w:r>
          </w:p>
        </w:tc>
        <w:tc>
          <w:tcPr>
            <w:tcW w:w="20" w:type="dxa"/>
            <w:vAlign w:val="bottom"/>
          </w:tcPr>
          <w:p>
            <w:pPr>
              <w:spacing w:after="0"/>
              <w:rPr>
                <w:sz w:val="21"/>
                <w:szCs w:val="21"/>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w w:val="88"/>
              </w:rPr>
              <w:t>US$ 94,720</w:t>
            </w:r>
          </w:p>
        </w:tc>
        <w:tc>
          <w:tcPr>
            <w:tcW w:w="1140" w:type="dxa"/>
            <w:vAlign w:val="bottom"/>
            <w:gridSpan w:val="2"/>
          </w:tcPr>
          <w:p>
            <w:pPr>
              <w:ind w:left="420"/>
              <w:spacing w:after="0"/>
              <w:rPr>
                <w:sz w:val="20"/>
                <w:szCs w:val="20"/>
                <w:color w:val="auto"/>
              </w:rPr>
            </w:pPr>
            <w:r>
              <w:rPr>
                <w:rFonts w:ascii="Arial" w:cs="Arial" w:eastAsia="Arial" w:hAnsi="Arial"/>
                <w:sz w:val="18"/>
                <w:szCs w:val="18"/>
                <w:color w:val="auto"/>
                <w:w w:val="87"/>
              </w:rPr>
              <w:t>US$4,624</w:t>
            </w:r>
          </w:p>
        </w:tc>
        <w:tc>
          <w:tcPr>
            <w:tcW w:w="1120" w:type="dxa"/>
            <w:vAlign w:val="bottom"/>
          </w:tcPr>
          <w:p>
            <w:pPr>
              <w:jc w:val="right"/>
              <w:spacing w:after="0"/>
              <w:rPr>
                <w:sz w:val="20"/>
                <w:szCs w:val="20"/>
                <w:color w:val="auto"/>
              </w:rPr>
            </w:pPr>
            <w:r>
              <w:rPr>
                <w:rFonts w:ascii="Arial" w:cs="Arial" w:eastAsia="Arial" w:hAnsi="Arial"/>
                <w:sz w:val="18"/>
                <w:szCs w:val="18"/>
                <w:color w:val="auto"/>
              </w:rPr>
              <w:t>US$658,095</w:t>
            </w:r>
          </w:p>
        </w:tc>
        <w:tc>
          <w:tcPr>
            <w:tcW w:w="0" w:type="dxa"/>
            <w:vAlign w:val="bottom"/>
          </w:tcPr>
          <w:p>
            <w:pPr>
              <w:spacing w:after="0"/>
              <w:rPr>
                <w:sz w:val="1"/>
                <w:szCs w:val="1"/>
                <w:color w:val="auto"/>
              </w:rPr>
            </w:pPr>
          </w:p>
        </w:tc>
      </w:tr>
      <w:tr>
        <w:trPr>
          <w:trHeight w:val="243"/>
        </w:trPr>
        <w:tc>
          <w:tcPr>
            <w:tcW w:w="4500" w:type="dxa"/>
            <w:vAlign w:val="bottom"/>
          </w:tcPr>
          <w:p>
            <w:pPr>
              <w:spacing w:after="0"/>
              <w:rPr>
                <w:sz w:val="20"/>
                <w:szCs w:val="20"/>
                <w:color w:val="auto"/>
              </w:rPr>
            </w:pPr>
            <w:r>
              <w:rPr>
                <w:rFonts w:ascii="Arial" w:cs="Arial" w:eastAsia="Arial" w:hAnsi="Arial"/>
                <w:sz w:val="18"/>
                <w:szCs w:val="18"/>
                <w:color w:val="auto"/>
              </w:rPr>
              <w:t>Investment securities</w:t>
            </w:r>
          </w:p>
        </w:tc>
        <w:tc>
          <w:tcPr>
            <w:tcW w:w="1120" w:type="dxa"/>
            <w:vAlign w:val="bottom"/>
          </w:tcPr>
          <w:p>
            <w:pPr>
              <w:jc w:val="right"/>
              <w:spacing w:after="0"/>
              <w:rPr>
                <w:sz w:val="20"/>
                <w:szCs w:val="20"/>
                <w:color w:val="auto"/>
              </w:rPr>
            </w:pPr>
            <w:r>
              <w:rPr>
                <w:rFonts w:ascii="Arial" w:cs="Arial" w:eastAsia="Arial" w:hAnsi="Arial"/>
                <w:sz w:val="18"/>
                <w:szCs w:val="18"/>
                <w:color w:val="auto"/>
              </w:rPr>
              <w:t>60,405</w:t>
            </w:r>
          </w:p>
        </w:tc>
        <w:tc>
          <w:tcPr>
            <w:tcW w:w="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299,133</w:t>
            </w:r>
          </w:p>
        </w:tc>
        <w:tc>
          <w:tcPr>
            <w:tcW w:w="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359,538</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59,249</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1120" w:type="dxa"/>
            <w:vAlign w:val="bottom"/>
          </w:tcPr>
          <w:p>
            <w:pPr>
              <w:jc w:val="right"/>
              <w:spacing w:after="0"/>
              <w:rPr>
                <w:sz w:val="20"/>
                <w:szCs w:val="20"/>
                <w:color w:val="auto"/>
              </w:rPr>
            </w:pPr>
            <w:r>
              <w:rPr>
                <w:rFonts w:ascii="Arial" w:cs="Arial" w:eastAsia="Arial" w:hAnsi="Arial"/>
                <w:sz w:val="18"/>
                <w:szCs w:val="18"/>
                <w:color w:val="auto"/>
              </w:rPr>
              <w:t>418,786</w:t>
            </w:r>
          </w:p>
        </w:tc>
        <w:tc>
          <w:tcPr>
            <w:tcW w:w="0" w:type="dxa"/>
            <w:vAlign w:val="bottom"/>
          </w:tcPr>
          <w:p>
            <w:pPr>
              <w:spacing w:after="0"/>
              <w:rPr>
                <w:sz w:val="1"/>
                <w:szCs w:val="1"/>
                <w:color w:val="auto"/>
              </w:rPr>
            </w:pPr>
          </w:p>
        </w:tc>
      </w:tr>
      <w:tr>
        <w:trPr>
          <w:trHeight w:val="243"/>
        </w:trPr>
        <w:tc>
          <w:tcPr>
            <w:tcW w:w="4500" w:type="dxa"/>
            <w:vAlign w:val="bottom"/>
          </w:tcPr>
          <w:p>
            <w:pPr>
              <w:spacing w:after="0"/>
              <w:rPr>
                <w:sz w:val="20"/>
                <w:szCs w:val="20"/>
                <w:color w:val="auto"/>
              </w:rPr>
            </w:pPr>
            <w:r>
              <w:rPr>
                <w:rFonts w:ascii="Arial" w:cs="Arial" w:eastAsia="Arial" w:hAnsi="Arial"/>
                <w:sz w:val="18"/>
                <w:szCs w:val="18"/>
                <w:color w:val="auto"/>
              </w:rPr>
              <w:t>Deposits in other banks</w:t>
            </w:r>
          </w:p>
        </w:tc>
        <w:tc>
          <w:tcPr>
            <w:tcW w:w="1120" w:type="dxa"/>
            <w:vAlign w:val="bottom"/>
          </w:tcPr>
          <w:p>
            <w:pPr>
              <w:jc w:val="right"/>
              <w:spacing w:after="0"/>
              <w:rPr>
                <w:sz w:val="20"/>
                <w:szCs w:val="20"/>
                <w:color w:val="auto"/>
              </w:rPr>
            </w:pPr>
            <w:r>
              <w:rPr>
                <w:rFonts w:ascii="Arial" w:cs="Arial" w:eastAsia="Arial" w:hAnsi="Arial"/>
                <w:sz w:val="18"/>
                <w:szCs w:val="18"/>
                <w:color w:val="auto"/>
              </w:rPr>
              <w:t>25,145</w:t>
            </w:r>
          </w:p>
        </w:tc>
        <w:tc>
          <w:tcPr>
            <w:tcW w:w="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4,335</w:t>
            </w:r>
          </w:p>
        </w:tc>
        <w:tc>
          <w:tcPr>
            <w:tcW w:w="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29,480</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0</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1120" w:type="dxa"/>
            <w:vAlign w:val="bottom"/>
          </w:tcPr>
          <w:p>
            <w:pPr>
              <w:jc w:val="right"/>
              <w:spacing w:after="0"/>
              <w:rPr>
                <w:sz w:val="20"/>
                <w:szCs w:val="20"/>
                <w:color w:val="auto"/>
              </w:rPr>
            </w:pPr>
            <w:r>
              <w:rPr>
                <w:rFonts w:ascii="Arial" w:cs="Arial" w:eastAsia="Arial" w:hAnsi="Arial"/>
                <w:sz w:val="18"/>
                <w:szCs w:val="18"/>
                <w:color w:val="auto"/>
              </w:rPr>
              <w:t>29,480</w:t>
            </w:r>
          </w:p>
        </w:tc>
        <w:tc>
          <w:tcPr>
            <w:tcW w:w="0" w:type="dxa"/>
            <w:vAlign w:val="bottom"/>
          </w:tcPr>
          <w:p>
            <w:pPr>
              <w:spacing w:after="0"/>
              <w:rPr>
                <w:sz w:val="1"/>
                <w:szCs w:val="1"/>
                <w:color w:val="auto"/>
              </w:rPr>
            </w:pPr>
          </w:p>
        </w:tc>
      </w:tr>
      <w:tr>
        <w:trPr>
          <w:trHeight w:val="137"/>
        </w:trPr>
        <w:tc>
          <w:tcPr>
            <w:tcW w:w="450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43"/>
        </w:trPr>
        <w:tc>
          <w:tcPr>
            <w:tcW w:w="4500" w:type="dxa"/>
            <w:vAlign w:val="bottom"/>
          </w:tcPr>
          <w:p>
            <w:pPr>
              <w:ind w:left="220"/>
              <w:spacing w:after="0"/>
              <w:rPr>
                <w:sz w:val="20"/>
                <w:szCs w:val="20"/>
                <w:color w:val="auto"/>
              </w:rPr>
            </w:pPr>
            <w:r>
              <w:rPr>
                <w:rFonts w:ascii="Arial" w:cs="Arial" w:eastAsia="Arial" w:hAnsi="Arial"/>
                <w:sz w:val="18"/>
                <w:szCs w:val="18"/>
                <w:color w:val="auto"/>
              </w:rPr>
              <w:t>Total</w:t>
            </w:r>
          </w:p>
        </w:tc>
        <w:tc>
          <w:tcPr>
            <w:tcW w:w="1120" w:type="dxa"/>
            <w:vAlign w:val="bottom"/>
          </w:tcPr>
          <w:p>
            <w:pPr>
              <w:jc w:val="right"/>
              <w:spacing w:after="0"/>
              <w:rPr>
                <w:sz w:val="20"/>
                <w:szCs w:val="20"/>
                <w:color w:val="auto"/>
              </w:rPr>
            </w:pPr>
            <w:r>
              <w:rPr>
                <w:rFonts w:ascii="Arial" w:cs="Arial" w:eastAsia="Arial" w:hAnsi="Arial"/>
                <w:sz w:val="18"/>
                <w:szCs w:val="18"/>
                <w:color w:val="auto"/>
              </w:rPr>
              <w:t>493,766</w:t>
            </w:r>
          </w:p>
        </w:tc>
        <w:tc>
          <w:tcPr>
            <w:tcW w:w="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454,003</w:t>
            </w:r>
          </w:p>
        </w:tc>
        <w:tc>
          <w:tcPr>
            <w:tcW w:w="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947,768</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153,969</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4,624</w:t>
            </w:r>
          </w:p>
        </w:tc>
        <w:tc>
          <w:tcPr>
            <w:tcW w:w="1120" w:type="dxa"/>
            <w:vAlign w:val="bottom"/>
          </w:tcPr>
          <w:p>
            <w:pPr>
              <w:jc w:val="right"/>
              <w:spacing w:after="0"/>
              <w:rPr>
                <w:sz w:val="20"/>
                <w:szCs w:val="20"/>
                <w:color w:val="auto"/>
              </w:rPr>
            </w:pPr>
            <w:r>
              <w:rPr>
                <w:rFonts w:ascii="Arial" w:cs="Arial" w:eastAsia="Arial" w:hAnsi="Arial"/>
                <w:sz w:val="18"/>
                <w:szCs w:val="18"/>
                <w:color w:val="auto"/>
              </w:rPr>
              <w:t>1,106,362</w:t>
            </w:r>
          </w:p>
        </w:tc>
        <w:tc>
          <w:tcPr>
            <w:tcW w:w="0" w:type="dxa"/>
            <w:vAlign w:val="bottom"/>
          </w:tcPr>
          <w:p>
            <w:pPr>
              <w:spacing w:after="0"/>
              <w:rPr>
                <w:sz w:val="1"/>
                <w:szCs w:val="1"/>
                <w:color w:val="auto"/>
              </w:rPr>
            </w:pPr>
          </w:p>
        </w:tc>
      </w:tr>
      <w:tr>
        <w:trPr>
          <w:trHeight w:val="137"/>
        </w:trPr>
        <w:tc>
          <w:tcPr>
            <w:tcW w:w="450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Liabilities:</w:t>
            </w:r>
          </w:p>
        </w:tc>
        <w:tc>
          <w:tcPr>
            <w:tcW w:w="112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43"/>
        </w:trPr>
        <w:tc>
          <w:tcPr>
            <w:tcW w:w="450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00" w:type="dxa"/>
            <w:vAlign w:val="bottom"/>
          </w:tcPr>
          <w:p>
            <w:pPr>
              <w:spacing w:after="0"/>
              <w:rPr>
                <w:sz w:val="20"/>
                <w:szCs w:val="20"/>
                <w:color w:val="auto"/>
              </w:rPr>
            </w:pPr>
            <w:r>
              <w:rPr>
                <w:rFonts w:ascii="Arial" w:cs="Arial" w:eastAsia="Arial" w:hAnsi="Arial"/>
                <w:sz w:val="18"/>
                <w:szCs w:val="18"/>
                <w:color w:val="auto"/>
              </w:rPr>
              <w:t>Demand and saving deposits(1)</w:t>
            </w:r>
          </w:p>
        </w:tc>
        <w:tc>
          <w:tcPr>
            <w:tcW w:w="1120" w:type="dxa"/>
            <w:vAlign w:val="bottom"/>
          </w:tcPr>
          <w:p>
            <w:pPr>
              <w:jc w:val="right"/>
              <w:spacing w:after="0"/>
              <w:rPr>
                <w:sz w:val="20"/>
                <w:szCs w:val="20"/>
                <w:color w:val="auto"/>
              </w:rPr>
            </w:pPr>
            <w:r>
              <w:rPr>
                <w:rFonts w:ascii="Arial" w:cs="Arial" w:eastAsia="Arial" w:hAnsi="Arial"/>
                <w:sz w:val="18"/>
                <w:szCs w:val="18"/>
                <w:color w:val="auto"/>
              </w:rPr>
              <w:t>459,827</w:t>
            </w:r>
          </w:p>
        </w:tc>
        <w:tc>
          <w:tcPr>
            <w:tcW w:w="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459,827</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0</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1120" w:type="dxa"/>
            <w:vAlign w:val="bottom"/>
          </w:tcPr>
          <w:p>
            <w:pPr>
              <w:jc w:val="right"/>
              <w:spacing w:after="0"/>
              <w:rPr>
                <w:sz w:val="20"/>
                <w:szCs w:val="20"/>
                <w:color w:val="auto"/>
              </w:rPr>
            </w:pPr>
            <w:r>
              <w:rPr>
                <w:rFonts w:ascii="Arial" w:cs="Arial" w:eastAsia="Arial" w:hAnsi="Arial"/>
                <w:sz w:val="18"/>
                <w:szCs w:val="18"/>
                <w:color w:val="auto"/>
              </w:rPr>
              <w:t>459,827</w:t>
            </w:r>
          </w:p>
        </w:tc>
        <w:tc>
          <w:tcPr>
            <w:tcW w:w="0" w:type="dxa"/>
            <w:vAlign w:val="bottom"/>
          </w:tcPr>
          <w:p>
            <w:pPr>
              <w:spacing w:after="0"/>
              <w:rPr>
                <w:sz w:val="1"/>
                <w:szCs w:val="1"/>
                <w:color w:val="auto"/>
              </w:rPr>
            </w:pPr>
          </w:p>
        </w:tc>
      </w:tr>
      <w:tr>
        <w:trPr>
          <w:trHeight w:val="243"/>
        </w:trPr>
        <w:tc>
          <w:tcPr>
            <w:tcW w:w="4500" w:type="dxa"/>
            <w:vAlign w:val="bottom"/>
          </w:tcPr>
          <w:p>
            <w:pPr>
              <w:spacing w:after="0"/>
              <w:rPr>
                <w:sz w:val="20"/>
                <w:szCs w:val="20"/>
                <w:color w:val="auto"/>
              </w:rPr>
            </w:pPr>
            <w:r>
              <w:rPr>
                <w:rFonts w:ascii="Arial" w:cs="Arial" w:eastAsia="Arial" w:hAnsi="Arial"/>
                <w:sz w:val="18"/>
                <w:szCs w:val="18"/>
                <w:color w:val="auto"/>
              </w:rPr>
              <w:t>Time deposits</w:t>
            </w:r>
          </w:p>
        </w:tc>
        <w:tc>
          <w:tcPr>
            <w:tcW w:w="1120" w:type="dxa"/>
            <w:vAlign w:val="bottom"/>
          </w:tcPr>
          <w:p>
            <w:pPr>
              <w:jc w:val="right"/>
              <w:spacing w:after="0"/>
              <w:rPr>
                <w:sz w:val="20"/>
                <w:szCs w:val="20"/>
                <w:color w:val="auto"/>
              </w:rPr>
            </w:pPr>
            <w:r>
              <w:rPr>
                <w:rFonts w:ascii="Arial" w:cs="Arial" w:eastAsia="Arial" w:hAnsi="Arial"/>
                <w:sz w:val="18"/>
                <w:szCs w:val="18"/>
                <w:color w:val="auto"/>
              </w:rPr>
              <w:t>438,791</w:t>
            </w:r>
          </w:p>
        </w:tc>
        <w:tc>
          <w:tcPr>
            <w:tcW w:w="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91,255</w:t>
            </w:r>
          </w:p>
        </w:tc>
        <w:tc>
          <w:tcPr>
            <w:tcW w:w="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530,046</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59,717</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1120" w:type="dxa"/>
            <w:vAlign w:val="bottom"/>
          </w:tcPr>
          <w:p>
            <w:pPr>
              <w:jc w:val="right"/>
              <w:spacing w:after="0"/>
              <w:rPr>
                <w:sz w:val="20"/>
                <w:szCs w:val="20"/>
                <w:color w:val="auto"/>
              </w:rPr>
            </w:pPr>
            <w:r>
              <w:rPr>
                <w:rFonts w:ascii="Arial" w:cs="Arial" w:eastAsia="Arial" w:hAnsi="Arial"/>
                <w:sz w:val="18"/>
                <w:szCs w:val="18"/>
                <w:color w:val="auto"/>
              </w:rPr>
              <w:t>589,763</w:t>
            </w:r>
          </w:p>
        </w:tc>
        <w:tc>
          <w:tcPr>
            <w:tcW w:w="0" w:type="dxa"/>
            <w:vAlign w:val="bottom"/>
          </w:tcPr>
          <w:p>
            <w:pPr>
              <w:spacing w:after="0"/>
              <w:rPr>
                <w:sz w:val="1"/>
                <w:szCs w:val="1"/>
                <w:color w:val="auto"/>
              </w:rPr>
            </w:pPr>
          </w:p>
        </w:tc>
      </w:tr>
      <w:tr>
        <w:trPr>
          <w:trHeight w:val="243"/>
        </w:trPr>
        <w:tc>
          <w:tcPr>
            <w:tcW w:w="4500" w:type="dxa"/>
            <w:vAlign w:val="bottom"/>
          </w:tcPr>
          <w:p>
            <w:pPr>
              <w:spacing w:after="0"/>
              <w:rPr>
                <w:sz w:val="20"/>
                <w:szCs w:val="20"/>
                <w:color w:val="auto"/>
              </w:rPr>
            </w:pPr>
            <w:r>
              <w:rPr>
                <w:rFonts w:ascii="Arial" w:cs="Arial" w:eastAsia="Arial" w:hAnsi="Arial"/>
                <w:sz w:val="18"/>
                <w:szCs w:val="18"/>
                <w:color w:val="auto"/>
              </w:rPr>
              <w:t>Interbank deposits received</w:t>
            </w:r>
          </w:p>
        </w:tc>
        <w:tc>
          <w:tcPr>
            <w:tcW w:w="1120" w:type="dxa"/>
            <w:vAlign w:val="bottom"/>
          </w:tcPr>
          <w:p>
            <w:pPr>
              <w:jc w:val="right"/>
              <w:spacing w:after="0"/>
              <w:rPr>
                <w:sz w:val="20"/>
                <w:szCs w:val="20"/>
                <w:color w:val="auto"/>
              </w:rPr>
            </w:pPr>
            <w:r>
              <w:rPr>
                <w:rFonts w:ascii="Arial" w:cs="Arial" w:eastAsia="Arial" w:hAnsi="Arial"/>
                <w:sz w:val="18"/>
                <w:szCs w:val="18"/>
                <w:color w:val="auto"/>
              </w:rPr>
              <w:t>5,936</w:t>
            </w:r>
          </w:p>
        </w:tc>
        <w:tc>
          <w:tcPr>
            <w:tcW w:w="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5,936</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0</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1120" w:type="dxa"/>
            <w:vAlign w:val="bottom"/>
          </w:tcPr>
          <w:p>
            <w:pPr>
              <w:jc w:val="right"/>
              <w:spacing w:after="0"/>
              <w:rPr>
                <w:sz w:val="20"/>
                <w:szCs w:val="20"/>
                <w:color w:val="auto"/>
              </w:rPr>
            </w:pPr>
            <w:r>
              <w:rPr>
                <w:rFonts w:ascii="Arial" w:cs="Arial" w:eastAsia="Arial" w:hAnsi="Arial"/>
                <w:sz w:val="18"/>
                <w:szCs w:val="18"/>
                <w:color w:val="auto"/>
              </w:rPr>
              <w:t>5,936</w:t>
            </w:r>
          </w:p>
        </w:tc>
        <w:tc>
          <w:tcPr>
            <w:tcW w:w="0" w:type="dxa"/>
            <w:vAlign w:val="bottom"/>
          </w:tcPr>
          <w:p>
            <w:pPr>
              <w:spacing w:after="0"/>
              <w:rPr>
                <w:sz w:val="1"/>
                <w:szCs w:val="1"/>
                <w:color w:val="auto"/>
              </w:rPr>
            </w:pPr>
          </w:p>
        </w:tc>
      </w:tr>
      <w:tr>
        <w:trPr>
          <w:trHeight w:val="243"/>
        </w:trPr>
        <w:tc>
          <w:tcPr>
            <w:tcW w:w="4500" w:type="dxa"/>
            <w:vAlign w:val="bottom"/>
          </w:tcPr>
          <w:p>
            <w:pPr>
              <w:spacing w:after="0"/>
              <w:rPr>
                <w:sz w:val="20"/>
                <w:szCs w:val="20"/>
                <w:color w:val="auto"/>
              </w:rPr>
            </w:pPr>
            <w:r>
              <w:rPr>
                <w:rFonts w:ascii="Arial" w:cs="Arial" w:eastAsia="Arial" w:hAnsi="Arial"/>
                <w:sz w:val="18"/>
                <w:szCs w:val="18"/>
                <w:color w:val="auto"/>
              </w:rPr>
              <w:t>Bonds and other liabilities</w:t>
            </w:r>
          </w:p>
        </w:tc>
        <w:tc>
          <w:tcPr>
            <w:tcW w:w="1120" w:type="dxa"/>
            <w:vAlign w:val="bottom"/>
          </w:tcPr>
          <w:p>
            <w:pPr>
              <w:jc w:val="right"/>
              <w:spacing w:after="0"/>
              <w:rPr>
                <w:sz w:val="20"/>
                <w:szCs w:val="20"/>
                <w:color w:val="auto"/>
              </w:rPr>
            </w:pPr>
            <w:r>
              <w:rPr>
                <w:rFonts w:ascii="Arial" w:cs="Arial" w:eastAsia="Arial" w:hAnsi="Arial"/>
                <w:sz w:val="18"/>
                <w:szCs w:val="18"/>
                <w:color w:val="auto"/>
              </w:rPr>
              <w:t>14,451</w:t>
            </w:r>
          </w:p>
        </w:tc>
        <w:tc>
          <w:tcPr>
            <w:tcW w:w="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14,451</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151,742</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28,324</w:t>
            </w:r>
          </w:p>
        </w:tc>
        <w:tc>
          <w:tcPr>
            <w:tcW w:w="1120" w:type="dxa"/>
            <w:vAlign w:val="bottom"/>
          </w:tcPr>
          <w:p>
            <w:pPr>
              <w:jc w:val="right"/>
              <w:spacing w:after="0"/>
              <w:rPr>
                <w:sz w:val="20"/>
                <w:szCs w:val="20"/>
                <w:color w:val="auto"/>
              </w:rPr>
            </w:pPr>
            <w:r>
              <w:rPr>
                <w:rFonts w:ascii="Arial" w:cs="Arial" w:eastAsia="Arial" w:hAnsi="Arial"/>
                <w:sz w:val="18"/>
                <w:szCs w:val="18"/>
                <w:color w:val="auto"/>
              </w:rPr>
              <w:t>194,516</w:t>
            </w:r>
          </w:p>
        </w:tc>
        <w:tc>
          <w:tcPr>
            <w:tcW w:w="0" w:type="dxa"/>
            <w:vAlign w:val="bottom"/>
          </w:tcPr>
          <w:p>
            <w:pPr>
              <w:spacing w:after="0"/>
              <w:rPr>
                <w:sz w:val="1"/>
                <w:szCs w:val="1"/>
                <w:color w:val="auto"/>
              </w:rPr>
            </w:pPr>
          </w:p>
        </w:tc>
      </w:tr>
      <w:tr>
        <w:trPr>
          <w:trHeight w:val="137"/>
        </w:trPr>
        <w:tc>
          <w:tcPr>
            <w:tcW w:w="450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43"/>
        </w:trPr>
        <w:tc>
          <w:tcPr>
            <w:tcW w:w="4500" w:type="dxa"/>
            <w:vAlign w:val="bottom"/>
          </w:tcPr>
          <w:p>
            <w:pPr>
              <w:ind w:left="220"/>
              <w:spacing w:after="0"/>
              <w:rPr>
                <w:sz w:val="20"/>
                <w:szCs w:val="20"/>
                <w:color w:val="auto"/>
              </w:rPr>
            </w:pPr>
            <w:r>
              <w:rPr>
                <w:rFonts w:ascii="Arial" w:cs="Arial" w:eastAsia="Arial" w:hAnsi="Arial"/>
                <w:sz w:val="18"/>
                <w:szCs w:val="18"/>
                <w:color w:val="auto"/>
              </w:rPr>
              <w:t>Total</w:t>
            </w:r>
          </w:p>
        </w:tc>
        <w:tc>
          <w:tcPr>
            <w:tcW w:w="1120" w:type="dxa"/>
            <w:vAlign w:val="bottom"/>
          </w:tcPr>
          <w:p>
            <w:pPr>
              <w:jc w:val="right"/>
              <w:spacing w:after="0"/>
              <w:rPr>
                <w:sz w:val="20"/>
                <w:szCs w:val="20"/>
                <w:color w:val="auto"/>
              </w:rPr>
            </w:pPr>
            <w:r>
              <w:rPr>
                <w:rFonts w:ascii="Arial" w:cs="Arial" w:eastAsia="Arial" w:hAnsi="Arial"/>
                <w:sz w:val="18"/>
                <w:szCs w:val="18"/>
                <w:color w:val="auto"/>
              </w:rPr>
              <w:t>919,004</w:t>
            </w:r>
          </w:p>
        </w:tc>
        <w:tc>
          <w:tcPr>
            <w:tcW w:w="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91,255</w:t>
            </w:r>
          </w:p>
        </w:tc>
        <w:tc>
          <w:tcPr>
            <w:tcW w:w="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1,010,259</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211,459</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28,324</w:t>
            </w:r>
          </w:p>
        </w:tc>
        <w:tc>
          <w:tcPr>
            <w:tcW w:w="1120" w:type="dxa"/>
            <w:vAlign w:val="bottom"/>
          </w:tcPr>
          <w:p>
            <w:pPr>
              <w:jc w:val="right"/>
              <w:spacing w:after="0"/>
              <w:rPr>
                <w:sz w:val="20"/>
                <w:szCs w:val="20"/>
                <w:color w:val="auto"/>
              </w:rPr>
            </w:pPr>
            <w:r>
              <w:rPr>
                <w:rFonts w:ascii="Arial" w:cs="Arial" w:eastAsia="Arial" w:hAnsi="Arial"/>
                <w:sz w:val="18"/>
                <w:szCs w:val="18"/>
                <w:color w:val="auto"/>
              </w:rPr>
              <w:t>1,250,042</w:t>
            </w:r>
          </w:p>
        </w:tc>
        <w:tc>
          <w:tcPr>
            <w:tcW w:w="0" w:type="dxa"/>
            <w:vAlign w:val="bottom"/>
          </w:tcPr>
          <w:p>
            <w:pPr>
              <w:spacing w:after="0"/>
              <w:rPr>
                <w:sz w:val="1"/>
                <w:szCs w:val="1"/>
                <w:color w:val="auto"/>
              </w:rPr>
            </w:pPr>
          </w:p>
        </w:tc>
      </w:tr>
      <w:tr>
        <w:trPr>
          <w:trHeight w:val="137"/>
        </w:trPr>
        <w:tc>
          <w:tcPr>
            <w:tcW w:w="450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43"/>
        </w:trPr>
        <w:tc>
          <w:tcPr>
            <w:tcW w:w="4500" w:type="dxa"/>
            <w:vAlign w:val="bottom"/>
          </w:tcPr>
          <w:p>
            <w:pPr>
              <w:spacing w:after="0"/>
              <w:rPr>
                <w:sz w:val="20"/>
                <w:szCs w:val="20"/>
                <w:color w:val="auto"/>
              </w:rPr>
            </w:pPr>
            <w:r>
              <w:rPr>
                <w:rFonts w:ascii="Arial" w:cs="Arial" w:eastAsia="Arial" w:hAnsi="Arial"/>
                <w:sz w:val="18"/>
                <w:szCs w:val="18"/>
                <w:color w:val="auto"/>
              </w:rPr>
              <w:t>Interest Sensitivity gap</w:t>
            </w:r>
          </w:p>
        </w:tc>
        <w:tc>
          <w:tcPr>
            <w:tcW w:w="1120" w:type="dxa"/>
            <w:vAlign w:val="bottom"/>
          </w:tcPr>
          <w:p>
            <w:pPr>
              <w:jc w:val="right"/>
              <w:spacing w:after="0"/>
              <w:rPr>
                <w:sz w:val="20"/>
                <w:szCs w:val="20"/>
                <w:color w:val="auto"/>
              </w:rPr>
            </w:pPr>
            <w:r>
              <w:rPr>
                <w:rFonts w:ascii="Arial" w:cs="Arial" w:eastAsia="Arial" w:hAnsi="Arial"/>
                <w:sz w:val="18"/>
                <w:szCs w:val="18"/>
                <w:color w:val="auto"/>
              </w:rPr>
              <w:t>-425,238</w:t>
            </w:r>
          </w:p>
        </w:tc>
        <w:tc>
          <w:tcPr>
            <w:tcW w:w="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362,748</w:t>
            </w:r>
          </w:p>
        </w:tc>
        <w:tc>
          <w:tcPr>
            <w:tcW w:w="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-62,491</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-57,490</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-23,699</w:t>
            </w:r>
          </w:p>
        </w:tc>
        <w:tc>
          <w:tcPr>
            <w:tcW w:w="1120" w:type="dxa"/>
            <w:vAlign w:val="bottom"/>
          </w:tcPr>
          <w:p>
            <w:pPr>
              <w:jc w:val="right"/>
              <w:spacing w:after="0"/>
              <w:rPr>
                <w:sz w:val="20"/>
                <w:szCs w:val="20"/>
                <w:color w:val="auto"/>
              </w:rPr>
            </w:pPr>
            <w:r>
              <w:rPr>
                <w:rFonts w:ascii="Arial" w:cs="Arial" w:eastAsia="Arial" w:hAnsi="Arial"/>
                <w:sz w:val="18"/>
                <w:szCs w:val="18"/>
                <w:color w:val="auto"/>
              </w:rPr>
              <w:t>-143,680</w:t>
            </w:r>
          </w:p>
        </w:tc>
        <w:tc>
          <w:tcPr>
            <w:tcW w:w="0" w:type="dxa"/>
            <w:vAlign w:val="bottom"/>
          </w:tcPr>
          <w:p>
            <w:pPr>
              <w:spacing w:after="0"/>
              <w:rPr>
                <w:sz w:val="1"/>
                <w:szCs w:val="1"/>
                <w:color w:val="auto"/>
              </w:rPr>
            </w:pPr>
          </w:p>
        </w:tc>
      </w:tr>
      <w:tr>
        <w:trPr>
          <w:trHeight w:val="243"/>
        </w:trPr>
        <w:tc>
          <w:tcPr>
            <w:tcW w:w="4500" w:type="dxa"/>
            <w:vAlign w:val="bottom"/>
          </w:tcPr>
          <w:p>
            <w:pPr>
              <w:spacing w:after="0"/>
              <w:rPr>
                <w:sz w:val="20"/>
                <w:szCs w:val="20"/>
                <w:color w:val="auto"/>
              </w:rPr>
            </w:pPr>
            <w:r>
              <w:rPr>
                <w:rFonts w:ascii="Arial" w:cs="Arial" w:eastAsia="Arial" w:hAnsi="Arial"/>
                <w:sz w:val="18"/>
                <w:szCs w:val="18"/>
                <w:color w:val="auto"/>
              </w:rPr>
              <w:t>Cumulative interest sensitivity gap</w:t>
            </w:r>
          </w:p>
        </w:tc>
        <w:tc>
          <w:tcPr>
            <w:tcW w:w="1120" w:type="dxa"/>
            <w:vAlign w:val="bottom"/>
          </w:tcPr>
          <w:p>
            <w:pPr>
              <w:jc w:val="right"/>
              <w:spacing w:after="0"/>
              <w:rPr>
                <w:sz w:val="20"/>
                <w:szCs w:val="20"/>
                <w:color w:val="auto"/>
              </w:rPr>
            </w:pPr>
            <w:r>
              <w:rPr>
                <w:rFonts w:ascii="Arial" w:cs="Arial" w:eastAsia="Arial" w:hAnsi="Arial"/>
                <w:sz w:val="18"/>
                <w:szCs w:val="18"/>
                <w:color w:val="auto"/>
              </w:rPr>
              <w:t>-425,238</w:t>
            </w:r>
          </w:p>
        </w:tc>
        <w:tc>
          <w:tcPr>
            <w:tcW w:w="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-62,491</w:t>
            </w:r>
          </w:p>
        </w:tc>
        <w:tc>
          <w:tcPr>
            <w:tcW w:w="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-62,491</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-119,981</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-143,680</w:t>
            </w:r>
          </w:p>
        </w:tc>
        <w:tc>
          <w:tcPr>
            <w:tcW w:w="1120" w:type="dxa"/>
            <w:vAlign w:val="bottom"/>
          </w:tcPr>
          <w:p>
            <w:pPr>
              <w:jc w:val="right"/>
              <w:spacing w:after="0"/>
              <w:rPr>
                <w:sz w:val="20"/>
                <w:szCs w:val="20"/>
                <w:color w:val="auto"/>
              </w:rPr>
            </w:pPr>
            <w:r>
              <w:rPr>
                <w:rFonts w:ascii="Arial" w:cs="Arial" w:eastAsia="Arial" w:hAnsi="Arial"/>
                <w:sz w:val="18"/>
                <w:szCs w:val="18"/>
                <w:color w:val="auto"/>
              </w:rPr>
              <w:t>-143,680</w:t>
            </w:r>
          </w:p>
        </w:tc>
        <w:tc>
          <w:tcPr>
            <w:tcW w:w="0" w:type="dxa"/>
            <w:vAlign w:val="bottom"/>
          </w:tcPr>
          <w:p>
            <w:pPr>
              <w:spacing w:after="0"/>
              <w:rPr>
                <w:sz w:val="1"/>
                <w:szCs w:val="1"/>
                <w:color w:val="auto"/>
              </w:rPr>
            </w:pPr>
          </w:p>
        </w:tc>
      </w:tr>
      <w:tr>
        <w:trPr>
          <w:trHeight w:val="243"/>
        </w:trPr>
        <w:tc>
          <w:tcPr>
            <w:tcW w:w="4500" w:type="dxa"/>
            <w:vAlign w:val="bottom"/>
          </w:tcPr>
          <w:p>
            <w:pPr>
              <w:spacing w:after="0"/>
              <w:rPr>
                <w:sz w:val="20"/>
                <w:szCs w:val="20"/>
                <w:color w:val="auto"/>
              </w:rPr>
            </w:pPr>
            <w:r>
              <w:rPr>
                <w:rFonts w:ascii="Arial" w:cs="Arial" w:eastAsia="Arial" w:hAnsi="Arial"/>
                <w:sz w:val="18"/>
                <w:szCs w:val="18"/>
                <w:color w:val="auto"/>
              </w:rPr>
              <w:t>Cumul Cumulative interest-earning assets</w:t>
            </w:r>
          </w:p>
        </w:tc>
        <w:tc>
          <w:tcPr>
            <w:tcW w:w="1120" w:type="dxa"/>
            <w:vAlign w:val="bottom"/>
          </w:tcPr>
          <w:p>
            <w:pPr>
              <w:jc w:val="right"/>
              <w:spacing w:after="0"/>
              <w:rPr>
                <w:sz w:val="20"/>
                <w:szCs w:val="20"/>
                <w:color w:val="auto"/>
              </w:rPr>
            </w:pPr>
            <w:r>
              <w:rPr>
                <w:rFonts w:ascii="Arial" w:cs="Arial" w:eastAsia="Arial" w:hAnsi="Arial"/>
                <w:sz w:val="18"/>
                <w:szCs w:val="18"/>
                <w:color w:val="auto"/>
              </w:rPr>
              <w:t>493,766</w:t>
            </w:r>
          </w:p>
        </w:tc>
        <w:tc>
          <w:tcPr>
            <w:tcW w:w="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947,768</w:t>
            </w:r>
          </w:p>
        </w:tc>
        <w:tc>
          <w:tcPr>
            <w:tcW w:w="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947,768</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1,101,737</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1,106,362</w:t>
            </w:r>
          </w:p>
        </w:tc>
        <w:tc>
          <w:tcPr>
            <w:tcW w:w="1120" w:type="dxa"/>
            <w:vAlign w:val="bottom"/>
          </w:tcPr>
          <w:p>
            <w:pPr>
              <w:jc w:val="right"/>
              <w:spacing w:after="0"/>
              <w:rPr>
                <w:sz w:val="20"/>
                <w:szCs w:val="20"/>
                <w:color w:val="auto"/>
              </w:rPr>
            </w:pPr>
            <w:r>
              <w:rPr>
                <w:rFonts w:ascii="Arial" w:cs="Arial" w:eastAsia="Arial" w:hAnsi="Arial"/>
                <w:sz w:val="18"/>
                <w:szCs w:val="18"/>
                <w:color w:val="auto"/>
              </w:rPr>
              <w:t>1,106,362</w:t>
            </w:r>
          </w:p>
        </w:tc>
        <w:tc>
          <w:tcPr>
            <w:tcW w:w="0" w:type="dxa"/>
            <w:vAlign w:val="bottom"/>
          </w:tcPr>
          <w:p>
            <w:pPr>
              <w:spacing w:after="0"/>
              <w:rPr>
                <w:sz w:val="1"/>
                <w:szCs w:val="1"/>
                <w:color w:val="auto"/>
              </w:rPr>
            </w:pPr>
          </w:p>
        </w:tc>
      </w:tr>
      <w:tr>
        <w:trPr>
          <w:trHeight w:val="243"/>
        </w:trPr>
        <w:tc>
          <w:tcPr>
            <w:tcW w:w="4500" w:type="dxa"/>
            <w:vAlign w:val="bottom"/>
          </w:tcPr>
          <w:p>
            <w:pPr>
              <w:spacing w:after="0"/>
              <w:rPr>
                <w:sz w:val="20"/>
                <w:szCs w:val="20"/>
                <w:color w:val="auto"/>
              </w:rPr>
            </w:pPr>
            <w:r>
              <w:rPr>
                <w:rFonts w:ascii="Arial" w:cs="Arial" w:eastAsia="Arial" w:hAnsi="Arial"/>
                <w:sz w:val="18"/>
                <w:szCs w:val="18"/>
                <w:color w:val="auto"/>
              </w:rPr>
              <w:t>Cumulative interest sensitivity gap</w:t>
            </w:r>
          </w:p>
        </w:tc>
        <w:tc>
          <w:tcPr>
            <w:tcW w:w="1120" w:type="dxa"/>
            <w:vAlign w:val="bottom"/>
          </w:tcPr>
          <w:p>
            <w:pPr>
              <w:jc w:val="right"/>
              <w:spacing w:after="0"/>
              <w:rPr>
                <w:sz w:val="20"/>
                <w:szCs w:val="20"/>
                <w:color w:val="auto"/>
              </w:rPr>
            </w:pPr>
            <w:r>
              <w:rPr>
                <w:rFonts w:ascii="Arial" w:cs="Arial" w:eastAsia="Arial" w:hAnsi="Arial"/>
                <w:sz w:val="18"/>
                <w:szCs w:val="18"/>
                <w:color w:val="auto"/>
              </w:rPr>
              <w:t>-86.12%</w:t>
            </w:r>
          </w:p>
        </w:tc>
        <w:tc>
          <w:tcPr>
            <w:tcW w:w="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-6.59%</w:t>
            </w:r>
          </w:p>
        </w:tc>
        <w:tc>
          <w:tcPr>
            <w:tcW w:w="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-6.59%</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-10.89%</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-12.99%</w:t>
            </w:r>
          </w:p>
        </w:tc>
        <w:tc>
          <w:tcPr>
            <w:tcW w:w="1120" w:type="dxa"/>
            <w:vAlign w:val="bottom"/>
          </w:tcPr>
          <w:p>
            <w:pPr>
              <w:jc w:val="right"/>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43"/>
        </w:trPr>
        <w:tc>
          <w:tcPr>
            <w:tcW w:w="4500" w:type="dxa"/>
            <w:vAlign w:val="bottom"/>
          </w:tcPr>
          <w:p>
            <w:pPr>
              <w:spacing w:after="0"/>
              <w:rPr>
                <w:sz w:val="20"/>
                <w:szCs w:val="20"/>
                <w:color w:val="auto"/>
              </w:rPr>
            </w:pPr>
            <w:r>
              <w:rPr>
                <w:rFonts w:ascii="Arial" w:cs="Arial" w:eastAsia="Arial" w:hAnsi="Arial"/>
                <w:sz w:val="18"/>
                <w:szCs w:val="18"/>
                <w:b w:val="1"/>
                <w:bCs w:val="1"/>
                <w:color w:val="auto"/>
              </w:rPr>
              <w:t>Foreign Currency-denominated: Assets:</w:t>
            </w: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tcPr>
          <w:p>
            <w:pPr>
              <w:spacing w:after="0"/>
              <w:rPr>
                <w:sz w:val="20"/>
                <w:szCs w:val="20"/>
                <w:color w:val="auto"/>
              </w:rPr>
            </w:pPr>
            <w:r>
              <w:rPr>
                <w:rFonts w:ascii="Arial" w:cs="Arial" w:eastAsia="Arial" w:hAnsi="Arial"/>
                <w:sz w:val="18"/>
                <w:szCs w:val="18"/>
                <w:color w:val="auto"/>
              </w:rPr>
              <w:t>Loans, net</w:t>
            </w:r>
          </w:p>
        </w:tc>
        <w:tc>
          <w:tcPr>
            <w:tcW w:w="1120" w:type="dxa"/>
            <w:vAlign w:val="bottom"/>
          </w:tcPr>
          <w:p>
            <w:pPr>
              <w:jc w:val="right"/>
              <w:spacing w:after="0"/>
              <w:rPr>
                <w:sz w:val="20"/>
                <w:szCs w:val="20"/>
                <w:color w:val="auto"/>
              </w:rPr>
            </w:pPr>
            <w:r>
              <w:rPr>
                <w:rFonts w:ascii="Arial" w:cs="Arial" w:eastAsia="Arial" w:hAnsi="Arial"/>
                <w:sz w:val="18"/>
                <w:szCs w:val="18"/>
                <w:color w:val="auto"/>
              </w:rPr>
              <w:t>1,784,530</w:t>
            </w:r>
          </w:p>
        </w:tc>
        <w:tc>
          <w:tcPr>
            <w:tcW w:w="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765,391</w:t>
            </w:r>
          </w:p>
        </w:tc>
        <w:tc>
          <w:tcPr>
            <w:tcW w:w="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2,549,921</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390,897</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147,451</w:t>
            </w:r>
          </w:p>
        </w:tc>
        <w:tc>
          <w:tcPr>
            <w:tcW w:w="1120" w:type="dxa"/>
            <w:vAlign w:val="bottom"/>
          </w:tcPr>
          <w:p>
            <w:pPr>
              <w:jc w:val="right"/>
              <w:spacing w:after="0"/>
              <w:rPr>
                <w:sz w:val="20"/>
                <w:szCs w:val="20"/>
                <w:color w:val="auto"/>
              </w:rPr>
            </w:pPr>
            <w:r>
              <w:rPr>
                <w:rFonts w:ascii="Arial" w:cs="Arial" w:eastAsia="Arial" w:hAnsi="Arial"/>
                <w:sz w:val="18"/>
                <w:szCs w:val="18"/>
                <w:color w:val="auto"/>
              </w:rPr>
              <w:t>3,088,269</w:t>
            </w:r>
          </w:p>
        </w:tc>
        <w:tc>
          <w:tcPr>
            <w:tcW w:w="0" w:type="dxa"/>
            <w:vAlign w:val="bottom"/>
          </w:tcPr>
          <w:p>
            <w:pPr>
              <w:spacing w:after="0"/>
              <w:rPr>
                <w:sz w:val="1"/>
                <w:szCs w:val="1"/>
                <w:color w:val="auto"/>
              </w:rPr>
            </w:pPr>
          </w:p>
        </w:tc>
      </w:tr>
      <w:tr>
        <w:trPr>
          <w:trHeight w:val="243"/>
        </w:trPr>
        <w:tc>
          <w:tcPr>
            <w:tcW w:w="4500" w:type="dxa"/>
            <w:vAlign w:val="bottom"/>
          </w:tcPr>
          <w:p>
            <w:pPr>
              <w:spacing w:after="0"/>
              <w:rPr>
                <w:sz w:val="20"/>
                <w:szCs w:val="20"/>
                <w:color w:val="auto"/>
              </w:rPr>
            </w:pPr>
            <w:r>
              <w:rPr>
                <w:rFonts w:ascii="Arial" w:cs="Arial" w:eastAsia="Arial" w:hAnsi="Arial"/>
                <w:sz w:val="18"/>
                <w:szCs w:val="18"/>
                <w:color w:val="auto"/>
              </w:rPr>
              <w:t>Investment securities</w:t>
            </w:r>
          </w:p>
        </w:tc>
        <w:tc>
          <w:tcPr>
            <w:tcW w:w="1120" w:type="dxa"/>
            <w:vAlign w:val="bottom"/>
          </w:tcPr>
          <w:p>
            <w:pPr>
              <w:jc w:val="right"/>
              <w:spacing w:after="0"/>
              <w:rPr>
                <w:sz w:val="20"/>
                <w:szCs w:val="20"/>
                <w:color w:val="auto"/>
              </w:rPr>
            </w:pPr>
            <w:r>
              <w:rPr>
                <w:rFonts w:ascii="Arial" w:cs="Arial" w:eastAsia="Arial" w:hAnsi="Arial"/>
                <w:sz w:val="18"/>
                <w:szCs w:val="18"/>
                <w:color w:val="auto"/>
              </w:rPr>
              <w:t>125,702</w:t>
            </w:r>
          </w:p>
        </w:tc>
        <w:tc>
          <w:tcPr>
            <w:tcW w:w="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145,518</w:t>
            </w:r>
          </w:p>
        </w:tc>
        <w:tc>
          <w:tcPr>
            <w:tcW w:w="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271,220</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387,287</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94,111</w:t>
            </w:r>
          </w:p>
        </w:tc>
        <w:tc>
          <w:tcPr>
            <w:tcW w:w="1120" w:type="dxa"/>
            <w:vAlign w:val="bottom"/>
          </w:tcPr>
          <w:p>
            <w:pPr>
              <w:jc w:val="right"/>
              <w:spacing w:after="0"/>
              <w:rPr>
                <w:sz w:val="20"/>
                <w:szCs w:val="20"/>
                <w:color w:val="auto"/>
              </w:rPr>
            </w:pPr>
            <w:r>
              <w:rPr>
                <w:rFonts w:ascii="Arial" w:cs="Arial" w:eastAsia="Arial" w:hAnsi="Arial"/>
                <w:sz w:val="18"/>
                <w:szCs w:val="18"/>
                <w:color w:val="auto"/>
              </w:rPr>
              <w:t>752,618</w:t>
            </w:r>
          </w:p>
        </w:tc>
        <w:tc>
          <w:tcPr>
            <w:tcW w:w="0" w:type="dxa"/>
            <w:vAlign w:val="bottom"/>
          </w:tcPr>
          <w:p>
            <w:pPr>
              <w:spacing w:after="0"/>
              <w:rPr>
                <w:sz w:val="1"/>
                <w:szCs w:val="1"/>
                <w:color w:val="auto"/>
              </w:rPr>
            </w:pPr>
          </w:p>
        </w:tc>
      </w:tr>
      <w:tr>
        <w:trPr>
          <w:trHeight w:val="237"/>
        </w:trPr>
        <w:tc>
          <w:tcPr>
            <w:tcW w:w="4500" w:type="dxa"/>
            <w:vAlign w:val="bottom"/>
          </w:tcPr>
          <w:p>
            <w:pPr>
              <w:spacing w:after="0"/>
              <w:rPr>
                <w:sz w:val="20"/>
                <w:szCs w:val="20"/>
                <w:color w:val="auto"/>
              </w:rPr>
            </w:pPr>
            <w:r>
              <w:rPr>
                <w:rFonts w:ascii="Arial" w:cs="Arial" w:eastAsia="Arial" w:hAnsi="Arial"/>
                <w:sz w:val="18"/>
                <w:szCs w:val="18"/>
                <w:color w:val="auto"/>
              </w:rPr>
              <w:t>Deposits in other banks, and</w:t>
            </w: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500" w:type="dxa"/>
            <w:vAlign w:val="bottom"/>
          </w:tcPr>
          <w:p>
            <w:pPr>
              <w:ind w:left="260"/>
              <w:spacing w:after="0"/>
              <w:rPr>
                <w:sz w:val="20"/>
                <w:szCs w:val="20"/>
                <w:color w:val="auto"/>
              </w:rPr>
            </w:pPr>
            <w:r>
              <w:rPr>
                <w:rFonts w:ascii="Arial" w:cs="Arial" w:eastAsia="Arial" w:hAnsi="Arial"/>
                <w:sz w:val="18"/>
                <w:szCs w:val="18"/>
                <w:color w:val="auto"/>
              </w:rPr>
              <w:t>Other instruments</w:t>
            </w:r>
          </w:p>
        </w:tc>
        <w:tc>
          <w:tcPr>
            <w:tcW w:w="1120" w:type="dxa"/>
            <w:vAlign w:val="bottom"/>
          </w:tcPr>
          <w:p>
            <w:pPr>
              <w:jc w:val="right"/>
              <w:spacing w:after="0"/>
              <w:rPr>
                <w:sz w:val="20"/>
                <w:szCs w:val="20"/>
                <w:color w:val="auto"/>
              </w:rPr>
            </w:pPr>
            <w:r>
              <w:rPr>
                <w:rFonts w:ascii="Arial" w:cs="Arial" w:eastAsia="Arial" w:hAnsi="Arial"/>
                <w:sz w:val="18"/>
                <w:szCs w:val="18"/>
                <w:color w:val="auto"/>
              </w:rPr>
              <w:t>1,180,633</w:t>
            </w:r>
          </w:p>
        </w:tc>
        <w:tc>
          <w:tcPr>
            <w:tcW w:w="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57,285</w:t>
            </w:r>
          </w:p>
        </w:tc>
        <w:tc>
          <w:tcPr>
            <w:tcW w:w="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1,237,918</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12,375</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770</w:t>
            </w:r>
          </w:p>
        </w:tc>
        <w:tc>
          <w:tcPr>
            <w:tcW w:w="1120" w:type="dxa"/>
            <w:vAlign w:val="bottom"/>
          </w:tcPr>
          <w:p>
            <w:pPr>
              <w:jc w:val="right"/>
              <w:spacing w:after="0"/>
              <w:rPr>
                <w:sz w:val="20"/>
                <w:szCs w:val="20"/>
                <w:color w:val="auto"/>
              </w:rPr>
            </w:pPr>
            <w:r>
              <w:rPr>
                <w:rFonts w:ascii="Arial" w:cs="Arial" w:eastAsia="Arial" w:hAnsi="Arial"/>
                <w:sz w:val="18"/>
                <w:szCs w:val="18"/>
                <w:color w:val="auto"/>
              </w:rPr>
              <w:t>1,251,063</w:t>
            </w:r>
          </w:p>
        </w:tc>
        <w:tc>
          <w:tcPr>
            <w:tcW w:w="0" w:type="dxa"/>
            <w:vAlign w:val="bottom"/>
          </w:tcPr>
          <w:p>
            <w:pPr>
              <w:spacing w:after="0"/>
              <w:rPr>
                <w:sz w:val="1"/>
                <w:szCs w:val="1"/>
                <w:color w:val="auto"/>
              </w:rPr>
            </w:pPr>
          </w:p>
        </w:tc>
      </w:tr>
      <w:tr>
        <w:trPr>
          <w:trHeight w:val="137"/>
        </w:trPr>
        <w:tc>
          <w:tcPr>
            <w:tcW w:w="450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43"/>
        </w:trPr>
        <w:tc>
          <w:tcPr>
            <w:tcW w:w="4500" w:type="dxa"/>
            <w:vAlign w:val="bottom"/>
          </w:tcPr>
          <w:p>
            <w:pPr>
              <w:ind w:left="220"/>
              <w:spacing w:after="0"/>
              <w:rPr>
                <w:sz w:val="20"/>
                <w:szCs w:val="20"/>
                <w:color w:val="auto"/>
              </w:rPr>
            </w:pPr>
            <w:r>
              <w:rPr>
                <w:rFonts w:ascii="Arial" w:cs="Arial" w:eastAsia="Arial" w:hAnsi="Arial"/>
                <w:sz w:val="18"/>
                <w:szCs w:val="18"/>
                <w:color w:val="auto"/>
              </w:rPr>
              <w:t>Total</w:t>
            </w:r>
          </w:p>
        </w:tc>
        <w:tc>
          <w:tcPr>
            <w:tcW w:w="1120" w:type="dxa"/>
            <w:vAlign w:val="bottom"/>
          </w:tcPr>
          <w:p>
            <w:pPr>
              <w:jc w:val="right"/>
              <w:spacing w:after="0"/>
              <w:rPr>
                <w:sz w:val="20"/>
                <w:szCs w:val="20"/>
                <w:color w:val="auto"/>
              </w:rPr>
            </w:pPr>
            <w:r>
              <w:rPr>
                <w:rFonts w:ascii="Arial" w:cs="Arial" w:eastAsia="Arial" w:hAnsi="Arial"/>
                <w:sz w:val="18"/>
                <w:szCs w:val="18"/>
                <w:color w:val="auto"/>
              </w:rPr>
              <w:t>3,090,865</w:t>
            </w:r>
          </w:p>
        </w:tc>
        <w:tc>
          <w:tcPr>
            <w:tcW w:w="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968,194</w:t>
            </w:r>
          </w:p>
        </w:tc>
        <w:tc>
          <w:tcPr>
            <w:tcW w:w="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4,059,059</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790,559</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242,332</w:t>
            </w:r>
          </w:p>
        </w:tc>
        <w:tc>
          <w:tcPr>
            <w:tcW w:w="1120" w:type="dxa"/>
            <w:vAlign w:val="bottom"/>
          </w:tcPr>
          <w:p>
            <w:pPr>
              <w:jc w:val="right"/>
              <w:spacing w:after="0"/>
              <w:rPr>
                <w:sz w:val="20"/>
                <w:szCs w:val="20"/>
                <w:color w:val="auto"/>
              </w:rPr>
            </w:pPr>
            <w:r>
              <w:rPr>
                <w:rFonts w:ascii="Arial" w:cs="Arial" w:eastAsia="Arial" w:hAnsi="Arial"/>
                <w:sz w:val="18"/>
                <w:szCs w:val="18"/>
                <w:color w:val="auto"/>
              </w:rPr>
              <w:t>5,091,950</w:t>
            </w:r>
          </w:p>
        </w:tc>
        <w:tc>
          <w:tcPr>
            <w:tcW w:w="0" w:type="dxa"/>
            <w:vAlign w:val="bottom"/>
          </w:tcPr>
          <w:p>
            <w:pPr>
              <w:spacing w:after="0"/>
              <w:rPr>
                <w:sz w:val="1"/>
                <w:szCs w:val="1"/>
                <w:color w:val="auto"/>
              </w:rPr>
            </w:pPr>
          </w:p>
        </w:tc>
      </w:tr>
      <w:tr>
        <w:trPr>
          <w:trHeight w:val="137"/>
        </w:trPr>
        <w:tc>
          <w:tcPr>
            <w:tcW w:w="450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Liabilities:</w:t>
            </w:r>
          </w:p>
        </w:tc>
        <w:tc>
          <w:tcPr>
            <w:tcW w:w="112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43"/>
        </w:trPr>
        <w:tc>
          <w:tcPr>
            <w:tcW w:w="450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00" w:type="dxa"/>
            <w:vAlign w:val="bottom"/>
          </w:tcPr>
          <w:p>
            <w:pPr>
              <w:spacing w:after="0"/>
              <w:rPr>
                <w:sz w:val="20"/>
                <w:szCs w:val="20"/>
                <w:color w:val="auto"/>
              </w:rPr>
            </w:pPr>
            <w:r>
              <w:rPr>
                <w:rFonts w:ascii="Arial" w:cs="Arial" w:eastAsia="Arial" w:hAnsi="Arial"/>
                <w:sz w:val="18"/>
                <w:szCs w:val="18"/>
                <w:color w:val="auto"/>
              </w:rPr>
              <w:t>Demand and saving deposits(1)</w:t>
            </w:r>
          </w:p>
        </w:tc>
        <w:tc>
          <w:tcPr>
            <w:tcW w:w="1120" w:type="dxa"/>
            <w:vAlign w:val="bottom"/>
          </w:tcPr>
          <w:p>
            <w:pPr>
              <w:jc w:val="right"/>
              <w:spacing w:after="0"/>
              <w:rPr>
                <w:sz w:val="20"/>
                <w:szCs w:val="20"/>
                <w:color w:val="auto"/>
              </w:rPr>
            </w:pPr>
            <w:r>
              <w:rPr>
                <w:rFonts w:ascii="Arial" w:cs="Arial" w:eastAsia="Arial" w:hAnsi="Arial"/>
                <w:sz w:val="18"/>
                <w:szCs w:val="18"/>
                <w:color w:val="auto"/>
              </w:rPr>
              <w:t>1,542,284</w:t>
            </w:r>
          </w:p>
        </w:tc>
        <w:tc>
          <w:tcPr>
            <w:tcW w:w="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1,542,284</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0</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1120" w:type="dxa"/>
            <w:vAlign w:val="bottom"/>
          </w:tcPr>
          <w:p>
            <w:pPr>
              <w:jc w:val="right"/>
              <w:spacing w:after="0"/>
              <w:rPr>
                <w:sz w:val="20"/>
                <w:szCs w:val="20"/>
                <w:color w:val="auto"/>
              </w:rPr>
            </w:pPr>
            <w:r>
              <w:rPr>
                <w:rFonts w:ascii="Arial" w:cs="Arial" w:eastAsia="Arial" w:hAnsi="Arial"/>
                <w:sz w:val="18"/>
                <w:szCs w:val="18"/>
                <w:color w:val="auto"/>
              </w:rPr>
              <w:t>1,542,284</w:t>
            </w:r>
          </w:p>
        </w:tc>
        <w:tc>
          <w:tcPr>
            <w:tcW w:w="0" w:type="dxa"/>
            <w:vAlign w:val="bottom"/>
          </w:tcPr>
          <w:p>
            <w:pPr>
              <w:spacing w:after="0"/>
              <w:rPr>
                <w:sz w:val="1"/>
                <w:szCs w:val="1"/>
                <w:color w:val="auto"/>
              </w:rPr>
            </w:pPr>
          </w:p>
        </w:tc>
      </w:tr>
      <w:tr>
        <w:trPr>
          <w:trHeight w:val="243"/>
        </w:trPr>
        <w:tc>
          <w:tcPr>
            <w:tcW w:w="4500" w:type="dxa"/>
            <w:vAlign w:val="bottom"/>
          </w:tcPr>
          <w:p>
            <w:pPr>
              <w:spacing w:after="0"/>
              <w:rPr>
                <w:sz w:val="20"/>
                <w:szCs w:val="20"/>
                <w:color w:val="auto"/>
              </w:rPr>
            </w:pPr>
            <w:r>
              <w:rPr>
                <w:rFonts w:ascii="Arial" w:cs="Arial" w:eastAsia="Arial" w:hAnsi="Arial"/>
                <w:sz w:val="18"/>
                <w:szCs w:val="18"/>
                <w:color w:val="auto"/>
              </w:rPr>
              <w:t>Time deposits</w:t>
            </w:r>
          </w:p>
        </w:tc>
        <w:tc>
          <w:tcPr>
            <w:tcW w:w="1120" w:type="dxa"/>
            <w:vAlign w:val="bottom"/>
          </w:tcPr>
          <w:p>
            <w:pPr>
              <w:jc w:val="right"/>
              <w:spacing w:after="0"/>
              <w:rPr>
                <w:sz w:val="20"/>
                <w:szCs w:val="20"/>
                <w:color w:val="auto"/>
              </w:rPr>
            </w:pPr>
            <w:r>
              <w:rPr>
                <w:rFonts w:ascii="Arial" w:cs="Arial" w:eastAsia="Arial" w:hAnsi="Arial"/>
                <w:sz w:val="18"/>
                <w:szCs w:val="18"/>
                <w:color w:val="auto"/>
              </w:rPr>
              <w:t>1,850,240</w:t>
            </w:r>
          </w:p>
        </w:tc>
        <w:tc>
          <w:tcPr>
            <w:tcW w:w="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497,876</w:t>
            </w:r>
          </w:p>
        </w:tc>
        <w:tc>
          <w:tcPr>
            <w:tcW w:w="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2,348,116</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167,995</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1120" w:type="dxa"/>
            <w:vAlign w:val="bottom"/>
          </w:tcPr>
          <w:p>
            <w:pPr>
              <w:jc w:val="right"/>
              <w:spacing w:after="0"/>
              <w:rPr>
                <w:sz w:val="20"/>
                <w:szCs w:val="20"/>
                <w:color w:val="auto"/>
              </w:rPr>
            </w:pPr>
            <w:r>
              <w:rPr>
                <w:rFonts w:ascii="Arial" w:cs="Arial" w:eastAsia="Arial" w:hAnsi="Arial"/>
                <w:sz w:val="18"/>
                <w:szCs w:val="18"/>
                <w:color w:val="auto"/>
              </w:rPr>
              <w:t>2,516,111</w:t>
            </w:r>
          </w:p>
        </w:tc>
        <w:tc>
          <w:tcPr>
            <w:tcW w:w="0" w:type="dxa"/>
            <w:vAlign w:val="bottom"/>
          </w:tcPr>
          <w:p>
            <w:pPr>
              <w:spacing w:after="0"/>
              <w:rPr>
                <w:sz w:val="1"/>
                <w:szCs w:val="1"/>
                <w:color w:val="auto"/>
              </w:rPr>
            </w:pPr>
          </w:p>
        </w:tc>
      </w:tr>
      <w:tr>
        <w:trPr>
          <w:trHeight w:val="459"/>
        </w:trPr>
        <w:tc>
          <w:tcPr>
            <w:tcW w:w="4500" w:type="dxa"/>
            <w:vAlign w:val="bottom"/>
          </w:tcPr>
          <w:p>
            <w:pPr>
              <w:spacing w:after="0"/>
              <w:rPr>
                <w:sz w:val="24"/>
                <w:szCs w:val="24"/>
                <w:color w:val="auto"/>
              </w:rPr>
            </w:pPr>
          </w:p>
        </w:tc>
        <w:tc>
          <w:tcPr>
            <w:tcW w:w="2280" w:type="dxa"/>
            <w:vAlign w:val="bottom"/>
            <w:gridSpan w:val="3"/>
          </w:tcPr>
          <w:p>
            <w:pPr>
              <w:jc w:val="right"/>
              <w:ind w:right="892"/>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-5653405</wp:posOffset>
            </wp:positionV>
            <wp:extent cx="34290" cy="342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3576955</wp:posOffset>
            </wp:positionH>
            <wp:positionV relativeFrom="paragraph">
              <wp:posOffset>-5199380</wp:posOffset>
            </wp:positionV>
            <wp:extent cx="34290" cy="342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-5199380</wp:posOffset>
            </wp:positionV>
            <wp:extent cx="34290" cy="342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-5199380</wp:posOffset>
            </wp:positionV>
            <wp:extent cx="34290" cy="342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-5199380</wp:posOffset>
            </wp:positionV>
            <wp:extent cx="34290" cy="342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-5199380</wp:posOffset>
            </wp:positionV>
            <wp:extent cx="34290" cy="342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-5199380</wp:posOffset>
            </wp:positionV>
            <wp:extent cx="34290" cy="342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3576955</wp:posOffset>
            </wp:positionH>
            <wp:positionV relativeFrom="paragraph">
              <wp:posOffset>-4264660</wp:posOffset>
            </wp:positionV>
            <wp:extent cx="34290" cy="342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-4264660</wp:posOffset>
            </wp:positionV>
            <wp:extent cx="34290" cy="342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-4264660</wp:posOffset>
            </wp:positionV>
            <wp:extent cx="34290" cy="342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-4264660</wp:posOffset>
            </wp:positionV>
            <wp:extent cx="34290" cy="342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-4264660</wp:posOffset>
            </wp:positionV>
            <wp:extent cx="34290" cy="342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-4264660</wp:posOffset>
            </wp:positionV>
            <wp:extent cx="34290" cy="342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3576955</wp:posOffset>
            </wp:positionH>
            <wp:positionV relativeFrom="paragraph">
              <wp:posOffset>-3947160</wp:posOffset>
            </wp:positionV>
            <wp:extent cx="34290" cy="342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-3947160</wp:posOffset>
            </wp:positionV>
            <wp:extent cx="34290" cy="342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-3947160</wp:posOffset>
            </wp:positionV>
            <wp:extent cx="34290" cy="342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-3947160</wp:posOffset>
            </wp:positionV>
            <wp:extent cx="34290" cy="342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-3947160</wp:posOffset>
            </wp:positionV>
            <wp:extent cx="34290" cy="342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-3947160</wp:posOffset>
            </wp:positionV>
            <wp:extent cx="34290" cy="342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3576955</wp:posOffset>
            </wp:positionH>
            <wp:positionV relativeFrom="paragraph">
              <wp:posOffset>-3012440</wp:posOffset>
            </wp:positionV>
            <wp:extent cx="34290" cy="342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-3012440</wp:posOffset>
            </wp:positionV>
            <wp:extent cx="34290" cy="342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-3012440</wp:posOffset>
            </wp:positionV>
            <wp:extent cx="34290" cy="342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-3012440</wp:posOffset>
            </wp:positionV>
            <wp:extent cx="34290" cy="342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-3012440</wp:posOffset>
            </wp:positionV>
            <wp:extent cx="34290" cy="342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-3012440</wp:posOffset>
            </wp:positionV>
            <wp:extent cx="34290" cy="342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3576955</wp:posOffset>
            </wp:positionH>
            <wp:positionV relativeFrom="paragraph">
              <wp:posOffset>-2694940</wp:posOffset>
            </wp:positionV>
            <wp:extent cx="34290" cy="342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-2694940</wp:posOffset>
            </wp:positionV>
            <wp:extent cx="34290" cy="342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-2694940</wp:posOffset>
            </wp:positionV>
            <wp:extent cx="34290" cy="342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-2694940</wp:posOffset>
            </wp:positionV>
            <wp:extent cx="34290" cy="342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-2694940</wp:posOffset>
            </wp:positionV>
            <wp:extent cx="34290" cy="342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-2694940</wp:posOffset>
            </wp:positionV>
            <wp:extent cx="34290" cy="342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3576955</wp:posOffset>
            </wp:positionH>
            <wp:positionV relativeFrom="paragraph">
              <wp:posOffset>-1160145</wp:posOffset>
            </wp:positionV>
            <wp:extent cx="34290" cy="342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-1160145</wp:posOffset>
            </wp:positionV>
            <wp:extent cx="34290" cy="342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-1160145</wp:posOffset>
            </wp:positionV>
            <wp:extent cx="34290" cy="342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-1160145</wp:posOffset>
            </wp:positionV>
            <wp:extent cx="34290" cy="342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-1160145</wp:posOffset>
            </wp:positionV>
            <wp:extent cx="34290" cy="342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-1160145</wp:posOffset>
            </wp:positionV>
            <wp:extent cx="34290" cy="342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3576955</wp:posOffset>
            </wp:positionH>
            <wp:positionV relativeFrom="paragraph">
              <wp:posOffset>-842645</wp:posOffset>
            </wp:positionV>
            <wp:extent cx="34290" cy="342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-842645</wp:posOffset>
            </wp:positionV>
            <wp:extent cx="34290" cy="342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-842645</wp:posOffset>
            </wp:positionV>
            <wp:extent cx="34290" cy="342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-842645</wp:posOffset>
            </wp:positionV>
            <wp:extent cx="34290" cy="342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-842645</wp:posOffset>
            </wp:positionV>
            <wp:extent cx="34290" cy="342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-842645</wp:posOffset>
            </wp:positionV>
            <wp:extent cx="34290" cy="342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16"/>
        </w:trPr>
        <w:tc>
          <w:tcPr>
            <w:tcW w:w="4540" w:type="dxa"/>
            <w:vAlign w:val="bottom"/>
          </w:tcPr>
          <w:p>
            <w:pPr>
              <w:ind w:left="40"/>
              <w:spacing w:after="0"/>
              <w:rPr>
                <w:sz w:val="20"/>
                <w:szCs w:val="20"/>
                <w:color w:val="auto"/>
              </w:rPr>
            </w:pPr>
            <w:r>
              <w:rPr>
                <w:rFonts w:ascii="Arial" w:cs="Arial" w:eastAsia="Arial" w:hAnsi="Arial"/>
                <w:sz w:val="18"/>
                <w:szCs w:val="18"/>
                <w:color w:val="auto"/>
              </w:rPr>
              <w:t>Interbank deposits received and</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2"/>
        </w:trPr>
        <w:tc>
          <w:tcPr>
            <w:tcW w:w="4540" w:type="dxa"/>
            <w:vAlign w:val="bottom"/>
          </w:tcPr>
          <w:p>
            <w:pPr>
              <w:ind w:left="300"/>
              <w:spacing w:after="0"/>
              <w:rPr>
                <w:sz w:val="20"/>
                <w:szCs w:val="20"/>
                <w:color w:val="auto"/>
              </w:rPr>
            </w:pPr>
            <w:r>
              <w:rPr>
                <w:rFonts w:ascii="Arial" w:cs="Arial" w:eastAsia="Arial" w:hAnsi="Arial"/>
                <w:sz w:val="18"/>
                <w:szCs w:val="18"/>
                <w:color w:val="auto"/>
              </w:rPr>
              <w:t>Borrowings</w:t>
            </w:r>
          </w:p>
        </w:tc>
        <w:tc>
          <w:tcPr>
            <w:tcW w:w="1120" w:type="dxa"/>
            <w:vAlign w:val="bottom"/>
          </w:tcPr>
          <w:p>
            <w:pPr>
              <w:jc w:val="right"/>
              <w:spacing w:after="0"/>
              <w:rPr>
                <w:sz w:val="20"/>
                <w:szCs w:val="20"/>
                <w:color w:val="auto"/>
              </w:rPr>
            </w:pPr>
            <w:r>
              <w:rPr>
                <w:rFonts w:ascii="Arial" w:cs="Arial" w:eastAsia="Arial" w:hAnsi="Arial"/>
                <w:sz w:val="18"/>
                <w:szCs w:val="18"/>
                <w:color w:val="auto"/>
              </w:rPr>
              <w:t>62,530</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17,113</w:t>
            </w:r>
          </w:p>
        </w:tc>
        <w:tc>
          <w:tcPr>
            <w:tcW w:w="1120" w:type="dxa"/>
            <w:vAlign w:val="bottom"/>
          </w:tcPr>
          <w:p>
            <w:pPr>
              <w:jc w:val="right"/>
              <w:spacing w:after="0"/>
              <w:rPr>
                <w:sz w:val="20"/>
                <w:szCs w:val="20"/>
                <w:color w:val="auto"/>
              </w:rPr>
            </w:pPr>
            <w:r>
              <w:rPr>
                <w:rFonts w:ascii="Arial" w:cs="Arial" w:eastAsia="Arial" w:hAnsi="Arial"/>
                <w:sz w:val="18"/>
                <w:szCs w:val="18"/>
                <w:color w:val="auto"/>
              </w:rPr>
              <w:t>79,643</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25,000</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24,000</w:t>
            </w:r>
          </w:p>
        </w:tc>
        <w:tc>
          <w:tcPr>
            <w:tcW w:w="1120" w:type="dxa"/>
            <w:vAlign w:val="bottom"/>
          </w:tcPr>
          <w:p>
            <w:pPr>
              <w:jc w:val="right"/>
              <w:spacing w:after="0"/>
              <w:rPr>
                <w:sz w:val="20"/>
                <w:szCs w:val="20"/>
                <w:color w:val="auto"/>
              </w:rPr>
            </w:pPr>
            <w:r>
              <w:rPr>
                <w:rFonts w:ascii="Arial" w:cs="Arial" w:eastAsia="Arial" w:hAnsi="Arial"/>
                <w:sz w:val="18"/>
                <w:szCs w:val="18"/>
                <w:color w:val="auto"/>
              </w:rPr>
              <w:t>128,643</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Bonds and mortgage notes</w:t>
            </w:r>
          </w:p>
        </w:tc>
        <w:tc>
          <w:tcPr>
            <w:tcW w:w="1120" w:type="dxa"/>
            <w:vAlign w:val="bottom"/>
          </w:tcPr>
          <w:p>
            <w:pPr>
              <w:jc w:val="right"/>
              <w:spacing w:after="0"/>
              <w:rPr>
                <w:sz w:val="20"/>
                <w:szCs w:val="20"/>
                <w:color w:val="auto"/>
              </w:rPr>
            </w:pPr>
            <w:r>
              <w:rPr>
                <w:rFonts w:ascii="Arial" w:cs="Arial" w:eastAsia="Arial" w:hAnsi="Arial"/>
                <w:sz w:val="18"/>
                <w:szCs w:val="18"/>
                <w:color w:val="auto"/>
              </w:rPr>
              <w:t>10,000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20,000</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173,000</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94,000</w:t>
            </w:r>
          </w:p>
        </w:tc>
        <w:tc>
          <w:tcPr>
            <w:tcW w:w="1120" w:type="dxa"/>
            <w:vAlign w:val="bottom"/>
          </w:tcPr>
          <w:p>
            <w:pPr>
              <w:jc w:val="right"/>
              <w:spacing w:after="0"/>
              <w:rPr>
                <w:sz w:val="20"/>
                <w:szCs w:val="20"/>
                <w:color w:val="auto"/>
              </w:rPr>
            </w:pPr>
            <w:r>
              <w:rPr>
                <w:rFonts w:ascii="Arial" w:cs="Arial" w:eastAsia="Arial" w:hAnsi="Arial"/>
                <w:sz w:val="18"/>
                <w:szCs w:val="18"/>
                <w:color w:val="auto"/>
              </w:rPr>
              <w:t>287,000</w:t>
            </w:r>
          </w:p>
        </w:tc>
      </w:tr>
      <w:tr>
        <w:trPr>
          <w:trHeight w:val="137"/>
        </w:trPr>
        <w:tc>
          <w:tcPr>
            <w:tcW w:w="454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r>
      <w:tr>
        <w:trPr>
          <w:trHeight w:val="343"/>
        </w:trPr>
        <w:tc>
          <w:tcPr>
            <w:tcW w:w="4540" w:type="dxa"/>
            <w:vAlign w:val="bottom"/>
          </w:tcPr>
          <w:p>
            <w:pPr>
              <w:ind w:left="260"/>
              <w:spacing w:after="0"/>
              <w:rPr>
                <w:sz w:val="20"/>
                <w:szCs w:val="20"/>
                <w:color w:val="auto"/>
              </w:rPr>
            </w:pPr>
            <w:r>
              <w:rPr>
                <w:rFonts w:ascii="Arial" w:cs="Arial" w:eastAsia="Arial" w:hAnsi="Arial"/>
                <w:sz w:val="18"/>
                <w:szCs w:val="18"/>
                <w:color w:val="auto"/>
              </w:rPr>
              <w:t>Total</w:t>
            </w:r>
          </w:p>
        </w:tc>
        <w:tc>
          <w:tcPr>
            <w:tcW w:w="1120" w:type="dxa"/>
            <w:vAlign w:val="bottom"/>
          </w:tcPr>
          <w:p>
            <w:pPr>
              <w:jc w:val="right"/>
              <w:spacing w:after="0"/>
              <w:rPr>
                <w:sz w:val="20"/>
                <w:szCs w:val="20"/>
                <w:color w:val="auto"/>
              </w:rPr>
            </w:pPr>
            <w:r>
              <w:rPr>
                <w:rFonts w:ascii="Arial" w:cs="Arial" w:eastAsia="Arial" w:hAnsi="Arial"/>
                <w:sz w:val="18"/>
                <w:szCs w:val="18"/>
                <w:color w:val="auto"/>
              </w:rPr>
              <w:t>3,465,054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524,989</w:t>
            </w:r>
          </w:p>
        </w:tc>
        <w:tc>
          <w:tcPr>
            <w:tcW w:w="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3,990,043</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365,995</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118,000</w:t>
            </w:r>
          </w:p>
        </w:tc>
        <w:tc>
          <w:tcPr>
            <w:tcW w:w="1120" w:type="dxa"/>
            <w:vAlign w:val="bottom"/>
          </w:tcPr>
          <w:p>
            <w:pPr>
              <w:jc w:val="right"/>
              <w:spacing w:after="0"/>
              <w:rPr>
                <w:sz w:val="20"/>
                <w:szCs w:val="20"/>
                <w:color w:val="auto"/>
              </w:rPr>
            </w:pPr>
            <w:r>
              <w:rPr>
                <w:rFonts w:ascii="Arial" w:cs="Arial" w:eastAsia="Arial" w:hAnsi="Arial"/>
                <w:sz w:val="18"/>
                <w:szCs w:val="18"/>
                <w:color w:val="auto"/>
              </w:rPr>
              <w:t>4,474,038</w:t>
            </w:r>
          </w:p>
        </w:tc>
      </w:tr>
      <w:tr>
        <w:trPr>
          <w:trHeight w:val="137"/>
        </w:trPr>
        <w:tc>
          <w:tcPr>
            <w:tcW w:w="454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r>
      <w:tr>
        <w:trPr>
          <w:trHeight w:val="343"/>
        </w:trPr>
        <w:tc>
          <w:tcPr>
            <w:tcW w:w="4540" w:type="dxa"/>
            <w:vAlign w:val="bottom"/>
          </w:tcPr>
          <w:p>
            <w:pPr>
              <w:ind w:left="260"/>
              <w:spacing w:after="0"/>
              <w:rPr>
                <w:sz w:val="20"/>
                <w:szCs w:val="20"/>
                <w:color w:val="auto"/>
              </w:rPr>
            </w:pPr>
            <w:r>
              <w:rPr>
                <w:rFonts w:ascii="Arial" w:cs="Arial" w:eastAsia="Arial" w:hAnsi="Arial"/>
                <w:sz w:val="18"/>
                <w:szCs w:val="18"/>
                <w:color w:val="auto"/>
              </w:rPr>
              <w:t>Interest sensitivity gap</w:t>
            </w:r>
          </w:p>
        </w:tc>
        <w:tc>
          <w:tcPr>
            <w:tcW w:w="1120" w:type="dxa"/>
            <w:vAlign w:val="bottom"/>
          </w:tcPr>
          <w:p>
            <w:pPr>
              <w:jc w:val="right"/>
              <w:spacing w:after="0"/>
              <w:rPr>
                <w:sz w:val="20"/>
                <w:szCs w:val="20"/>
                <w:color w:val="auto"/>
              </w:rPr>
            </w:pPr>
            <w:r>
              <w:rPr>
                <w:rFonts w:ascii="Arial" w:cs="Arial" w:eastAsia="Arial" w:hAnsi="Arial"/>
                <w:sz w:val="18"/>
                <w:szCs w:val="18"/>
                <w:color w:val="auto"/>
              </w:rPr>
              <w:t>-374,189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443,205</w:t>
            </w:r>
          </w:p>
        </w:tc>
        <w:tc>
          <w:tcPr>
            <w:tcW w:w="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69,016</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424,564</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124,332</w:t>
            </w:r>
          </w:p>
        </w:tc>
        <w:tc>
          <w:tcPr>
            <w:tcW w:w="1120" w:type="dxa"/>
            <w:vAlign w:val="bottom"/>
          </w:tcPr>
          <w:p>
            <w:pPr>
              <w:jc w:val="right"/>
              <w:spacing w:after="0"/>
              <w:rPr>
                <w:sz w:val="20"/>
                <w:szCs w:val="20"/>
                <w:color w:val="auto"/>
              </w:rPr>
            </w:pPr>
            <w:r>
              <w:rPr>
                <w:rFonts w:ascii="Arial" w:cs="Arial" w:eastAsia="Arial" w:hAnsi="Arial"/>
                <w:sz w:val="18"/>
                <w:szCs w:val="18"/>
                <w:color w:val="auto"/>
              </w:rPr>
              <w:t>617,912</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Cumulative interest sensitivity gap</w:t>
            </w:r>
          </w:p>
        </w:tc>
        <w:tc>
          <w:tcPr>
            <w:tcW w:w="1120" w:type="dxa"/>
            <w:vAlign w:val="bottom"/>
          </w:tcPr>
          <w:p>
            <w:pPr>
              <w:jc w:val="right"/>
              <w:spacing w:after="0"/>
              <w:rPr>
                <w:sz w:val="20"/>
                <w:szCs w:val="20"/>
                <w:color w:val="auto"/>
              </w:rPr>
            </w:pPr>
            <w:r>
              <w:rPr>
                <w:rFonts w:ascii="Arial" w:cs="Arial" w:eastAsia="Arial" w:hAnsi="Arial"/>
                <w:sz w:val="18"/>
                <w:szCs w:val="18"/>
                <w:color w:val="auto"/>
              </w:rPr>
              <w:t>-374,189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69,016</w:t>
            </w:r>
          </w:p>
        </w:tc>
        <w:tc>
          <w:tcPr>
            <w:tcW w:w="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69,016</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493,580</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617,912</w:t>
            </w:r>
          </w:p>
        </w:tc>
        <w:tc>
          <w:tcPr>
            <w:tcW w:w="1120" w:type="dxa"/>
            <w:vAlign w:val="bottom"/>
          </w:tcPr>
          <w:p>
            <w:pPr>
              <w:jc w:val="right"/>
              <w:spacing w:after="0"/>
              <w:rPr>
                <w:sz w:val="20"/>
                <w:szCs w:val="20"/>
                <w:color w:val="auto"/>
              </w:rPr>
            </w:pPr>
            <w:r>
              <w:rPr>
                <w:rFonts w:ascii="Arial" w:cs="Arial" w:eastAsia="Arial" w:hAnsi="Arial"/>
                <w:sz w:val="18"/>
                <w:szCs w:val="18"/>
                <w:color w:val="auto"/>
              </w:rPr>
              <w:t>617,912</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Cumulative interest-earning assets</w:t>
            </w:r>
          </w:p>
        </w:tc>
        <w:tc>
          <w:tcPr>
            <w:tcW w:w="1120" w:type="dxa"/>
            <w:vAlign w:val="bottom"/>
          </w:tcPr>
          <w:p>
            <w:pPr>
              <w:jc w:val="right"/>
              <w:spacing w:after="0"/>
              <w:rPr>
                <w:sz w:val="20"/>
                <w:szCs w:val="20"/>
                <w:color w:val="auto"/>
              </w:rPr>
            </w:pPr>
            <w:r>
              <w:rPr>
                <w:rFonts w:ascii="Arial" w:cs="Arial" w:eastAsia="Arial" w:hAnsi="Arial"/>
                <w:sz w:val="18"/>
                <w:szCs w:val="18"/>
                <w:color w:val="auto"/>
              </w:rPr>
              <w:t>3,090,865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4,059,059</w:t>
            </w:r>
          </w:p>
        </w:tc>
        <w:tc>
          <w:tcPr>
            <w:tcW w:w="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4,059,059</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4,849,618</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5,091,950</w:t>
            </w:r>
          </w:p>
        </w:tc>
        <w:tc>
          <w:tcPr>
            <w:tcW w:w="1120" w:type="dxa"/>
            <w:vAlign w:val="bottom"/>
          </w:tcPr>
          <w:p>
            <w:pPr>
              <w:jc w:val="right"/>
              <w:spacing w:after="0"/>
              <w:rPr>
                <w:sz w:val="20"/>
                <w:szCs w:val="20"/>
                <w:color w:val="auto"/>
              </w:rPr>
            </w:pPr>
            <w:r>
              <w:rPr>
                <w:rFonts w:ascii="Arial" w:cs="Arial" w:eastAsia="Arial" w:hAnsi="Arial"/>
                <w:sz w:val="18"/>
                <w:szCs w:val="18"/>
                <w:color w:val="auto"/>
              </w:rPr>
              <w:t>5,091,950</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Cumulative interest sensitivity gap</w:t>
            </w:r>
          </w:p>
        </w:tc>
        <w:tc>
          <w:tcPr>
            <w:tcW w:w="1120" w:type="dxa"/>
            <w:vAlign w:val="bottom"/>
          </w:tcPr>
          <w:p>
            <w:pPr>
              <w:jc w:val="right"/>
              <w:spacing w:after="0"/>
              <w:rPr>
                <w:sz w:val="20"/>
                <w:szCs w:val="20"/>
                <w:color w:val="auto"/>
              </w:rPr>
            </w:pPr>
            <w:r>
              <w:rPr>
                <w:rFonts w:ascii="Arial" w:cs="Arial" w:eastAsia="Arial" w:hAnsi="Arial"/>
                <w:sz w:val="18"/>
                <w:szCs w:val="18"/>
                <w:color w:val="auto"/>
              </w:rPr>
              <w:t>-12.11%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1.70%</w:t>
            </w:r>
          </w:p>
        </w:tc>
        <w:tc>
          <w:tcPr>
            <w:tcW w:w="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1.70%</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10.18%</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12.14%</w:t>
            </w:r>
          </w:p>
        </w:tc>
        <w:tc>
          <w:tcPr>
            <w:tcW w:w="1120" w:type="dxa"/>
            <w:vAlign w:val="bottom"/>
          </w:tcPr>
          <w:p>
            <w:pPr>
              <w:jc w:val="right"/>
              <w:spacing w:after="0"/>
              <w:rPr>
                <w:sz w:val="20"/>
                <w:szCs w:val="20"/>
                <w:color w:val="auto"/>
              </w:rPr>
            </w:pPr>
            <w:r>
              <w:rPr>
                <w:rFonts w:ascii="Arial" w:cs="Arial" w:eastAsia="Arial" w:hAnsi="Arial"/>
                <w:sz w:val="18"/>
                <w:szCs w:val="18"/>
                <w:color w:val="auto"/>
              </w:rPr>
              <w:t>12.14%</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b w:val="1"/>
                <w:bCs w:val="1"/>
                <w:color w:val="auto"/>
              </w:rPr>
              <w:t>Total interest sensitivity gap</w:t>
            </w:r>
          </w:p>
        </w:tc>
        <w:tc>
          <w:tcPr>
            <w:tcW w:w="1120" w:type="dxa"/>
            <w:vAlign w:val="bottom"/>
          </w:tcPr>
          <w:p>
            <w:pPr>
              <w:jc w:val="right"/>
              <w:spacing w:after="0"/>
              <w:rPr>
                <w:sz w:val="20"/>
                <w:szCs w:val="20"/>
                <w:color w:val="auto"/>
              </w:rPr>
            </w:pPr>
            <w:r>
              <w:rPr>
                <w:rFonts w:ascii="Arial" w:cs="Arial" w:eastAsia="Arial" w:hAnsi="Arial"/>
                <w:sz w:val="18"/>
                <w:szCs w:val="18"/>
                <w:color w:val="auto"/>
              </w:rPr>
              <w:t>-799,427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805,953</w:t>
            </w:r>
          </w:p>
        </w:tc>
        <w:tc>
          <w:tcPr>
            <w:tcW w:w="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6,525</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367,074</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100,633</w:t>
            </w:r>
          </w:p>
        </w:tc>
        <w:tc>
          <w:tcPr>
            <w:tcW w:w="1120" w:type="dxa"/>
            <w:vAlign w:val="bottom"/>
          </w:tcPr>
          <w:p>
            <w:pPr>
              <w:jc w:val="right"/>
              <w:spacing w:after="0"/>
              <w:rPr>
                <w:sz w:val="20"/>
                <w:szCs w:val="20"/>
                <w:color w:val="auto"/>
              </w:rPr>
            </w:pPr>
            <w:r>
              <w:rPr>
                <w:rFonts w:ascii="Arial" w:cs="Arial" w:eastAsia="Arial" w:hAnsi="Arial"/>
                <w:sz w:val="18"/>
                <w:szCs w:val="18"/>
                <w:color w:val="auto"/>
              </w:rPr>
              <w:t>474,232</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b w:val="1"/>
                <w:bCs w:val="1"/>
                <w:color w:val="auto"/>
              </w:rPr>
              <w:t>Cumulative interest sensitivity gap</w:t>
            </w:r>
          </w:p>
        </w:tc>
        <w:tc>
          <w:tcPr>
            <w:tcW w:w="1120" w:type="dxa"/>
            <w:vAlign w:val="bottom"/>
          </w:tcPr>
          <w:p>
            <w:pPr>
              <w:jc w:val="right"/>
              <w:spacing w:after="0"/>
              <w:rPr>
                <w:sz w:val="20"/>
                <w:szCs w:val="20"/>
                <w:color w:val="auto"/>
              </w:rPr>
            </w:pPr>
            <w:r>
              <w:rPr>
                <w:rFonts w:ascii="Arial" w:cs="Arial" w:eastAsia="Arial" w:hAnsi="Arial"/>
                <w:sz w:val="18"/>
                <w:szCs w:val="18"/>
                <w:color w:val="auto"/>
              </w:rPr>
              <w:t>-799,427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6,525</w:t>
            </w:r>
          </w:p>
        </w:tc>
        <w:tc>
          <w:tcPr>
            <w:tcW w:w="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6,525</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373,599</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474,232</w:t>
            </w:r>
          </w:p>
        </w:tc>
        <w:tc>
          <w:tcPr>
            <w:tcW w:w="1120" w:type="dxa"/>
            <w:vAlign w:val="bottom"/>
          </w:tcPr>
          <w:p>
            <w:pPr>
              <w:jc w:val="right"/>
              <w:spacing w:after="0"/>
              <w:rPr>
                <w:sz w:val="20"/>
                <w:szCs w:val="20"/>
                <w:color w:val="auto"/>
              </w:rPr>
            </w:pPr>
            <w:r>
              <w:rPr>
                <w:rFonts w:ascii="Arial" w:cs="Arial" w:eastAsia="Arial" w:hAnsi="Arial"/>
                <w:sz w:val="18"/>
                <w:szCs w:val="18"/>
                <w:color w:val="auto"/>
              </w:rPr>
              <w:t>474,232</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b w:val="1"/>
                <w:bCs w:val="1"/>
                <w:color w:val="auto"/>
              </w:rPr>
              <w:t>Total interest-earning assets</w:t>
            </w:r>
          </w:p>
        </w:tc>
        <w:tc>
          <w:tcPr>
            <w:tcW w:w="1120" w:type="dxa"/>
            <w:vAlign w:val="bottom"/>
          </w:tcPr>
          <w:p>
            <w:pPr>
              <w:jc w:val="right"/>
              <w:spacing w:after="0"/>
              <w:rPr>
                <w:sz w:val="20"/>
                <w:szCs w:val="20"/>
                <w:color w:val="auto"/>
              </w:rPr>
            </w:pPr>
            <w:r>
              <w:rPr>
                <w:rFonts w:ascii="Arial" w:cs="Arial" w:eastAsia="Arial" w:hAnsi="Arial"/>
                <w:sz w:val="18"/>
                <w:szCs w:val="18"/>
                <w:color w:val="auto"/>
              </w:rPr>
              <w:t>3,584,631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1,422,197</w:t>
            </w:r>
          </w:p>
        </w:tc>
        <w:tc>
          <w:tcPr>
            <w:tcW w:w="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5,006,827</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944,528</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246,956</w:t>
            </w:r>
          </w:p>
        </w:tc>
        <w:tc>
          <w:tcPr>
            <w:tcW w:w="1120" w:type="dxa"/>
            <w:vAlign w:val="bottom"/>
          </w:tcPr>
          <w:p>
            <w:pPr>
              <w:jc w:val="right"/>
              <w:spacing w:after="0"/>
              <w:rPr>
                <w:sz w:val="20"/>
                <w:szCs w:val="20"/>
                <w:color w:val="auto"/>
              </w:rPr>
            </w:pPr>
            <w:r>
              <w:rPr>
                <w:rFonts w:ascii="Arial" w:cs="Arial" w:eastAsia="Arial" w:hAnsi="Arial"/>
                <w:sz w:val="18"/>
                <w:szCs w:val="18"/>
                <w:color w:val="auto"/>
              </w:rPr>
              <w:t>6,198,312</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b w:val="1"/>
                <w:bCs w:val="1"/>
                <w:color w:val="auto"/>
              </w:rPr>
              <w:t>Cumulative interest-earning assets</w:t>
            </w:r>
          </w:p>
        </w:tc>
        <w:tc>
          <w:tcPr>
            <w:tcW w:w="1120" w:type="dxa"/>
            <w:vAlign w:val="bottom"/>
          </w:tcPr>
          <w:p>
            <w:pPr>
              <w:jc w:val="right"/>
              <w:spacing w:after="0"/>
              <w:rPr>
                <w:sz w:val="20"/>
                <w:szCs w:val="20"/>
                <w:color w:val="auto"/>
              </w:rPr>
            </w:pPr>
            <w:r>
              <w:rPr>
                <w:rFonts w:ascii="Arial" w:cs="Arial" w:eastAsia="Arial" w:hAnsi="Arial"/>
                <w:sz w:val="18"/>
                <w:szCs w:val="18"/>
                <w:color w:val="auto"/>
              </w:rPr>
              <w:t>3,584,631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5,006,827</w:t>
            </w:r>
          </w:p>
        </w:tc>
        <w:tc>
          <w:tcPr>
            <w:tcW w:w="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5,006,827</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5,951,355</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6,198,312</w:t>
            </w:r>
          </w:p>
        </w:tc>
        <w:tc>
          <w:tcPr>
            <w:tcW w:w="1120" w:type="dxa"/>
            <w:vAlign w:val="bottom"/>
          </w:tcPr>
          <w:p>
            <w:pPr>
              <w:jc w:val="right"/>
              <w:spacing w:after="0"/>
              <w:rPr>
                <w:sz w:val="20"/>
                <w:szCs w:val="20"/>
                <w:color w:val="auto"/>
              </w:rPr>
            </w:pPr>
            <w:r>
              <w:rPr>
                <w:rFonts w:ascii="Arial" w:cs="Arial" w:eastAsia="Arial" w:hAnsi="Arial"/>
                <w:sz w:val="18"/>
                <w:szCs w:val="18"/>
                <w:color w:val="auto"/>
              </w:rPr>
              <w:t>6,198,312</w:t>
            </w:r>
          </w:p>
        </w:tc>
      </w:tr>
      <w:tr>
        <w:trPr>
          <w:trHeight w:val="231"/>
        </w:trPr>
        <w:tc>
          <w:tcPr>
            <w:tcW w:w="4540" w:type="dxa"/>
            <w:vAlign w:val="bottom"/>
          </w:tcPr>
          <w:p>
            <w:pPr>
              <w:ind w:left="40"/>
              <w:spacing w:after="0"/>
              <w:rPr>
                <w:sz w:val="20"/>
                <w:szCs w:val="20"/>
                <w:color w:val="auto"/>
              </w:rPr>
            </w:pPr>
            <w:r>
              <w:rPr>
                <w:rFonts w:ascii="Arial" w:cs="Arial" w:eastAsia="Arial" w:hAnsi="Arial"/>
                <w:sz w:val="18"/>
                <w:szCs w:val="18"/>
                <w:b w:val="1"/>
                <w:bCs w:val="1"/>
                <w:color w:val="auto"/>
              </w:rPr>
              <w:t>Cumulative interest sensitivity gap</w:t>
            </w: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6"/>
        </w:trPr>
        <w:tc>
          <w:tcPr>
            <w:tcW w:w="4540" w:type="dxa"/>
            <w:vAlign w:val="bottom"/>
          </w:tcPr>
          <w:p>
            <w:pPr>
              <w:ind w:left="260"/>
              <w:spacing w:after="0"/>
              <w:rPr>
                <w:sz w:val="20"/>
                <w:szCs w:val="20"/>
                <w:color w:val="auto"/>
              </w:rPr>
            </w:pPr>
            <w:r>
              <w:rPr>
                <w:rFonts w:ascii="Arial" w:cs="Arial" w:eastAsia="Arial" w:hAnsi="Arial"/>
                <w:sz w:val="18"/>
                <w:szCs w:val="18"/>
                <w:b w:val="1"/>
                <w:bCs w:val="1"/>
                <w:color w:val="auto"/>
              </w:rPr>
              <w:t>as a percentage of cumulative</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8"/>
        </w:trPr>
        <w:tc>
          <w:tcPr>
            <w:tcW w:w="4540" w:type="dxa"/>
            <w:vAlign w:val="bottom"/>
          </w:tcPr>
          <w:p>
            <w:pPr>
              <w:ind w:left="260"/>
              <w:spacing w:after="0"/>
              <w:rPr>
                <w:sz w:val="20"/>
                <w:szCs w:val="20"/>
                <w:color w:val="auto"/>
              </w:rPr>
            </w:pPr>
            <w:r>
              <w:rPr>
                <w:rFonts w:ascii="Arial" w:cs="Arial" w:eastAsia="Arial" w:hAnsi="Arial"/>
                <w:sz w:val="18"/>
                <w:szCs w:val="18"/>
                <w:b w:val="1"/>
                <w:bCs w:val="1"/>
                <w:color w:val="auto"/>
              </w:rPr>
              <w:t>interest earning assets</w:t>
            </w:r>
          </w:p>
        </w:tc>
        <w:tc>
          <w:tcPr>
            <w:tcW w:w="1120" w:type="dxa"/>
            <w:vAlign w:val="bottom"/>
          </w:tcPr>
          <w:p>
            <w:pPr>
              <w:jc w:val="right"/>
              <w:spacing w:after="0"/>
              <w:rPr>
                <w:sz w:val="20"/>
                <w:szCs w:val="20"/>
                <w:color w:val="auto"/>
              </w:rPr>
            </w:pPr>
            <w:r>
              <w:rPr>
                <w:rFonts w:ascii="Arial" w:cs="Arial" w:eastAsia="Arial" w:hAnsi="Arial"/>
                <w:sz w:val="18"/>
                <w:szCs w:val="18"/>
                <w:color w:val="auto"/>
              </w:rPr>
              <w:t>-22.30%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0.13%</w:t>
            </w:r>
          </w:p>
        </w:tc>
        <w:tc>
          <w:tcPr>
            <w:tcW w:w="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0.13%</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6.28%</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7.65%</w:t>
            </w:r>
          </w:p>
        </w:tc>
        <w:tc>
          <w:tcPr>
            <w:tcW w:w="1120" w:type="dxa"/>
            <w:vAlign w:val="bottom"/>
          </w:tcPr>
          <w:p>
            <w:pPr>
              <w:jc w:val="right"/>
              <w:spacing w:after="0"/>
              <w:rPr>
                <w:sz w:val="20"/>
                <w:szCs w:val="20"/>
                <w:color w:val="auto"/>
              </w:rPr>
            </w:pPr>
            <w:r>
              <w:rPr>
                <w:rFonts w:ascii="Arial" w:cs="Arial" w:eastAsia="Arial" w:hAnsi="Arial"/>
                <w:sz w:val="18"/>
                <w:szCs w:val="18"/>
                <w:color w:val="auto"/>
              </w:rPr>
              <w:t>7.65%</w:t>
            </w: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__________</w:t>
            </w: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3576955</wp:posOffset>
            </wp:positionH>
            <wp:positionV relativeFrom="paragraph">
              <wp:posOffset>-2223135</wp:posOffset>
            </wp:positionV>
            <wp:extent cx="34290" cy="342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-2223135</wp:posOffset>
            </wp:positionV>
            <wp:extent cx="34290" cy="342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-2223135</wp:posOffset>
            </wp:positionV>
            <wp:extent cx="34290" cy="342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-2223135</wp:posOffset>
            </wp:positionV>
            <wp:extent cx="34290" cy="342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-2223135</wp:posOffset>
            </wp:positionV>
            <wp:extent cx="34290" cy="342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-2223135</wp:posOffset>
            </wp:positionV>
            <wp:extent cx="34290" cy="342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3576955</wp:posOffset>
            </wp:positionH>
            <wp:positionV relativeFrom="paragraph">
              <wp:posOffset>-1906270</wp:posOffset>
            </wp:positionV>
            <wp:extent cx="34290" cy="342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-1906270</wp:posOffset>
            </wp:positionV>
            <wp:extent cx="34290" cy="342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-1906270</wp:posOffset>
            </wp:positionV>
            <wp:extent cx="34290" cy="342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-1906270</wp:posOffset>
            </wp:positionV>
            <wp:extent cx="34290" cy="342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-1906270</wp:posOffset>
            </wp:positionV>
            <wp:extent cx="34290" cy="342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-1906270</wp:posOffset>
            </wp:positionV>
            <wp:extent cx="34290" cy="342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14" w:lineRule="exact"/>
        <w:rPr>
          <w:sz w:val="20"/>
          <w:szCs w:val="20"/>
          <w:color w:val="auto"/>
        </w:rPr>
      </w:pPr>
    </w:p>
    <w:p>
      <w:pPr>
        <w:ind w:left="600" w:hanging="592"/>
        <w:spacing w:after="0"/>
        <w:tabs>
          <w:tab w:leader="none" w:pos="6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Includes CTS deposits</w:t>
      </w:r>
    </w:p>
    <w:p>
      <w:pPr>
        <w:spacing w:after="0" w:line="206" w:lineRule="exact"/>
        <w:rPr>
          <w:sz w:val="20"/>
          <w:szCs w:val="20"/>
          <w:color w:val="auto"/>
        </w:rPr>
      </w:pPr>
    </w:p>
    <w:p>
      <w:pPr>
        <w:jc w:val="both"/>
        <w:ind w:firstLine="195"/>
        <w:spacing w:after="0" w:line="256" w:lineRule="auto"/>
        <w:rPr>
          <w:sz w:val="20"/>
          <w:szCs w:val="20"/>
          <w:color w:val="auto"/>
        </w:rPr>
      </w:pPr>
      <w:r>
        <w:rPr>
          <w:rFonts w:ascii="Arial" w:cs="Arial" w:eastAsia="Arial" w:hAnsi="Arial"/>
          <w:sz w:val="18"/>
          <w:szCs w:val="18"/>
          <w:color w:val="auto"/>
        </w:rPr>
        <w:t>In addition to the static gap position, BCP employs a simulation analysis to measure the degree of short term interest risk. Sensitivity analysis is performed to express the potential gains or losses in future earnings resulting from selected hypothetical changes in interest rates. Sensitivity models are calculated on a monthly basis using both actual balance sheet figures detailed by maturity repricing interval and interest yields or costs. Simulations are run using various interest rate scenarios to determine potential changes to future earnings.</w:t>
      </w:r>
    </w:p>
    <w:p>
      <w:pPr>
        <w:spacing w:after="0" w:line="197" w:lineRule="exact"/>
        <w:rPr>
          <w:sz w:val="20"/>
          <w:szCs w:val="20"/>
          <w:color w:val="auto"/>
        </w:rPr>
      </w:pPr>
    </w:p>
    <w:p>
      <w:pPr>
        <w:jc w:val="both"/>
        <w:ind w:firstLine="196"/>
        <w:spacing w:after="0" w:line="294" w:lineRule="auto"/>
        <w:rPr>
          <w:sz w:val="20"/>
          <w:szCs w:val="20"/>
          <w:color w:val="auto"/>
        </w:rPr>
      </w:pPr>
      <w:r>
        <w:rPr>
          <w:rFonts w:ascii="Arial" w:cs="Arial" w:eastAsia="Arial" w:hAnsi="Arial"/>
          <w:sz w:val="16"/>
          <w:szCs w:val="16"/>
          <w:color w:val="auto"/>
        </w:rPr>
        <w:t>The forward looking simulation results of Credicorp reflect changes between a most likely to occur interest rate base case scenario and a stress test applied to interest earning assets and liabilities as of December 31, 2003. Interest rate scenarios are separately devised for U.S. Dollar and Nuevos Soles-denominated rates. As of December 31, 2003, Credicorp had a very short term cumulative negative gap with US$799.4 million more liabilities than assets repricing within three months. This amounts to 22.3% of cumulative interest earning assets, which changes to a positive cumulative gap with US$6.5 million more assets than liabilities repricing within one year, or 0.1% of cumulative interest earning assets.</w:t>
      </w:r>
    </w:p>
    <w:p>
      <w:pPr>
        <w:spacing w:after="0" w:line="170" w:lineRule="exact"/>
        <w:rPr>
          <w:sz w:val="20"/>
          <w:szCs w:val="20"/>
          <w:color w:val="auto"/>
        </w:rPr>
      </w:pPr>
    </w:p>
    <w:p>
      <w:pPr>
        <w:jc w:val="both"/>
        <w:ind w:firstLine="172"/>
        <w:spacing w:after="0" w:line="291" w:lineRule="auto"/>
        <w:rPr>
          <w:sz w:val="20"/>
          <w:szCs w:val="20"/>
          <w:color w:val="auto"/>
        </w:rPr>
      </w:pPr>
      <w:r>
        <w:rPr>
          <w:rFonts w:ascii="Arial" w:cs="Arial" w:eastAsia="Arial" w:hAnsi="Arial"/>
          <w:sz w:val="16"/>
          <w:szCs w:val="16"/>
          <w:color w:val="auto"/>
        </w:rPr>
        <w:t>The base case scenario for the U.S. Dollar-denominated rates, concerns the adverse case of an increase of one standard deviation, equivalent to 100 basis points in U.S. Dollar rates, through year-end 2004. A stress test with a more adverse interest rate scenario is also simulated in which U.S. Dollar rates are assumed for the sake of this test to immediately increase up to approximately 110 basis points higher than the base case rates, which corresponds to a 54% change in the annual rate, the highest annual change in the last two years. The Nuevos Soles-denominated interest rate behavior was modeled as increases of one standard deviation, equivalent to 100 basis points. An adverse “shock” scenario for Nuevos Soles-denominated interest rates was constructed, immediately changing rates at all repricing intervals, increasing rates by 180 basis points, representing the highest annual change in the past two years.</w:t>
      </w:r>
    </w:p>
    <w:p>
      <w:pPr>
        <w:spacing w:after="0" w:line="174" w:lineRule="exact"/>
        <w:rPr>
          <w:sz w:val="20"/>
          <w:szCs w:val="20"/>
          <w:color w:val="auto"/>
        </w:rPr>
      </w:pPr>
    </w:p>
    <w:p>
      <w:pPr>
        <w:jc w:val="both"/>
        <w:ind w:firstLine="252"/>
        <w:spacing w:after="0" w:line="259" w:lineRule="auto"/>
        <w:rPr>
          <w:sz w:val="20"/>
          <w:szCs w:val="20"/>
          <w:color w:val="auto"/>
        </w:rPr>
      </w:pPr>
      <w:r>
        <w:rPr>
          <w:rFonts w:ascii="Arial" w:cs="Arial" w:eastAsia="Arial" w:hAnsi="Arial"/>
          <w:sz w:val="18"/>
          <w:szCs w:val="18"/>
          <w:color w:val="auto"/>
        </w:rPr>
        <w:t>The base case scenario shows an impact of these adverse variations resulting, for the next twelve months, in a decrease of pre-tax net interest income of approximately US$1.9 million, or 0.5% of net interest income in 2003. On the other hand, the stress test resulted in a total pre-tax net interest income reduction of approximately US$3.2 million, or 0.8% of year 2003 net interest income.</w:t>
      </w:r>
    </w:p>
    <w:p>
      <w:pPr>
        <w:spacing w:after="0" w:line="194" w:lineRule="exact"/>
        <w:rPr>
          <w:sz w:val="20"/>
          <w:szCs w:val="20"/>
          <w:color w:val="auto"/>
        </w:rPr>
      </w:pPr>
    </w:p>
    <w:p>
      <w:pPr>
        <w:jc w:val="both"/>
        <w:ind w:firstLine="181"/>
        <w:spacing w:after="0" w:line="259" w:lineRule="auto"/>
        <w:rPr>
          <w:sz w:val="20"/>
          <w:szCs w:val="20"/>
          <w:color w:val="auto"/>
        </w:rPr>
      </w:pPr>
      <w:r>
        <w:rPr>
          <w:rFonts w:ascii="Arial" w:cs="Arial" w:eastAsia="Arial" w:hAnsi="Arial"/>
          <w:sz w:val="18"/>
          <w:szCs w:val="18"/>
          <w:color w:val="auto"/>
        </w:rPr>
        <w:t>Gap simulation analysis has several shortcomings, one of which is its “static” nature, that is, it does not consider ongoing loan and deposit activity, and another of which is the inadequate treatment of individually negotiated loan and deposit rates, as in prime client cases, or the finer breakdown of rates applicable to different business segments. Furthermore, more than 50% of Credicorp’s interest bearing</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158" w:right="239" w:bottom="1440" w:gutter="0" w:footer="0" w:header="0"/>
        </w:sectPr>
      </w:pPr>
    </w:p>
    <w:bookmarkStart w:id="119" w:name="page120"/>
    <w:bookmarkEnd w:id="119"/>
    <w:p>
      <w:pPr>
        <w:jc w:val="both"/>
        <w:ind w:firstLine="270"/>
        <w:spacing w:after="0" w:line="306" w:lineRule="auto"/>
        <w:rPr>
          <w:sz w:val="20"/>
          <w:szCs w:val="20"/>
          <w:color w:val="auto"/>
        </w:rPr>
      </w:pPr>
      <w:r>
        <w:rPr>
          <w:rFonts w:ascii="Arial" w:cs="Arial" w:eastAsia="Arial" w:hAnsi="Arial"/>
          <w:sz w:val="16"/>
          <w:szCs w:val="16"/>
          <w:color w:val="auto"/>
        </w:rPr>
        <w:t>deposits can be unilaterally modified causing difficulties in establishing the expected repricing period of these products in the simulations. Additionally, Credicorp considers within the Foreign Currency category not only U.S. Dollar-denominated transactions, but also currencies of its subsidiaries in Bolivia and Colombia, which may present different trends in certain periods but, due to their relative small value, do not significantly affect the results of the analysis.</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Exchange Rate Sensitivity</w:t>
      </w:r>
    </w:p>
    <w:p>
      <w:pPr>
        <w:spacing w:after="0" w:line="225" w:lineRule="exact"/>
        <w:rPr>
          <w:sz w:val="20"/>
          <w:szCs w:val="20"/>
          <w:color w:val="auto"/>
        </w:rPr>
      </w:pPr>
    </w:p>
    <w:p>
      <w:pPr>
        <w:jc w:val="both"/>
        <w:ind w:firstLine="208"/>
        <w:spacing w:after="0" w:line="259" w:lineRule="auto"/>
        <w:rPr>
          <w:sz w:val="20"/>
          <w:szCs w:val="20"/>
          <w:color w:val="auto"/>
        </w:rPr>
      </w:pPr>
      <w:r>
        <w:rPr>
          <w:rFonts w:ascii="Arial" w:cs="Arial" w:eastAsia="Arial" w:hAnsi="Arial"/>
          <w:sz w:val="18"/>
          <w:szCs w:val="18"/>
          <w:color w:val="auto"/>
        </w:rPr>
        <w:t>Credicorp’s market risk exposure to foreign currency exchange fluctuations is attributed to its net asset or net liability positions in currencies other than U.S. Dollars. Exchange rate management policies include nominal and stop-loss limits, approved by the Market Risk Committee, as well as VaR alerts reviewed on a daily basis, where excesses are immediately reported.</w:t>
      </w:r>
    </w:p>
    <w:p>
      <w:pPr>
        <w:spacing w:after="0" w:line="194" w:lineRule="exact"/>
        <w:rPr>
          <w:sz w:val="20"/>
          <w:szCs w:val="20"/>
          <w:color w:val="auto"/>
        </w:rPr>
      </w:pPr>
    </w:p>
    <w:p>
      <w:pPr>
        <w:jc w:val="both"/>
        <w:ind w:firstLine="166"/>
        <w:spacing w:after="0" w:line="294" w:lineRule="auto"/>
        <w:rPr>
          <w:sz w:val="20"/>
          <w:szCs w:val="20"/>
          <w:color w:val="auto"/>
        </w:rPr>
      </w:pPr>
      <w:r>
        <w:rPr>
          <w:rFonts w:ascii="Arial" w:cs="Arial" w:eastAsia="Arial" w:hAnsi="Arial"/>
          <w:sz w:val="16"/>
          <w:szCs w:val="16"/>
          <w:color w:val="auto"/>
        </w:rPr>
        <w:t>Adverse fluctuations in foreign exchange rates may result in losses principally from the exposure to Nuevos Soles, which amounted to a net liability position of US$281.2 million at December 31, 2003 (US$254.8 million at December 31, 2002), and to a lesser extent to positions in other currencies, which had a net asset position of US$41.6 million at December 31, 2003 (net asset position of US$123.3 million at December 31, 2002). See Note 22 to the Credicorp Consolidated Financial Statements. Considering foreign currency forward contracts, the Nuevos Soles exposure decreases to a net liability position of US$153.6 million at December 31, 2003, but increases in other currencies to a net asset position of US$49.7 million at the same date.</w:t>
      </w:r>
    </w:p>
    <w:p>
      <w:pPr>
        <w:spacing w:after="0" w:line="170" w:lineRule="exact"/>
        <w:rPr>
          <w:sz w:val="20"/>
          <w:szCs w:val="20"/>
          <w:color w:val="auto"/>
        </w:rPr>
      </w:pPr>
    </w:p>
    <w:p>
      <w:pPr>
        <w:jc w:val="both"/>
        <w:ind w:firstLine="186"/>
        <w:spacing w:after="0" w:line="290" w:lineRule="auto"/>
        <w:rPr>
          <w:sz w:val="20"/>
          <w:szCs w:val="20"/>
          <w:color w:val="auto"/>
        </w:rPr>
      </w:pPr>
      <w:r>
        <w:rPr>
          <w:rFonts w:ascii="Arial" w:cs="Arial" w:eastAsia="Arial" w:hAnsi="Arial"/>
          <w:sz w:val="16"/>
          <w:szCs w:val="16"/>
          <w:color w:val="auto"/>
        </w:rPr>
        <w:t>Earnings sensitivity is estimated by directly applying expected foreign currency devaluation or revaluation rates on the above net positions. The Nuevos Soles net liability position results in exchange gains whenever the Peruvian currency devalues against the U.S. Dollar, while a revaluation would generate exchange losses. A 10% change in the Nuevo Sol exchange rate would generate a US$15.4 million gain or loss in case of devaluation or revaluation, respectively. Given the evolution of the exchange rate in past years, a significant revaluation scenario for the Nuevo Sol is very unlikely for the next twelve months. See “Item 3. Key Information—(A) Selected Financial Data—Exchange Controls.” The net asset position in other foreign currencies is principally composed of Bolivian Bolivianos and Colombian Pesos. Management expects that the exchange risk in these currencies will not be significant, although some exposures are managed from time to time through foreign exchange forward contracts.</w:t>
      </w:r>
    </w:p>
    <w:p>
      <w:pPr>
        <w:spacing w:after="0" w:line="172" w:lineRule="exact"/>
        <w:rPr>
          <w:sz w:val="20"/>
          <w:szCs w:val="20"/>
          <w:color w:val="auto"/>
        </w:rPr>
      </w:pPr>
    </w:p>
    <w:p>
      <w:pPr>
        <w:jc w:val="both"/>
        <w:ind w:firstLine="229"/>
        <w:spacing w:after="0" w:line="291" w:lineRule="auto"/>
        <w:rPr>
          <w:sz w:val="20"/>
          <w:szCs w:val="20"/>
          <w:color w:val="auto"/>
        </w:rPr>
      </w:pPr>
      <w:r>
        <w:rPr>
          <w:rFonts w:ascii="Arial" w:cs="Arial" w:eastAsia="Arial" w:hAnsi="Arial"/>
          <w:sz w:val="16"/>
          <w:szCs w:val="16"/>
          <w:color w:val="auto"/>
        </w:rPr>
        <w:t>As of December 31, 2003, Credicorp’s total U.S. Dollar-denominated monetary assets were US$6,062.7 million and its U.S. Dollar-denominated liabilities were US$5,489.1 million, resulting in a net U.S. Dollar asset position of US$573.5 million (US$235.7 million at December 31, 2002). Of such amount, approximately 20% represented the net U.S. Dollar asset position of Credicorp’s non-Peruvian subsidiaries that conduct most of their operations in U.S. Dollars. Credicorp considers its net U.S. Dollar asset position to be reasonable in view of the volume of its foreign currency activities and the environment in which it operates. Historically, in order to provide some protection from the combined effects of devaluation and inflation, Credicorp has followed, and continues to follow, the policy of maintaining the sum of its net U.S. Dollar assets, real estate assets and investments in equity securities at least equal to shareholders’ equity.</w:t>
      </w:r>
    </w:p>
    <w:p>
      <w:pPr>
        <w:spacing w:after="0" w:line="174" w:lineRule="exact"/>
        <w:rPr>
          <w:sz w:val="20"/>
          <w:szCs w:val="20"/>
          <w:color w:val="auto"/>
        </w:rPr>
      </w:pPr>
    </w:p>
    <w:p>
      <w:pPr>
        <w:jc w:val="both"/>
        <w:ind w:right="20" w:firstLine="186"/>
        <w:spacing w:after="0" w:line="259" w:lineRule="auto"/>
        <w:rPr>
          <w:sz w:val="20"/>
          <w:szCs w:val="20"/>
          <w:color w:val="auto"/>
        </w:rPr>
      </w:pPr>
      <w:r>
        <w:rPr>
          <w:rFonts w:ascii="Arial" w:cs="Arial" w:eastAsia="Arial" w:hAnsi="Arial"/>
          <w:sz w:val="18"/>
          <w:szCs w:val="18"/>
          <w:color w:val="auto"/>
        </w:rPr>
        <w:t>Beginning in March 1999, BCP has segregated part of its regulatory capital to cover foreign exchange risk exposure and, since June 2000, to cover risk related to investments in equity shares, with the remaining used to cover credit risk. See “Item 4. Information on the Company—(B) Business Overview—(11) Supervision and Regulation—(ii) BCP—Capital Adequacy Requirements.”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347" w:right="239" w:bottom="1440" w:gutter="0" w:footer="0" w:header="0"/>
        </w:sectPr>
      </w:pPr>
    </w:p>
    <w:bookmarkStart w:id="120" w:name="page121"/>
    <w:bookmarkEnd w:id="120"/>
    <w:p>
      <w:pPr>
        <w:ind w:left="180"/>
        <w:spacing w:after="0"/>
        <w:rPr>
          <w:sz w:val="20"/>
          <w:szCs w:val="20"/>
          <w:color w:val="auto"/>
        </w:rPr>
      </w:pPr>
      <w:r>
        <w:rPr>
          <w:rFonts w:ascii="Arial" w:cs="Arial" w:eastAsia="Arial" w:hAnsi="Arial"/>
          <w:sz w:val="18"/>
          <w:szCs w:val="18"/>
          <w:i w:val="1"/>
          <w:iCs w:val="1"/>
          <w:color w:val="auto"/>
        </w:rPr>
        <w:t>Derivatives Trading Activities</w:t>
      </w:r>
    </w:p>
    <w:p>
      <w:pPr>
        <w:spacing w:after="0" w:line="225" w:lineRule="exact"/>
        <w:rPr>
          <w:sz w:val="20"/>
          <w:szCs w:val="20"/>
          <w:color w:val="auto"/>
        </w:rPr>
      </w:pPr>
    </w:p>
    <w:p>
      <w:pPr>
        <w:jc w:val="both"/>
        <w:ind w:firstLine="219"/>
        <w:spacing w:after="0" w:line="306" w:lineRule="auto"/>
        <w:rPr>
          <w:sz w:val="20"/>
          <w:szCs w:val="20"/>
          <w:color w:val="auto"/>
        </w:rPr>
      </w:pPr>
      <w:r>
        <w:rPr>
          <w:rFonts w:ascii="Arial" w:cs="Arial" w:eastAsia="Arial" w:hAnsi="Arial"/>
          <w:sz w:val="16"/>
          <w:szCs w:val="16"/>
          <w:color w:val="auto"/>
        </w:rPr>
        <w:t>Credicorp provides its customers with access to a wide range of products from the securities, foreign exchange, and, to a lesser extent, derivatives markets. Credicorp enters into trading activities primarily as a financial intermediary for customers, and, to a lesser extent, for its own account. In acting for its own account, Credicorp may take positions in some of these instruments with the objective of generating trading profits.</w:t>
      </w:r>
    </w:p>
    <w:p>
      <w:pPr>
        <w:spacing w:after="0" w:line="161" w:lineRule="exact"/>
        <w:rPr>
          <w:sz w:val="20"/>
          <w:szCs w:val="20"/>
          <w:color w:val="auto"/>
        </w:rPr>
      </w:pPr>
    </w:p>
    <w:p>
      <w:pPr>
        <w:jc w:val="both"/>
        <w:ind w:right="20" w:firstLine="224"/>
        <w:spacing w:after="0" w:line="306" w:lineRule="auto"/>
        <w:rPr>
          <w:sz w:val="20"/>
          <w:szCs w:val="20"/>
          <w:color w:val="auto"/>
        </w:rPr>
      </w:pPr>
      <w:r>
        <w:rPr>
          <w:rFonts w:ascii="Arial" w:cs="Arial" w:eastAsia="Arial" w:hAnsi="Arial"/>
          <w:sz w:val="16"/>
          <w:szCs w:val="16"/>
          <w:color w:val="auto"/>
        </w:rPr>
        <w:t>Except for foreign currency forward commitments and interest rate swaps, Credicorp does not enter into derivative transactions, currency swaps or options. Foreign exchange forward contracts are agreements for future delivery of money market instruments in which the seller agrees to make delivery at a specified future date of an instrument, at a specified price or yield. Forward contracts are closely monitored and are also subject to nominal and stop-loss limits.</w:t>
      </w:r>
    </w:p>
    <w:p>
      <w:pPr>
        <w:spacing w:after="0" w:line="161" w:lineRule="exact"/>
        <w:rPr>
          <w:sz w:val="20"/>
          <w:szCs w:val="20"/>
          <w:color w:val="auto"/>
        </w:rPr>
      </w:pPr>
    </w:p>
    <w:p>
      <w:pPr>
        <w:jc w:val="both"/>
        <w:ind w:firstLine="190"/>
        <w:spacing w:after="0" w:line="298" w:lineRule="auto"/>
        <w:rPr>
          <w:sz w:val="20"/>
          <w:szCs w:val="20"/>
          <w:color w:val="auto"/>
        </w:rPr>
      </w:pPr>
      <w:r>
        <w:rPr>
          <w:rFonts w:ascii="Arial" w:cs="Arial" w:eastAsia="Arial" w:hAnsi="Arial"/>
          <w:sz w:val="16"/>
          <w:szCs w:val="16"/>
          <w:color w:val="auto"/>
        </w:rPr>
        <w:t>As of December 31, 2003, the notional amount of outstanding forward contracts was approximately US$313.9 million (US$530.6 million as of December 31, 2002), with maturities for periods less than a year. All of those contracts were signed solely to serve customer needs and the exchange risk was hedged with operations amounting to a net of US$135.6 million in excess of sales. The net open forward position was US$15.0 million at year-end 2003 (US$22.5 million in 2002). Interest rate swap operations at year-end 2003 amounted to US$98.1 million (US$10.8 million in 2002) and were fully hedged.</w:t>
      </w:r>
    </w:p>
    <w:p>
      <w:pPr>
        <w:spacing w:after="0" w:line="167" w:lineRule="exact"/>
        <w:rPr>
          <w:sz w:val="20"/>
          <w:szCs w:val="20"/>
          <w:color w:val="auto"/>
        </w:rPr>
      </w:pPr>
    </w:p>
    <w:p>
      <w:pPr>
        <w:jc w:val="right"/>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DESCRIPTION OF SECURITIES OTHER THAN EQUITY SECURITIES</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347" w:right="2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PART II</w:t>
      </w:r>
    </w:p>
    <w:p>
      <w:pPr>
        <w:spacing w:after="0" w:line="231" w:lineRule="exact"/>
        <w:rPr>
          <w:sz w:val="20"/>
          <w:szCs w:val="20"/>
          <w:color w:val="auto"/>
        </w:rPr>
      </w:pPr>
    </w:p>
    <w:p>
      <w:pPr>
        <w:jc w:val="right"/>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DEFAULTS, DIVIDEND ARREARAGES AND DELINQUENCIES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Material Defaults</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Credicorp has never defaulted on any of its debt or been forced to reschedule any of its obligations.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Dividend Arrearages</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right"/>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MATERIAL MODIFICATIONS TO THE RIGHTS OF SECURITY HOLDERS AND USE OF PROCEEDS</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right"/>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CONTROLS AND PROCEDURES</w:t>
      </w:r>
    </w:p>
    <w:p>
      <w:pPr>
        <w:spacing w:after="0" w:line="231" w:lineRule="exact"/>
        <w:rPr>
          <w:sz w:val="20"/>
          <w:szCs w:val="20"/>
          <w:color w:val="auto"/>
        </w:rPr>
      </w:pPr>
    </w:p>
    <w:p>
      <w:pPr>
        <w:jc w:val="both"/>
        <w:ind w:firstLine="251"/>
        <w:spacing w:after="0" w:line="254" w:lineRule="auto"/>
        <w:rPr>
          <w:sz w:val="20"/>
          <w:szCs w:val="20"/>
          <w:color w:val="auto"/>
        </w:rPr>
      </w:pPr>
      <w:r>
        <w:rPr>
          <w:rFonts w:ascii="Arial" w:cs="Arial" w:eastAsia="Arial" w:hAnsi="Arial"/>
          <w:sz w:val="18"/>
          <w:szCs w:val="18"/>
          <w:color w:val="auto"/>
        </w:rPr>
        <w:t>Credicorp’s management, with the participation of and under the supervision of Credicorp’s principal executive officer and principal financial officer, has evaluated the effectiveness of the design and operation of Credicorp’s disclosure controls and procedures (as defined in Exchange Act Rules 13a-15(e) and 15d-15(e)) as of December 31, 2003. Based on that evaluation, Credicorp’s management, its principal executive officer and its principal financial officer have concluded that Credicorp’s disclosure controls and procedures are effective to ensure that information required to be disclosed by Credicorp in reports that it files or submits under the Exchange Act is recorded, processed, summarized and reported within the time periods specified in U.S. Securities and Exchange Commission (the “SEC”) rules and forms.</w:t>
      </w:r>
    </w:p>
    <w:p>
      <w:pPr>
        <w:spacing w:after="0" w:line="198" w:lineRule="exact"/>
        <w:rPr>
          <w:sz w:val="20"/>
          <w:szCs w:val="20"/>
          <w:color w:val="auto"/>
        </w:rPr>
      </w:pPr>
    </w:p>
    <w:p>
      <w:pPr>
        <w:jc w:val="both"/>
        <w:ind w:right="20" w:firstLine="230"/>
        <w:spacing w:after="0" w:line="332" w:lineRule="auto"/>
        <w:rPr>
          <w:sz w:val="20"/>
          <w:szCs w:val="20"/>
          <w:color w:val="auto"/>
        </w:rPr>
      </w:pPr>
      <w:r>
        <w:rPr>
          <w:rFonts w:ascii="Arial" w:cs="Arial" w:eastAsia="Arial" w:hAnsi="Arial"/>
          <w:sz w:val="16"/>
          <w:szCs w:val="16"/>
          <w:color w:val="auto"/>
        </w:rPr>
        <w:t>No changes were made to Credicorp’s internal controls over financial reporting that materially affected internal controls over financial reporting during the period covered by this Annual Report. Credicorp also found no significant deficiencies or material weaknesses, and therefore no corrective actions were taken.</w:t>
      </w:r>
    </w:p>
    <w:p>
      <w:pPr>
        <w:spacing w:after="0" w:line="139" w:lineRule="exact"/>
        <w:rPr>
          <w:sz w:val="20"/>
          <w:szCs w:val="20"/>
          <w:color w:val="auto"/>
        </w:rPr>
      </w:pPr>
    </w:p>
    <w:p>
      <w:pPr>
        <w:jc w:val="both"/>
        <w:ind w:firstLine="183"/>
        <w:spacing w:after="0" w:line="268" w:lineRule="auto"/>
        <w:rPr>
          <w:sz w:val="20"/>
          <w:szCs w:val="20"/>
          <w:color w:val="auto"/>
        </w:rPr>
      </w:pPr>
      <w:r>
        <w:rPr>
          <w:rFonts w:ascii="Arial" w:cs="Arial" w:eastAsia="Arial" w:hAnsi="Arial"/>
          <w:sz w:val="18"/>
          <w:szCs w:val="18"/>
          <w:color w:val="auto"/>
        </w:rPr>
        <w:t>The design of any system of controls is based in part upon certain assumptions about the likelihood of future events. There is no certainty that any design will succeed in achieving its stated goal under all potential future considerations, regardless of how remote.</w:t>
      </w:r>
    </w:p>
    <w:p>
      <w:pPr>
        <w:spacing w:after="0" w:line="186" w:lineRule="exact"/>
        <w:rPr>
          <w:sz w:val="20"/>
          <w:szCs w:val="20"/>
          <w:color w:val="auto"/>
        </w:rPr>
      </w:pPr>
    </w:p>
    <w:p>
      <w:pPr>
        <w:jc w:val="right"/>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16A. AUDIT COMMITTEE FINANCIAL EXPERT</w:t>
      </w:r>
    </w:p>
    <w:p>
      <w:pPr>
        <w:spacing w:after="0" w:line="231" w:lineRule="exact"/>
        <w:rPr>
          <w:sz w:val="20"/>
          <w:szCs w:val="20"/>
          <w:color w:val="auto"/>
        </w:rPr>
      </w:pPr>
    </w:p>
    <w:p>
      <w:pPr>
        <w:jc w:val="both"/>
        <w:ind w:firstLine="197"/>
        <w:spacing w:after="0" w:line="256" w:lineRule="auto"/>
        <w:rPr>
          <w:sz w:val="20"/>
          <w:szCs w:val="20"/>
          <w:color w:val="auto"/>
        </w:rPr>
      </w:pPr>
      <w:r>
        <w:rPr>
          <w:rFonts w:ascii="Arial" w:cs="Arial" w:eastAsia="Arial" w:hAnsi="Arial"/>
          <w:sz w:val="18"/>
          <w:szCs w:val="18"/>
          <w:color w:val="auto"/>
        </w:rPr>
        <w:t>Credicorp's Board of Directors has determined that Mr. Luis Enrique Yarur is an audit committee financial expert, as that term is defined according to Section 407(b) of the U.S. Sarbanes-Oxley Act of 2002. Mr. Yarur is a businessman with an undergraduate degree in law and graduate degrees in economics and management. He became a Director of Credicorp on October 31, 2002. Mr. Yarur is Chairman of the Board of Banco de Crédito e Inversiones in Chile, and a member of the boards of directors of various other Chilean companies.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341" w:right="239" w:bottom="1440" w:gutter="0" w:footer="0" w:header="0"/>
        </w:sectPr>
      </w:pPr>
    </w:p>
    <w:bookmarkStart w:id="122" w:name="page123"/>
    <w:bookmarkEnd w:id="122"/>
    <w:p>
      <w:pPr>
        <w:jc w:val="right"/>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16B. CODE OF ETHICS</w:t>
      </w:r>
    </w:p>
    <w:p>
      <w:pPr>
        <w:spacing w:after="0" w:line="231"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Credicorp has adopted a code of ethics (</w:t>
      </w:r>
      <w:r>
        <w:rPr>
          <w:rFonts w:ascii="Arial" w:cs="Arial" w:eastAsia="Arial" w:hAnsi="Arial"/>
          <w:sz w:val="18"/>
          <w:szCs w:val="18"/>
          <w:i w:val="1"/>
          <w:iCs w:val="1"/>
          <w:color w:val="auto"/>
        </w:rPr>
        <w:t>Código de Etica</w:t>
      </w:r>
      <w:r>
        <w:rPr>
          <w:rFonts w:ascii="Arial" w:cs="Arial" w:eastAsia="Arial" w:hAnsi="Arial"/>
          <w:sz w:val="18"/>
          <w:szCs w:val="18"/>
          <w:color w:val="auto"/>
        </w:rPr>
        <w:t>) that is applicable to the Board of Directors, including Credicorp’s Chief Executive Officer, Chief Financial and Accounting Officer and the other principal executive officers, as well as to all other employees. In addition, Credicorp has adopted a code of ethics for professionals with financial responsibility (</w:t>
      </w:r>
      <w:r>
        <w:rPr>
          <w:rFonts w:ascii="Arial" w:cs="Arial" w:eastAsia="Arial" w:hAnsi="Arial"/>
          <w:sz w:val="18"/>
          <w:szCs w:val="18"/>
          <w:i w:val="1"/>
          <w:iCs w:val="1"/>
          <w:color w:val="auto"/>
        </w:rPr>
        <w:t>Código de Etica Para Profesionales con Responsibilidad Financiera</w:t>
      </w:r>
      <w:r>
        <w:rPr>
          <w:rFonts w:ascii="Arial" w:cs="Arial" w:eastAsia="Arial" w:hAnsi="Arial"/>
          <w:sz w:val="18"/>
          <w:szCs w:val="18"/>
          <w:color w:val="auto"/>
        </w:rPr>
        <w:t xml:space="preserve">) applicable to employees with financial management responsibilities. Credicorp’s code of ethics and code of ethics for professionals with financial responsibility are available on the Corporate Governance section of its web site at </w:t>
      </w:r>
      <w:r>
        <w:rPr>
          <w:rFonts w:ascii="Arial" w:cs="Arial" w:eastAsia="Arial" w:hAnsi="Arial"/>
          <w:sz w:val="18"/>
          <w:szCs w:val="18"/>
          <w:u w:val="single" w:color="auto"/>
          <w:color w:val="0000FF"/>
        </w:rPr>
        <w:t>http://www.credicorpnet.com.</w:t>
      </w:r>
    </w:p>
    <w:p>
      <w:pPr>
        <w:spacing w:after="0" w:line="197" w:lineRule="exact"/>
        <w:rPr>
          <w:sz w:val="20"/>
          <w:szCs w:val="20"/>
          <w:color w:val="auto"/>
        </w:rPr>
      </w:pPr>
    </w:p>
    <w:p>
      <w:pPr>
        <w:jc w:val="right"/>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16C. PRINCIPAL ACCOUNTANT FEES AND SERVICES</w:t>
      </w:r>
    </w:p>
    <w:p>
      <w:pPr>
        <w:spacing w:after="0" w:line="231" w:lineRule="exact"/>
        <w:rPr>
          <w:sz w:val="20"/>
          <w:szCs w:val="20"/>
          <w:color w:val="auto"/>
        </w:rPr>
      </w:pPr>
    </w:p>
    <w:p>
      <w:pPr>
        <w:jc w:val="both"/>
        <w:ind w:firstLine="181"/>
        <w:spacing w:after="0" w:line="256" w:lineRule="auto"/>
        <w:rPr>
          <w:sz w:val="20"/>
          <w:szCs w:val="20"/>
          <w:color w:val="auto"/>
        </w:rPr>
      </w:pPr>
      <w:r>
        <w:rPr>
          <w:rFonts w:ascii="Arial" w:cs="Arial" w:eastAsia="Arial" w:hAnsi="Arial"/>
          <w:sz w:val="18"/>
          <w:szCs w:val="18"/>
          <w:color w:val="auto"/>
        </w:rPr>
        <w:t>The following table sets forth for each of the years indicated, the fees paid to our independent auditors: Dongo-Soria, Gaveglio y Asociados, a member firm of PricewaterhouseCoopers and Medina, Zaldívar, Paredes &amp; Asociados, a member firm of Ernst &amp; Young for the audit of Credicorp’s financial statements for the years ended December 31, 2002 and 2003, respectively. The Audit Committee recommends the appointment of the independent auditor every fiscal year, and the auditor is appointed at the Annual General Shareholders’ Meeting.</w:t>
      </w:r>
    </w:p>
    <w:p>
      <w:pPr>
        <w:spacing w:after="0" w:line="218" w:lineRule="exact"/>
        <w:rPr>
          <w:sz w:val="20"/>
          <w:szCs w:val="20"/>
          <w:color w:val="auto"/>
        </w:rPr>
      </w:pPr>
    </w:p>
    <w:p>
      <w:pPr>
        <w:ind w:left="8700"/>
        <w:spacing w:after="0"/>
        <w:rPr>
          <w:sz w:val="20"/>
          <w:szCs w:val="20"/>
          <w:color w:val="auto"/>
        </w:rPr>
      </w:pPr>
      <w:r>
        <w:rPr>
          <w:rFonts w:ascii="Arial" w:cs="Arial" w:eastAsia="Arial" w:hAnsi="Arial"/>
          <w:sz w:val="18"/>
          <w:szCs w:val="18"/>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96520</wp:posOffset>
            </wp:positionV>
            <wp:extent cx="2182495" cy="342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2182495" cy="34290"/>
                    </a:xfrm>
                    <a:prstGeom prst="rect">
                      <a:avLst/>
                    </a:prstGeom>
                    <a:noFill/>
                  </pic:spPr>
                </pic:pic>
              </a:graphicData>
            </a:graphic>
          </wp:anchor>
        </w:drawing>
      </w:r>
    </w:p>
    <w:p>
      <w:pPr>
        <w:spacing w:after="0" w:line="313"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9000" w:type="dxa"/>
            <w:vAlign w:val="bottom"/>
            <w:gridSpan w:val="2"/>
          </w:tcPr>
          <w:p>
            <w:pPr>
              <w:ind w:left="8620"/>
              <w:spacing w:after="0"/>
              <w:rPr>
                <w:sz w:val="20"/>
                <w:szCs w:val="20"/>
                <w:color w:val="auto"/>
              </w:rPr>
            </w:pPr>
            <w:r>
              <w:rPr>
                <w:rFonts w:ascii="Arial" w:cs="Arial" w:eastAsia="Arial" w:hAnsi="Arial"/>
                <w:sz w:val="18"/>
                <w:szCs w:val="18"/>
                <w:b w:val="1"/>
                <w:bCs w:val="1"/>
                <w:color w:val="auto"/>
                <w:w w:val="89"/>
              </w:rPr>
              <w:t>2002</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Pr>
          <w:p>
            <w:pPr>
              <w:jc w:val="right"/>
              <w:ind w:right="592"/>
              <w:spacing w:after="0"/>
              <w:rPr>
                <w:sz w:val="20"/>
                <w:szCs w:val="20"/>
                <w:color w:val="auto"/>
              </w:rPr>
            </w:pPr>
            <w:r>
              <w:rPr>
                <w:rFonts w:ascii="Arial" w:cs="Arial" w:eastAsia="Arial" w:hAnsi="Arial"/>
                <w:sz w:val="18"/>
                <w:szCs w:val="18"/>
                <w:b w:val="1"/>
                <w:bCs w:val="1"/>
                <w:color w:val="auto"/>
              </w:rPr>
              <w:t>2003</w:t>
            </w:r>
          </w:p>
        </w:tc>
      </w:tr>
      <w:tr>
        <w:trPr>
          <w:trHeight w:val="137"/>
        </w:trPr>
        <w:tc>
          <w:tcPr>
            <w:tcW w:w="7940" w:type="dxa"/>
            <w:vAlign w:val="bottom"/>
          </w:tcPr>
          <w:p>
            <w:pPr>
              <w:spacing w:after="0"/>
              <w:rPr>
                <w:sz w:val="11"/>
                <w:szCs w:val="11"/>
                <w:color w:val="auto"/>
              </w:rPr>
            </w:pPr>
          </w:p>
        </w:tc>
        <w:tc>
          <w:tcPr>
            <w:tcW w:w="1700" w:type="dxa"/>
            <w:vAlign w:val="bottom"/>
            <w:tcBorders>
              <w:bottom w:val="single" w:sz="8" w:color="9A9A9A"/>
            </w:tcBorders>
            <w:gridSpan w:val="2"/>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r>
      <w:tr>
        <w:trPr>
          <w:trHeight w:val="343"/>
        </w:trPr>
        <w:tc>
          <w:tcPr>
            <w:tcW w:w="7940" w:type="dxa"/>
            <w:vAlign w:val="bottom"/>
          </w:tcPr>
          <w:p>
            <w:pPr>
              <w:spacing w:after="0"/>
              <w:rPr>
                <w:sz w:val="24"/>
                <w:szCs w:val="24"/>
                <w:color w:val="auto"/>
              </w:rPr>
            </w:pPr>
          </w:p>
        </w:tc>
        <w:tc>
          <w:tcPr>
            <w:tcW w:w="3420" w:type="dxa"/>
            <w:vAlign w:val="bottom"/>
            <w:gridSpan w:val="4"/>
          </w:tcPr>
          <w:p>
            <w:pPr>
              <w:jc w:val="right"/>
              <w:ind w:right="652"/>
              <w:spacing w:after="0"/>
              <w:rPr>
                <w:sz w:val="20"/>
                <w:szCs w:val="20"/>
                <w:color w:val="auto"/>
              </w:rPr>
            </w:pPr>
            <w:r>
              <w:rPr>
                <w:rFonts w:ascii="Arial" w:cs="Arial" w:eastAsia="Arial" w:hAnsi="Arial"/>
                <w:sz w:val="18"/>
                <w:szCs w:val="18"/>
                <w:i w:val="1"/>
                <w:iCs w:val="1"/>
                <w:color w:val="auto"/>
              </w:rPr>
              <w:t>(U.S. Dollars in thousands)</w:t>
            </w:r>
          </w:p>
        </w:tc>
      </w:tr>
      <w:tr>
        <w:trPr>
          <w:trHeight w:val="486"/>
        </w:trPr>
        <w:tc>
          <w:tcPr>
            <w:tcW w:w="9000" w:type="dxa"/>
            <w:vAlign w:val="bottom"/>
            <w:gridSpan w:val="2"/>
          </w:tcPr>
          <w:p>
            <w:pPr>
              <w:spacing w:after="0"/>
              <w:rPr>
                <w:sz w:val="20"/>
                <w:szCs w:val="20"/>
                <w:color w:val="auto"/>
              </w:rPr>
            </w:pPr>
            <w:r>
              <w:rPr>
                <w:rFonts w:ascii="Arial" w:cs="Arial" w:eastAsia="Arial" w:hAnsi="Arial"/>
                <w:sz w:val="18"/>
                <w:szCs w:val="18"/>
                <w:color w:val="auto"/>
              </w:rPr>
              <w:t>Audit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US$ 833</w:t>
            </w:r>
          </w:p>
        </w:tc>
        <w:tc>
          <w:tcPr>
            <w:tcW w:w="1700" w:type="dxa"/>
            <w:vAlign w:val="bottom"/>
          </w:tcPr>
          <w:p>
            <w:pPr>
              <w:jc w:val="right"/>
              <w:spacing w:after="0"/>
              <w:rPr>
                <w:sz w:val="20"/>
                <w:szCs w:val="20"/>
                <w:color w:val="auto"/>
              </w:rPr>
            </w:pPr>
            <w:r>
              <w:rPr>
                <w:rFonts w:ascii="Arial" w:cs="Arial" w:eastAsia="Arial" w:hAnsi="Arial"/>
                <w:sz w:val="18"/>
                <w:szCs w:val="18"/>
                <w:color w:val="auto"/>
              </w:rPr>
              <w:t>US$ 974</w:t>
            </w:r>
          </w:p>
        </w:tc>
      </w:tr>
      <w:tr>
        <w:trPr>
          <w:trHeight w:val="243"/>
        </w:trPr>
        <w:tc>
          <w:tcPr>
            <w:tcW w:w="9000" w:type="dxa"/>
            <w:vAlign w:val="bottom"/>
            <w:gridSpan w:val="2"/>
          </w:tcPr>
          <w:p>
            <w:pPr>
              <w:spacing w:after="0"/>
              <w:rPr>
                <w:sz w:val="20"/>
                <w:szCs w:val="20"/>
                <w:color w:val="auto"/>
              </w:rPr>
            </w:pPr>
            <w:r>
              <w:rPr>
                <w:rFonts w:ascii="Arial" w:cs="Arial" w:eastAsia="Arial" w:hAnsi="Arial"/>
                <w:sz w:val="18"/>
                <w:szCs w:val="18"/>
                <w:color w:val="auto"/>
              </w:rPr>
              <w:t>Audit – Related</w:t>
            </w:r>
          </w:p>
        </w:tc>
        <w:tc>
          <w:tcPr>
            <w:tcW w:w="64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9000" w:type="dxa"/>
            <w:vAlign w:val="bottom"/>
            <w:gridSpan w:val="2"/>
          </w:tcPr>
          <w:p>
            <w:pPr>
              <w:spacing w:after="0"/>
              <w:rPr>
                <w:sz w:val="20"/>
                <w:szCs w:val="20"/>
                <w:color w:val="auto"/>
              </w:rPr>
            </w:pPr>
            <w:r>
              <w:rPr>
                <w:rFonts w:ascii="Arial" w:cs="Arial" w:eastAsia="Arial" w:hAnsi="Arial"/>
                <w:sz w:val="18"/>
                <w:szCs w:val="18"/>
                <w:color w:val="auto"/>
              </w:rPr>
              <w:t>Tax</w:t>
            </w:r>
          </w:p>
        </w:tc>
        <w:tc>
          <w:tcPr>
            <w:tcW w:w="64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9000" w:type="dxa"/>
            <w:vAlign w:val="bottom"/>
            <w:gridSpan w:val="2"/>
          </w:tcPr>
          <w:p>
            <w:pPr>
              <w:spacing w:after="0"/>
              <w:rPr>
                <w:sz w:val="20"/>
                <w:szCs w:val="20"/>
                <w:color w:val="auto"/>
              </w:rPr>
            </w:pPr>
            <w:r>
              <w:rPr>
                <w:rFonts w:ascii="Arial" w:cs="Arial" w:eastAsia="Arial" w:hAnsi="Arial"/>
                <w:sz w:val="18"/>
                <w:szCs w:val="18"/>
                <w:color w:val="auto"/>
              </w:rPr>
              <w:t>All Other</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151"/>
        </w:trPr>
        <w:tc>
          <w:tcPr>
            <w:tcW w:w="79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r>
      <w:tr>
        <w:trPr>
          <w:trHeight w:val="343"/>
        </w:trPr>
        <w:tc>
          <w:tcPr>
            <w:tcW w:w="90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8"/>
              </w:rPr>
              <w:t>US$ 941</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US$ 1,156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6123940</wp:posOffset>
            </wp:positionH>
            <wp:positionV relativeFrom="paragraph">
              <wp:posOffset>-1339850</wp:posOffset>
            </wp:positionV>
            <wp:extent cx="34290" cy="342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-1339850</wp:posOffset>
            </wp:positionV>
            <wp:extent cx="34290" cy="342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-242570</wp:posOffset>
            </wp:positionV>
            <wp:extent cx="34290" cy="342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-242570</wp:posOffset>
            </wp:positionV>
            <wp:extent cx="34290" cy="342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17" w:lineRule="exact"/>
        <w:rPr>
          <w:sz w:val="20"/>
          <w:szCs w:val="20"/>
          <w:color w:val="auto"/>
        </w:rPr>
      </w:pPr>
    </w:p>
    <w:p>
      <w:pPr>
        <w:jc w:val="both"/>
        <w:ind w:firstLine="176"/>
        <w:spacing w:after="0" w:line="306" w:lineRule="auto"/>
        <w:rPr>
          <w:sz w:val="20"/>
          <w:szCs w:val="20"/>
          <w:color w:val="auto"/>
        </w:rPr>
      </w:pPr>
      <w:r>
        <w:rPr>
          <w:rFonts w:ascii="Arial" w:cs="Arial" w:eastAsia="Arial" w:hAnsi="Arial"/>
          <w:sz w:val="16"/>
          <w:szCs w:val="16"/>
          <w:i w:val="1"/>
          <w:iCs w:val="1"/>
          <w:color w:val="auto"/>
        </w:rPr>
        <w:t xml:space="preserve">Audit fees </w:t>
      </w:r>
      <w:r>
        <w:rPr>
          <w:rFonts w:ascii="Arial" w:cs="Arial" w:eastAsia="Arial" w:hAnsi="Arial"/>
          <w:sz w:val="16"/>
          <w:szCs w:val="16"/>
          <w:color w:val="auto"/>
        </w:rPr>
        <w:t>correspond to audit services performed (i) in the review of Credicorp’s consolidated financial statements, and (ii) establishing the procedures that the</w:t>
      </w:r>
      <w:r>
        <w:rPr>
          <w:rFonts w:ascii="Arial" w:cs="Arial" w:eastAsia="Arial" w:hAnsi="Arial"/>
          <w:sz w:val="16"/>
          <w:szCs w:val="16"/>
          <w:i w:val="1"/>
          <w:iCs w:val="1"/>
          <w:color w:val="auto"/>
        </w:rPr>
        <w:t xml:space="preserve"> </w:t>
      </w:r>
      <w:r>
        <w:rPr>
          <w:rFonts w:ascii="Arial" w:cs="Arial" w:eastAsia="Arial" w:hAnsi="Arial"/>
          <w:sz w:val="16"/>
          <w:szCs w:val="16"/>
          <w:color w:val="auto"/>
        </w:rPr>
        <w:t>independent auditor needs to perform in order to form an opinion about Credicorp’s consolidated financial statements. Audit fees also include expenses related to the audit work. During 2003, the Audit Committee approved additional audit fees totaling US$220,000.</w:t>
      </w:r>
    </w:p>
    <w:p>
      <w:pPr>
        <w:spacing w:after="0" w:line="161" w:lineRule="exact"/>
        <w:rPr>
          <w:sz w:val="20"/>
          <w:szCs w:val="20"/>
          <w:color w:val="auto"/>
        </w:rPr>
      </w:pPr>
    </w:p>
    <w:p>
      <w:pPr>
        <w:jc w:val="both"/>
        <w:ind w:firstLine="230"/>
        <w:spacing w:after="0" w:line="294" w:lineRule="auto"/>
        <w:rPr>
          <w:sz w:val="20"/>
          <w:szCs w:val="20"/>
          <w:color w:val="auto"/>
        </w:rPr>
      </w:pPr>
      <w:r>
        <w:rPr>
          <w:rFonts w:ascii="Arial" w:cs="Arial" w:eastAsia="Arial" w:hAnsi="Arial"/>
          <w:sz w:val="16"/>
          <w:szCs w:val="16"/>
          <w:i w:val="1"/>
          <w:iCs w:val="1"/>
          <w:color w:val="auto"/>
        </w:rPr>
        <w:t xml:space="preserve">Audit-related fees </w:t>
      </w:r>
      <w:r>
        <w:rPr>
          <w:rFonts w:ascii="Arial" w:cs="Arial" w:eastAsia="Arial" w:hAnsi="Arial"/>
          <w:sz w:val="16"/>
          <w:szCs w:val="16"/>
          <w:color w:val="auto"/>
        </w:rPr>
        <w:t>relate to services that are similar to the execution of an audit or a review of Credicorp’s financial statements and which are traditionally</w:t>
      </w:r>
      <w:r>
        <w:rPr>
          <w:rFonts w:ascii="Arial" w:cs="Arial" w:eastAsia="Arial" w:hAnsi="Arial"/>
          <w:sz w:val="16"/>
          <w:szCs w:val="16"/>
          <w:i w:val="1"/>
          <w:iCs w:val="1"/>
          <w:color w:val="auto"/>
        </w:rPr>
        <w:t xml:space="preserve"> </w:t>
      </w:r>
      <w:r>
        <w:rPr>
          <w:rFonts w:ascii="Arial" w:cs="Arial" w:eastAsia="Arial" w:hAnsi="Arial"/>
          <w:sz w:val="16"/>
          <w:szCs w:val="16"/>
          <w:color w:val="auto"/>
        </w:rPr>
        <w:t>performed by the independent auditor. Such audit-related services include “due diligence” tasks related to possible acquisitions; advisory services related to accounting or financial reports; assistance in the understanding and/or implementation of new accounting and financial rules established by regulatory entities; audit related procedures on accounting matters previously agreed with Credicorp’s management; and advisory services on internal control procedures. There were no such services performed by Credicorp’s independent auditor during 2003.</w:t>
      </w:r>
    </w:p>
    <w:p>
      <w:pPr>
        <w:spacing w:after="0" w:line="170" w:lineRule="exact"/>
        <w:rPr>
          <w:sz w:val="20"/>
          <w:szCs w:val="20"/>
          <w:color w:val="auto"/>
        </w:rPr>
      </w:pPr>
    </w:p>
    <w:p>
      <w:pPr>
        <w:jc w:val="both"/>
        <w:ind w:firstLine="257"/>
        <w:spacing w:after="0" w:line="332" w:lineRule="auto"/>
        <w:rPr>
          <w:sz w:val="20"/>
          <w:szCs w:val="20"/>
          <w:color w:val="auto"/>
        </w:rPr>
      </w:pPr>
      <w:r>
        <w:rPr>
          <w:rFonts w:ascii="Arial" w:cs="Arial" w:eastAsia="Arial" w:hAnsi="Arial"/>
          <w:sz w:val="16"/>
          <w:szCs w:val="16"/>
          <w:i w:val="1"/>
          <w:iCs w:val="1"/>
          <w:color w:val="auto"/>
        </w:rPr>
        <w:t xml:space="preserve">Tax fees </w:t>
      </w:r>
      <w:r>
        <w:rPr>
          <w:rFonts w:ascii="Arial" w:cs="Arial" w:eastAsia="Arial" w:hAnsi="Arial"/>
          <w:sz w:val="16"/>
          <w:szCs w:val="16"/>
          <w:color w:val="auto"/>
        </w:rPr>
        <w:t>relate to tax services which include all services performed by Credicorp’s independent auditor’s tax personnel, except those services specifically</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to the review and preparation of Credicorp’s financial statements, and consisted principally of tax compliance, advisory and planning services.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131" w:right="239" w:bottom="1440" w:gutter="0" w:footer="0" w:header="0"/>
        </w:sectPr>
      </w:pPr>
    </w:p>
    <w:bookmarkStart w:id="123" w:name="page124"/>
    <w:bookmarkEnd w:id="123"/>
    <w:p>
      <w:pPr>
        <w:jc w:val="both"/>
        <w:ind w:right="20" w:firstLine="203"/>
        <w:spacing w:after="0" w:line="268" w:lineRule="auto"/>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relate to services performed in 2003 by the Business Advisory Service unit of Ernst &amp; Young related to internal control and documentation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 Pre-Approval Policies and Procedures</w:t>
      </w:r>
    </w:p>
    <w:p>
      <w:pPr>
        <w:spacing w:after="0" w:line="225" w:lineRule="exact"/>
        <w:rPr>
          <w:sz w:val="20"/>
          <w:szCs w:val="20"/>
          <w:color w:val="auto"/>
        </w:rPr>
      </w:pPr>
    </w:p>
    <w:p>
      <w:pPr>
        <w:jc w:val="both"/>
        <w:ind w:firstLine="208"/>
        <w:spacing w:after="0" w:line="289" w:lineRule="auto"/>
        <w:rPr>
          <w:sz w:val="20"/>
          <w:szCs w:val="20"/>
          <w:color w:val="auto"/>
        </w:rPr>
      </w:pPr>
      <w:r>
        <w:rPr>
          <w:rFonts w:ascii="Arial" w:cs="Arial" w:eastAsia="Arial" w:hAnsi="Arial"/>
          <w:sz w:val="16"/>
          <w:szCs w:val="16"/>
          <w:color w:val="auto"/>
        </w:rPr>
        <w:t>The Audit Committee must approve all of the services the independent auditors provide as part of its responsibility in supervising their work. There are two types of approvals. The Audit Committee grants a “general approval” in advance to a list of services that the independent auditor may provide without further approval required by the Audit Committee. A general approval is valid for 12 months from the date of approval unless the Audit Committee determines a different period of validity should apply. The Audit Committee also grants “specific approval” for services that that do not have general approval on a case-by-case basis. All of the services that do not have general approval need specific approval from the Audit Committee before any agreement is signed with the independent auditor to provide such services. Any service that exceeds approved costs or budgets will need specific approval from the Audit Committee. When considering granting any type of approval, the Audit Committee considers whether the requested services are consistent with the SEC’s rules regarding the independence of the external auditors.</w:t>
      </w:r>
    </w:p>
    <w:p>
      <w:pPr>
        <w:spacing w:after="0" w:line="172" w:lineRule="exact"/>
        <w:rPr>
          <w:sz w:val="20"/>
          <w:szCs w:val="20"/>
          <w:color w:val="auto"/>
        </w:rPr>
      </w:pPr>
    </w:p>
    <w:p>
      <w:pPr>
        <w:jc w:val="both"/>
        <w:ind w:right="20" w:firstLine="280"/>
        <w:spacing w:after="0" w:line="298" w:lineRule="auto"/>
        <w:rPr>
          <w:sz w:val="20"/>
          <w:szCs w:val="20"/>
          <w:color w:val="auto"/>
        </w:rPr>
      </w:pPr>
      <w:r>
        <w:rPr>
          <w:rFonts w:ascii="Arial" w:cs="Arial" w:eastAsia="Arial" w:hAnsi="Arial"/>
          <w:sz w:val="16"/>
          <w:szCs w:val="16"/>
          <w:color w:val="auto"/>
        </w:rPr>
        <w:t>The Audit Committee supervises the execution of the external audit services as necessary. It approves, when necessary, any modification in the terms, conditions, fees and extent of the audit services. The Audit Committee may give a general approval for other audit services where the independent auditor is in the best position to provide those services. Such services typically include: audit services required by regulations, financial audits for Credicorp’s subsidiaries or affiliates; and services associated with the presentation of documents to the SEC or other documents published in relation to the trading of Credicorp’s shares.</w:t>
      </w:r>
    </w:p>
    <w:p>
      <w:pPr>
        <w:spacing w:after="0" w:line="167" w:lineRule="exact"/>
        <w:rPr>
          <w:sz w:val="20"/>
          <w:szCs w:val="20"/>
          <w:color w:val="auto"/>
        </w:rPr>
      </w:pPr>
    </w:p>
    <w:p>
      <w:pPr>
        <w:jc w:val="both"/>
        <w:ind w:firstLine="176"/>
        <w:spacing w:after="0" w:line="268" w:lineRule="auto"/>
        <w:rPr>
          <w:sz w:val="20"/>
          <w:szCs w:val="20"/>
          <w:color w:val="auto"/>
        </w:rPr>
      </w:pPr>
      <w:r>
        <w:rPr>
          <w:rFonts w:ascii="Arial" w:cs="Arial" w:eastAsia="Arial" w:hAnsi="Arial"/>
          <w:sz w:val="18"/>
          <w:szCs w:val="18"/>
          <w:color w:val="auto"/>
        </w:rPr>
        <w:t>The Audit Committee may award a general approval to audit-related services if its members consider that these services do not negatively affect the integrity of the independent auditor and are consistent with the rules of the SEC.</w:t>
      </w:r>
    </w:p>
    <w:p>
      <w:pPr>
        <w:spacing w:after="0" w:line="186" w:lineRule="exact"/>
        <w:rPr>
          <w:sz w:val="20"/>
          <w:szCs w:val="20"/>
          <w:color w:val="auto"/>
        </w:rPr>
      </w:pPr>
    </w:p>
    <w:p>
      <w:pPr>
        <w:jc w:val="both"/>
        <w:ind w:firstLine="256"/>
        <w:spacing w:after="0" w:line="259" w:lineRule="auto"/>
        <w:rPr>
          <w:sz w:val="20"/>
          <w:szCs w:val="20"/>
          <w:color w:val="auto"/>
        </w:rPr>
      </w:pPr>
      <w:r>
        <w:rPr>
          <w:rFonts w:ascii="Arial" w:cs="Arial" w:eastAsia="Arial" w:hAnsi="Arial"/>
          <w:sz w:val="18"/>
          <w:szCs w:val="18"/>
          <w:color w:val="auto"/>
        </w:rPr>
        <w:t>The Audit Committee may award a general approval to those tax services that have historically been provided by the independent auditor and which are consistent with the rules concerning the independence of the auditor. Any tax service that involves complex transactions needs a specific approval from the Audit Committee.</w:t>
      </w:r>
    </w:p>
    <w:p>
      <w:pPr>
        <w:spacing w:after="0" w:line="194" w:lineRule="exact"/>
        <w:rPr>
          <w:sz w:val="20"/>
          <w:szCs w:val="20"/>
          <w:color w:val="auto"/>
        </w:rPr>
      </w:pPr>
    </w:p>
    <w:p>
      <w:pPr>
        <w:jc w:val="both"/>
        <w:ind w:right="20" w:firstLine="217"/>
        <w:spacing w:after="0" w:line="268" w:lineRule="auto"/>
        <w:rPr>
          <w:sz w:val="20"/>
          <w:szCs w:val="20"/>
          <w:color w:val="auto"/>
        </w:rPr>
      </w:pPr>
      <w:r>
        <w:rPr>
          <w:rFonts w:ascii="Arial" w:cs="Arial" w:eastAsia="Arial" w:hAnsi="Arial"/>
          <w:sz w:val="18"/>
          <w:szCs w:val="18"/>
          <w:color w:val="auto"/>
        </w:rPr>
        <w:t>The Audit Committee may grant a specific approval to other services provided by the independent auditor so long as they do not impair the integrity of the independent auditor and are allowed by rules issued by the SEC concerning auditor independence.</w:t>
      </w:r>
    </w:p>
    <w:p>
      <w:pPr>
        <w:spacing w:after="0" w:line="186" w:lineRule="exact"/>
        <w:rPr>
          <w:sz w:val="20"/>
          <w:szCs w:val="20"/>
          <w:color w:val="auto"/>
        </w:rPr>
      </w:pPr>
    </w:p>
    <w:p>
      <w:pPr>
        <w:jc w:val="right"/>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16D. EXEMPTIONS FROM THE LISTING STANDARDS FOR AUDIT COMMITTEES</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right"/>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16E. PURCHASES OF EQUITY SECURITIES BY THE ISSUER AND AFFILIATED PURCHASERS</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347" w:right="2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PART III</w:t>
      </w:r>
    </w:p>
    <w:p>
      <w:pPr>
        <w:spacing w:after="0" w:line="231" w:lineRule="exact"/>
        <w:rPr>
          <w:sz w:val="20"/>
          <w:szCs w:val="20"/>
          <w:color w:val="auto"/>
        </w:rPr>
      </w:pPr>
    </w:p>
    <w:p>
      <w:pPr>
        <w:jc w:val="right"/>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FINANCIAL STATEMENTS</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right"/>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18. FINANCIAL STATEMENTS</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Please refer to “Item 19. Exhibits.”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341" w:right="2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07"/>
        </w:trPr>
        <w:tc>
          <w:tcPr>
            <w:tcW w:w="10180" w:type="dxa"/>
            <w:vAlign w:val="bottom"/>
          </w:tcPr>
          <w:p>
            <w:pPr>
              <w:spacing w:after="0"/>
              <w:rPr>
                <w:sz w:val="17"/>
                <w:szCs w:val="17"/>
                <w:color w:val="auto"/>
              </w:rPr>
            </w:pPr>
          </w:p>
        </w:tc>
        <w:tc>
          <w:tcPr>
            <w:tcW w:w="124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2">
              <w:r>
                <w:rPr>
                  <w:rFonts w:ascii="Arial" w:cs="Arial" w:eastAsia="Arial" w:hAnsi="Arial"/>
                  <w:sz w:val="18"/>
                  <w:szCs w:val="18"/>
                  <w:color w:val="0000EE"/>
                  <w:w w:val="85"/>
                </w:rPr>
                <w:t>Table of Contents</w:t>
              </w:r>
            </w:hyperlink>
          </w:p>
        </w:tc>
        <w:tc>
          <w:tcPr>
            <w:tcW w:w="0" w:type="dxa"/>
            <w:vAlign w:val="bottom"/>
          </w:tcPr>
          <w:p>
            <w:pPr>
              <w:spacing w:after="0"/>
              <w:rPr>
                <w:sz w:val="1"/>
                <w:szCs w:val="1"/>
                <w:color w:val="auto"/>
              </w:rPr>
            </w:pPr>
          </w:p>
        </w:tc>
      </w:tr>
      <w:tr>
        <w:trPr>
          <w:trHeight w:val="451"/>
        </w:trPr>
        <w:tc>
          <w:tcPr>
            <w:tcW w:w="10180" w:type="dxa"/>
            <w:vAlign w:val="bottom"/>
          </w:tcPr>
          <w:p>
            <w:pPr>
              <w:spacing w:after="0"/>
              <w:rPr>
                <w:sz w:val="20"/>
                <w:szCs w:val="20"/>
                <w:color w:val="auto"/>
              </w:rPr>
            </w:pPr>
            <w:r>
              <w:rPr>
                <w:rFonts w:ascii="Arial" w:cs="Arial" w:eastAsia="Arial" w:hAnsi="Arial"/>
                <w:sz w:val="18"/>
                <w:szCs w:val="18"/>
                <w:b w:val="1"/>
                <w:bCs w:val="1"/>
                <w:color w:val="auto"/>
              </w:rPr>
              <w:t>ITEM 19. EXHIBITS</w:t>
            </w: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10180" w:type="dxa"/>
            <w:vAlign w:val="bottom"/>
            <w:vMerge w:val="restart"/>
          </w:tcPr>
          <w:p>
            <w:pPr>
              <w:spacing w:after="0"/>
              <w:rPr>
                <w:sz w:val="20"/>
                <w:szCs w:val="20"/>
                <w:color w:val="auto"/>
              </w:rPr>
            </w:pPr>
            <w:r>
              <w:rPr>
                <w:rFonts w:ascii="Arial" w:cs="Arial" w:eastAsia="Arial" w:hAnsi="Arial"/>
                <w:sz w:val="18"/>
                <w:szCs w:val="18"/>
                <w:b w:val="1"/>
                <w:bCs w:val="1"/>
                <w:color w:val="auto"/>
              </w:rPr>
              <w:t>Credicorp Consolidated Financial Statements</w:t>
            </w:r>
          </w:p>
        </w:tc>
        <w:tc>
          <w:tcPr>
            <w:tcW w:w="680" w:type="dxa"/>
            <w:vAlign w:val="bottom"/>
          </w:tcPr>
          <w:p>
            <w:pPr>
              <w:spacing w:after="0"/>
              <w:rPr>
                <w:sz w:val="24"/>
                <w:szCs w:val="24"/>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6"/>
              </w:rPr>
              <w:t>Page</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0180" w:type="dxa"/>
            <w:vAlign w:val="bottom"/>
            <w:vMerge w:val="continue"/>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gridSpan w:val="2"/>
          </w:tcPr>
          <w:p>
            <w:pPr>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432"/>
        </w:trPr>
        <w:tc>
          <w:tcPr>
            <w:tcW w:w="10180" w:type="dxa"/>
            <w:vAlign w:val="bottom"/>
          </w:tcPr>
          <w:p>
            <w:pPr>
              <w:spacing w:after="0"/>
              <w:rPr>
                <w:sz w:val="20"/>
                <w:szCs w:val="20"/>
                <w:color w:val="auto"/>
              </w:rPr>
            </w:pPr>
            <w:r>
              <w:rPr>
                <w:rFonts w:ascii="Arial" w:cs="Arial" w:eastAsia="Arial" w:hAnsi="Arial"/>
                <w:sz w:val="18"/>
                <w:szCs w:val="18"/>
                <w:color w:val="auto"/>
              </w:rPr>
              <w:t>(a) Index to Financial Statements and Schedules</w:t>
            </w: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180" w:type="dxa"/>
            <w:vAlign w:val="bottom"/>
          </w:tcPr>
          <w:p>
            <w:pPr>
              <w:spacing w:after="0"/>
              <w:rPr>
                <w:sz w:val="20"/>
                <w:szCs w:val="20"/>
                <w:color w:val="auto"/>
              </w:rPr>
            </w:pPr>
            <w:r>
              <w:rPr>
                <w:rFonts w:ascii="Arial" w:cs="Arial" w:eastAsia="Arial" w:hAnsi="Arial"/>
                <w:sz w:val="18"/>
                <w:szCs w:val="18"/>
                <w:color w:val="auto"/>
              </w:rPr>
              <w:t>Index to Financial Statements</w:t>
            </w:r>
          </w:p>
        </w:tc>
        <w:tc>
          <w:tcPr>
            <w:tcW w:w="68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426"/>
        </w:trPr>
        <w:tc>
          <w:tcPr>
            <w:tcW w:w="10180" w:type="dxa"/>
            <w:vAlign w:val="bottom"/>
          </w:tcPr>
          <w:p>
            <w:pPr>
              <w:spacing w:after="0"/>
              <w:rPr>
                <w:sz w:val="20"/>
                <w:szCs w:val="20"/>
                <w:color w:val="auto"/>
              </w:rPr>
            </w:pPr>
            <w:r>
              <w:rPr>
                <w:rFonts w:ascii="Arial" w:cs="Arial" w:eastAsia="Arial" w:hAnsi="Arial"/>
                <w:sz w:val="18"/>
                <w:szCs w:val="18"/>
                <w:color w:val="auto"/>
              </w:rPr>
              <w:t>Report of Medina, Zaldívar, Paredes &amp; Asociados, a member firm of Ernst &amp; Young,</w:t>
            </w: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0180" w:type="dxa"/>
            <w:vAlign w:val="bottom"/>
          </w:tcPr>
          <w:p>
            <w:pPr>
              <w:ind w:left="980"/>
              <w:spacing w:after="0"/>
              <w:rPr>
                <w:sz w:val="20"/>
                <w:szCs w:val="20"/>
                <w:color w:val="auto"/>
              </w:rPr>
            </w:pPr>
            <w:r>
              <w:rPr>
                <w:rFonts w:ascii="Arial" w:cs="Arial" w:eastAsia="Arial" w:hAnsi="Arial"/>
                <w:sz w:val="18"/>
                <w:szCs w:val="18"/>
                <w:color w:val="auto"/>
              </w:rPr>
              <w:t>Independent Accountants</w:t>
            </w:r>
          </w:p>
        </w:tc>
        <w:tc>
          <w:tcPr>
            <w:tcW w:w="680" w:type="dxa"/>
            <w:vAlign w:val="bottom"/>
          </w:tcPr>
          <w:p>
            <w:pPr>
              <w:spacing w:after="0"/>
              <w:rPr>
                <w:sz w:val="19"/>
                <w:szCs w:val="19"/>
                <w:color w:val="auto"/>
              </w:rPr>
            </w:pPr>
          </w:p>
        </w:tc>
        <w:tc>
          <w:tcPr>
            <w:tcW w:w="560" w:type="dxa"/>
            <w:vAlign w:val="bottom"/>
            <w:gridSpan w:val="2"/>
          </w:tcPr>
          <w:p>
            <w:pPr>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432"/>
        </w:trPr>
        <w:tc>
          <w:tcPr>
            <w:tcW w:w="10180" w:type="dxa"/>
            <w:vAlign w:val="bottom"/>
          </w:tcPr>
          <w:p>
            <w:pPr>
              <w:spacing w:after="0"/>
              <w:rPr>
                <w:sz w:val="20"/>
                <w:szCs w:val="20"/>
                <w:color w:val="auto"/>
              </w:rPr>
            </w:pPr>
            <w:r>
              <w:rPr>
                <w:rFonts w:ascii="Arial" w:cs="Arial" w:eastAsia="Arial" w:hAnsi="Arial"/>
                <w:sz w:val="18"/>
                <w:szCs w:val="18"/>
                <w:color w:val="auto"/>
              </w:rPr>
              <w:t>Consolidated Balance Sheets as of December 31, 2003 and 2002</w:t>
            </w:r>
          </w:p>
        </w:tc>
        <w:tc>
          <w:tcPr>
            <w:tcW w:w="68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426"/>
        </w:trPr>
        <w:tc>
          <w:tcPr>
            <w:tcW w:w="10180" w:type="dxa"/>
            <w:vAlign w:val="bottom"/>
          </w:tcPr>
          <w:p>
            <w:pPr>
              <w:spacing w:after="0"/>
              <w:rPr>
                <w:sz w:val="20"/>
                <w:szCs w:val="20"/>
                <w:color w:val="auto"/>
              </w:rPr>
            </w:pPr>
            <w:r>
              <w:rPr>
                <w:rFonts w:ascii="Arial" w:cs="Arial" w:eastAsia="Arial" w:hAnsi="Arial"/>
                <w:sz w:val="18"/>
                <w:szCs w:val="18"/>
                <w:color w:val="auto"/>
              </w:rPr>
              <w:t>Consolidated Statements of Income for the Years Ended</w:t>
            </w: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0180" w:type="dxa"/>
            <w:vAlign w:val="bottom"/>
          </w:tcPr>
          <w:p>
            <w:pPr>
              <w:ind w:left="980"/>
              <w:spacing w:after="0"/>
              <w:rPr>
                <w:sz w:val="20"/>
                <w:szCs w:val="20"/>
                <w:color w:val="auto"/>
              </w:rPr>
            </w:pPr>
            <w:r>
              <w:rPr>
                <w:rFonts w:ascii="Arial" w:cs="Arial" w:eastAsia="Arial" w:hAnsi="Arial"/>
                <w:sz w:val="18"/>
                <w:szCs w:val="18"/>
                <w:color w:val="auto"/>
              </w:rPr>
              <w:t>December 31, 2003, 2002 and 2001</w:t>
            </w:r>
          </w:p>
        </w:tc>
        <w:tc>
          <w:tcPr>
            <w:tcW w:w="680" w:type="dxa"/>
            <w:vAlign w:val="bottom"/>
          </w:tcPr>
          <w:p>
            <w:pPr>
              <w:spacing w:after="0"/>
              <w:rPr>
                <w:sz w:val="19"/>
                <w:szCs w:val="19"/>
                <w:color w:val="auto"/>
              </w:rPr>
            </w:pPr>
          </w:p>
        </w:tc>
        <w:tc>
          <w:tcPr>
            <w:tcW w:w="560" w:type="dxa"/>
            <w:vAlign w:val="bottom"/>
            <w:gridSpan w:val="2"/>
          </w:tcPr>
          <w:p>
            <w:pPr>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426"/>
        </w:trPr>
        <w:tc>
          <w:tcPr>
            <w:tcW w:w="10180" w:type="dxa"/>
            <w:vAlign w:val="bottom"/>
          </w:tcPr>
          <w:p>
            <w:pPr>
              <w:spacing w:after="0"/>
              <w:rPr>
                <w:sz w:val="20"/>
                <w:szCs w:val="20"/>
                <w:color w:val="auto"/>
              </w:rPr>
            </w:pPr>
            <w:r>
              <w:rPr>
                <w:rFonts w:ascii="Arial" w:cs="Arial" w:eastAsia="Arial" w:hAnsi="Arial"/>
                <w:sz w:val="18"/>
                <w:szCs w:val="18"/>
                <w:color w:val="auto"/>
              </w:rPr>
              <w:t>Consolidated Statements of Changes in Shareholders' Equity</w:t>
            </w: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0180" w:type="dxa"/>
            <w:vAlign w:val="bottom"/>
          </w:tcPr>
          <w:p>
            <w:pPr>
              <w:ind w:left="980"/>
              <w:spacing w:after="0"/>
              <w:rPr>
                <w:sz w:val="20"/>
                <w:szCs w:val="20"/>
                <w:color w:val="auto"/>
              </w:rPr>
            </w:pPr>
            <w:r>
              <w:rPr>
                <w:rFonts w:ascii="Arial" w:cs="Arial" w:eastAsia="Arial" w:hAnsi="Arial"/>
                <w:sz w:val="18"/>
                <w:szCs w:val="18"/>
                <w:color w:val="auto"/>
              </w:rPr>
              <w:t>for the Years Ended December 31, 2003, 2002 and 2001</w:t>
            </w:r>
          </w:p>
        </w:tc>
        <w:tc>
          <w:tcPr>
            <w:tcW w:w="680" w:type="dxa"/>
            <w:vAlign w:val="bottom"/>
          </w:tcPr>
          <w:p>
            <w:pPr>
              <w:spacing w:after="0"/>
              <w:rPr>
                <w:sz w:val="19"/>
                <w:szCs w:val="19"/>
                <w:color w:val="auto"/>
              </w:rPr>
            </w:pPr>
          </w:p>
        </w:tc>
        <w:tc>
          <w:tcPr>
            <w:tcW w:w="560" w:type="dxa"/>
            <w:vAlign w:val="bottom"/>
            <w:gridSpan w:val="2"/>
          </w:tcPr>
          <w:p>
            <w:pPr>
              <w:spacing w:after="0"/>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426"/>
        </w:trPr>
        <w:tc>
          <w:tcPr>
            <w:tcW w:w="10180" w:type="dxa"/>
            <w:vAlign w:val="bottom"/>
          </w:tcPr>
          <w:p>
            <w:pPr>
              <w:spacing w:after="0"/>
              <w:rPr>
                <w:sz w:val="20"/>
                <w:szCs w:val="20"/>
                <w:color w:val="auto"/>
              </w:rPr>
            </w:pPr>
            <w:r>
              <w:rPr>
                <w:rFonts w:ascii="Arial" w:cs="Arial" w:eastAsia="Arial" w:hAnsi="Arial"/>
                <w:sz w:val="18"/>
                <w:szCs w:val="18"/>
                <w:color w:val="auto"/>
              </w:rPr>
              <w:t>Consolidated Statements of Cash Flows for the Years Ended December 31,</w:t>
            </w: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0180" w:type="dxa"/>
            <w:vAlign w:val="bottom"/>
          </w:tcPr>
          <w:p>
            <w:pPr>
              <w:ind w:left="980"/>
              <w:spacing w:after="0"/>
              <w:rPr>
                <w:sz w:val="20"/>
                <w:szCs w:val="20"/>
                <w:color w:val="auto"/>
              </w:rPr>
            </w:pPr>
            <w:r>
              <w:rPr>
                <w:rFonts w:ascii="Arial" w:cs="Arial" w:eastAsia="Arial" w:hAnsi="Arial"/>
                <w:sz w:val="18"/>
                <w:szCs w:val="18"/>
                <w:color w:val="auto"/>
              </w:rPr>
              <w:t>2003, 2002 and 2001</w:t>
            </w:r>
          </w:p>
        </w:tc>
        <w:tc>
          <w:tcPr>
            <w:tcW w:w="680" w:type="dxa"/>
            <w:vAlign w:val="bottom"/>
          </w:tcPr>
          <w:p>
            <w:pPr>
              <w:spacing w:after="0"/>
              <w:rPr>
                <w:sz w:val="19"/>
                <w:szCs w:val="19"/>
                <w:color w:val="auto"/>
              </w:rPr>
            </w:pPr>
          </w:p>
        </w:tc>
        <w:tc>
          <w:tcPr>
            <w:tcW w:w="560" w:type="dxa"/>
            <w:vAlign w:val="bottom"/>
            <w:gridSpan w:val="2"/>
          </w:tcPr>
          <w:p>
            <w:pPr>
              <w:spacing w:after="0"/>
              <w:rPr>
                <w:sz w:val="20"/>
                <w:szCs w:val="20"/>
                <w:color w:val="auto"/>
              </w:rPr>
            </w:pPr>
            <w:r>
              <w:rPr>
                <w:rFonts w:ascii="Arial" w:cs="Arial" w:eastAsia="Arial" w:hAnsi="Arial"/>
                <w:sz w:val="18"/>
                <w:szCs w:val="18"/>
                <w:color w:val="auto"/>
              </w:rPr>
              <w:t>F-10</w:t>
            </w:r>
          </w:p>
        </w:tc>
        <w:tc>
          <w:tcPr>
            <w:tcW w:w="0" w:type="dxa"/>
            <w:vAlign w:val="bottom"/>
          </w:tcPr>
          <w:p>
            <w:pPr>
              <w:spacing w:after="0"/>
              <w:rPr>
                <w:sz w:val="1"/>
                <w:szCs w:val="1"/>
                <w:color w:val="auto"/>
              </w:rPr>
            </w:pPr>
          </w:p>
        </w:tc>
      </w:tr>
      <w:tr>
        <w:trPr>
          <w:trHeight w:val="426"/>
        </w:trPr>
        <w:tc>
          <w:tcPr>
            <w:tcW w:w="1018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68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8"/>
                <w:szCs w:val="18"/>
                <w:color w:val="auto"/>
              </w:rPr>
              <w:t>F-12</w:t>
            </w:r>
          </w:p>
        </w:tc>
        <w:tc>
          <w:tcPr>
            <w:tcW w:w="0" w:type="dxa"/>
            <w:vAlign w:val="bottom"/>
          </w:tcPr>
          <w:p>
            <w:pPr>
              <w:spacing w:after="0"/>
              <w:rPr>
                <w:sz w:val="1"/>
                <w:szCs w:val="1"/>
                <w:color w:val="auto"/>
              </w:rPr>
            </w:pP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Report of Dongo-Soria Gaveglio y Asociados, a member firm of PricewaterhouseCoopers,</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180" w:type="dxa"/>
            <w:vAlign w:val="bottom"/>
          </w:tcPr>
          <w:p>
            <w:pPr>
              <w:ind w:left="980"/>
              <w:spacing w:after="0"/>
              <w:rPr>
                <w:sz w:val="20"/>
                <w:szCs w:val="20"/>
                <w:color w:val="auto"/>
              </w:rPr>
            </w:pPr>
            <w:r>
              <w:rPr>
                <w:rFonts w:ascii="Arial" w:cs="Arial" w:eastAsia="Arial" w:hAnsi="Arial"/>
                <w:sz w:val="18"/>
                <w:szCs w:val="18"/>
                <w:color w:val="auto"/>
              </w:rPr>
              <w:t>Independent Auditors</w:t>
            </w:r>
          </w:p>
        </w:tc>
        <w:tc>
          <w:tcPr>
            <w:tcW w:w="680" w:type="dxa"/>
            <w:vAlign w:val="bottom"/>
          </w:tcPr>
          <w:p>
            <w:pPr>
              <w:spacing w:after="0"/>
              <w:rPr>
                <w:sz w:val="19"/>
                <w:szCs w:val="19"/>
                <w:color w:val="auto"/>
              </w:rPr>
            </w:pPr>
          </w:p>
        </w:tc>
        <w:tc>
          <w:tcPr>
            <w:tcW w:w="560" w:type="dxa"/>
            <w:vAlign w:val="bottom"/>
            <w:gridSpan w:val="2"/>
          </w:tcPr>
          <w:p>
            <w:pPr>
              <w:spacing w:after="0"/>
              <w:rPr>
                <w:sz w:val="20"/>
                <w:szCs w:val="20"/>
                <w:color w:val="auto"/>
              </w:rPr>
            </w:pPr>
            <w:r>
              <w:rPr>
                <w:rFonts w:ascii="Arial" w:cs="Arial" w:eastAsia="Arial" w:hAnsi="Arial"/>
                <w:sz w:val="18"/>
                <w:szCs w:val="18"/>
                <w:color w:val="auto"/>
              </w:rPr>
              <w:t>F-63</w:t>
            </w:r>
          </w:p>
        </w:tc>
        <w:tc>
          <w:tcPr>
            <w:tcW w:w="0" w:type="dxa"/>
            <w:vAlign w:val="bottom"/>
          </w:tcPr>
          <w:p>
            <w:pPr>
              <w:spacing w:after="0"/>
              <w:rPr>
                <w:sz w:val="1"/>
                <w:szCs w:val="1"/>
                <w:color w:val="auto"/>
              </w:rPr>
            </w:pPr>
          </w:p>
        </w:tc>
      </w:tr>
    </w:tbl>
    <w:p>
      <w:pPr>
        <w:spacing w:after="0" w:line="237" w:lineRule="exact"/>
        <w:rPr>
          <w:sz w:val="20"/>
          <w:szCs w:val="20"/>
          <w:color w:val="auto"/>
        </w:rPr>
      </w:pPr>
    </w:p>
    <w:p>
      <w:pPr>
        <w:ind w:left="600"/>
        <w:spacing w:after="0" w:line="268" w:lineRule="auto"/>
        <w:rPr>
          <w:sz w:val="20"/>
          <w:szCs w:val="20"/>
          <w:color w:val="auto"/>
        </w:rPr>
      </w:pPr>
      <w:r>
        <w:rPr>
          <w:rFonts w:ascii="Arial" w:cs="Arial" w:eastAsia="Arial" w:hAnsi="Arial"/>
          <w:sz w:val="18"/>
          <w:szCs w:val="18"/>
          <w:color w:val="auto"/>
        </w:rPr>
        <w:t>All supplementary schedules relating to the registrant are omitted because they are not required or because the required information, where material, is contained in the consolidated financial statements or notes thereto.</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(b) Index to Exhibits</w:t>
      </w:r>
    </w:p>
    <w:p>
      <w:pPr>
        <w:spacing w:after="0" w:line="225" w:lineRule="exact"/>
        <w:rPr>
          <w:sz w:val="20"/>
          <w:szCs w:val="20"/>
          <w:color w:val="auto"/>
        </w:rPr>
      </w:pPr>
    </w:p>
    <w:p>
      <w:pPr>
        <w:ind w:left="620" w:hanging="607"/>
        <w:spacing w:after="0" w:line="268" w:lineRule="auto"/>
        <w:tabs>
          <w:tab w:leader="none" w:pos="6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Bye-Laws of Credicorp Ltd., as amended February 28, 2002, incorporated herein by reference to Exhibit 1.1 to Credicorp’s Annual Report on Form 20-F dated June 27, 2003</w:t>
      </w:r>
    </w:p>
    <w:p>
      <w:pPr>
        <w:spacing w:after="0" w:line="21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Memorandum of Association of Credicorp Ltd., incorporated herein by reference to Exhibit 1.2 to Credicorp’s Annual Report on Form 20-F dated June</w:t>
      </w:r>
    </w:p>
    <w:p>
      <w:pPr>
        <w:spacing w:after="0" w:line="1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27, 2003</w:t>
      </w:r>
    </w:p>
    <w:p>
      <w:pPr>
        <w:spacing w:after="0" w:line="246" w:lineRule="exact"/>
        <w:rPr>
          <w:sz w:val="20"/>
          <w:szCs w:val="20"/>
          <w:color w:val="auto"/>
        </w:rPr>
      </w:pPr>
    </w:p>
    <w:p>
      <w:pPr>
        <w:ind w:right="1600" w:firstLine="8"/>
        <w:spacing w:after="0" w:line="532" w:lineRule="auto"/>
        <w:tabs>
          <w:tab w:leader="none" w:pos="608"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List of Subsidiaries, incorporated herein by reference to Exhibit 8 to Credicorp’s Annual Report on Form 20-F dated June 27, 2003 99.1 Certifications Pursuant to Section 302 of the U.S. Sarbanes-Oxley Act of 2002</w:t>
      </w:r>
    </w:p>
    <w:p>
      <w:pPr>
        <w:spacing w:after="0"/>
        <w:rPr>
          <w:rFonts w:ascii="Arial" w:cs="Arial" w:eastAsia="Arial" w:hAnsi="Arial"/>
          <w:sz w:val="18"/>
          <w:szCs w:val="18"/>
          <w:color w:val="auto"/>
        </w:rPr>
      </w:pPr>
      <w:r>
        <w:rPr>
          <w:rFonts w:ascii="Arial" w:cs="Arial" w:eastAsia="Arial" w:hAnsi="Arial"/>
          <w:sz w:val="18"/>
          <w:szCs w:val="18"/>
          <w:color w:val="auto"/>
        </w:rPr>
        <w:t>99.2    Certifications Pursuant to Section 906 of the U.S. Sarbanes -Oxley Act of 2002</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108" w:right="239" w:bottom="1440" w:gutter="0" w:footer="0" w:header="0"/>
        </w:sectPr>
      </w:pPr>
    </w:p>
    <w:bookmarkStart w:id="126" w:name="page127"/>
    <w:bookmarkEnd w:id="126"/>
    <w:p>
      <w:pPr>
        <w:jc w:val="right"/>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CREDICORP LTD.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17"/>
                <w:szCs w:val="17"/>
                <w:color w:val="auto"/>
              </w:rPr>
            </w:pPr>
          </w:p>
        </w:tc>
        <w:tc>
          <w:tcPr>
            <w:tcW w:w="1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 WALTER BAYLY</w:t>
            </w:r>
          </w:p>
        </w:tc>
        <w:tc>
          <w:tcPr>
            <w:tcW w:w="1260" w:type="dxa"/>
            <w:vAlign w:val="bottom"/>
          </w:tcPr>
          <w:p>
            <w:pPr>
              <w:spacing w:after="0"/>
              <w:rPr>
                <w:sz w:val="17"/>
                <w:szCs w:val="17"/>
                <w:color w:val="auto"/>
              </w:rPr>
            </w:pPr>
          </w:p>
        </w:tc>
      </w:tr>
      <w:tr>
        <w:trPr>
          <w:trHeight w:val="228"/>
        </w:trPr>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2860" w:type="dxa"/>
            <w:vAlign w:val="bottom"/>
            <w:gridSpan w:val="3"/>
          </w:tcPr>
          <w:p>
            <w:pPr>
              <w:ind w:left="60"/>
              <w:spacing w:after="0"/>
              <w:rPr>
                <w:sz w:val="20"/>
                <w:szCs w:val="20"/>
                <w:color w:val="auto"/>
              </w:rPr>
            </w:pPr>
            <w:r>
              <w:rPr>
                <w:rFonts w:ascii="Arial" w:cs="Arial" w:eastAsia="Arial" w:hAnsi="Arial"/>
                <w:sz w:val="18"/>
                <w:szCs w:val="18"/>
                <w:color w:val="auto"/>
              </w:rPr>
              <w:t>Walter Bayly</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2860" w:type="dxa"/>
            <w:vAlign w:val="bottom"/>
            <w:gridSpan w:val="3"/>
          </w:tcPr>
          <w:p>
            <w:pPr>
              <w:ind w:left="60"/>
              <w:spacing w:after="0"/>
              <w:rPr>
                <w:sz w:val="20"/>
                <w:szCs w:val="20"/>
                <w:color w:val="auto"/>
              </w:rPr>
            </w:pPr>
            <w:r>
              <w:rPr>
                <w:rFonts w:ascii="Arial" w:cs="Arial" w:eastAsia="Arial" w:hAnsi="Arial"/>
                <w:sz w:val="18"/>
                <w:szCs w:val="18"/>
                <w:color w:val="auto"/>
                <w:w w:val="90"/>
              </w:rPr>
              <w:t>Chief Financial and Accounting Officer</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Dated: June 28, 2004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131" w:right="239" w:bottom="1440" w:gutter="0" w:footer="0" w:header="0"/>
        </w:sectPr>
      </w:pPr>
    </w:p>
    <w:bookmarkStart w:id="127" w:name="page128"/>
    <w:bookmarkEnd w:id="127"/>
    <w:p>
      <w:pPr>
        <w:jc w:val="right"/>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CREDICORP CONSOLIDATED FINANCIAL STATEMENTS</w:t>
      </w:r>
    </w:p>
    <w:p>
      <w:pPr>
        <w:spacing w:after="0" w:line="25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0220"/>
          </w:cols>
          <w:pgMar w:left="1440" w:top="131" w:right="2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auto"/>
        </w:rPr>
        <w:t>Consolidated financial statements as of December 31, 2003, 2002 and 2001 together with the Report of Independent Auditors</w:t>
      </w:r>
    </w:p>
    <w:p>
      <w:pPr>
        <w:spacing w:after="0" w:line="200" w:lineRule="exact"/>
        <w:rPr>
          <w:sz w:val="20"/>
          <w:szCs w:val="20"/>
          <w:color w:val="auto"/>
        </w:rPr>
      </w:pPr>
    </w:p>
    <w:p>
      <w:pPr>
        <w:spacing w:after="0" w:line="30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59320" cy="342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auto"/>
        </w:rPr>
        <w:t>Consolidated financial statements as of December 31, 2003, 2002 and 2001 together with the Report of Independent Auditors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Auditors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changes in shareholders’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Notes to the consolidated financial statements</w:t>
      </w:r>
    </w:p>
    <w:p>
      <w:pPr>
        <w:spacing w:after="0" w:line="200" w:lineRule="exact"/>
        <w:rPr>
          <w:sz w:val="20"/>
          <w:szCs w:val="20"/>
          <w:color w:val="auto"/>
        </w:rPr>
      </w:pPr>
    </w:p>
    <w:p>
      <w:pPr>
        <w:spacing w:after="0" w:line="26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59320" cy="342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130" w:name="page131"/>
    <w:bookmarkEnd w:id="130"/>
    <w:p>
      <w:pPr>
        <w:spacing w:after="0" w:line="1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174625</wp:posOffset>
            </wp:positionH>
            <wp:positionV relativeFrom="page">
              <wp:posOffset>243205</wp:posOffset>
            </wp:positionV>
            <wp:extent cx="1981200" cy="3257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clrChange>
                        <a:clrFrom>
                          <a:srgbClr val="FFFFFF"/>
                        </a:clrFrom>
                        <a:clrTo>
                          <a:srgbClr val="FFFFFF">
                            <a:alpha val="0"/>
                          </a:srgbClr>
                        </a:clrTo>
                      </a:clrChange>
                      <a:extLst>
                        <a:ext uri="{28A0092B-C50C-407E-A947-70E740481C1C}"/>
                      </a:extLst>
                    </a:blip>
                    <a:srcRect/>
                    <a:stretch>
                      <a:fillRect/>
                    </a:stretch>
                  </pic:blipFill>
                  <pic:spPr bwMode="auto">
                    <a:xfrm>
                      <a:off x="0" y="0"/>
                      <a:ext cx="1981200" cy="325755"/>
                    </a:xfrm>
                    <a:prstGeom prst="rect">
                      <a:avLst/>
                    </a:prstGeom>
                    <a:noFill/>
                  </pic:spPr>
                </pic:pic>
              </a:graphicData>
            </a:graphic>
          </wp:anchor>
        </w:drawing>
        <w:drawing>
          <wp:anchor simplePos="0" relativeHeight="251657728" behindDoc="1" locked="0" layoutInCell="0" allowOverlap="1">
            <wp:simplePos x="0" y="0"/>
            <wp:positionH relativeFrom="page">
              <wp:posOffset>4788535</wp:posOffset>
            </wp:positionH>
            <wp:positionV relativeFrom="page">
              <wp:posOffset>251460</wp:posOffset>
            </wp:positionV>
            <wp:extent cx="2598420" cy="31750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clrChange>
                        <a:clrFrom>
                          <a:srgbClr val="FFFFFF"/>
                        </a:clrFrom>
                        <a:clrTo>
                          <a:srgbClr val="FFFFFF">
                            <a:alpha val="0"/>
                          </a:srgbClr>
                        </a:clrTo>
                      </a:clrChange>
                      <a:extLst>
                        <a:ext uri="{28A0092B-C50C-407E-A947-70E740481C1C}"/>
                      </a:extLst>
                    </a:blip>
                    <a:srcRect/>
                    <a:stretch>
                      <a:fillRect/>
                    </a:stretch>
                  </pic:blipFill>
                  <pic:spPr bwMode="auto">
                    <a:xfrm>
                      <a:off x="0" y="0"/>
                      <a:ext cx="2598420" cy="3175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Report of Independent Auditors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the Shareholders and Board of Directors of </w:t>
      </w:r>
      <w:r>
        <w:rPr>
          <w:rFonts w:ascii="Arial" w:cs="Arial" w:eastAsia="Arial" w:hAnsi="Arial"/>
          <w:sz w:val="18"/>
          <w:szCs w:val="18"/>
          <w:b w:val="1"/>
          <w:bCs w:val="1"/>
          <w:color w:val="auto"/>
        </w:rPr>
        <w:t>Credicorp Ltd.</w:t>
      </w:r>
    </w:p>
    <w:p>
      <w:pPr>
        <w:spacing w:after="0" w:line="225"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 xml:space="preserve">We have audited the accompanying consolidated balance sheet of </w:t>
      </w:r>
      <w:r>
        <w:rPr>
          <w:rFonts w:ascii="Arial" w:cs="Arial" w:eastAsia="Arial" w:hAnsi="Arial"/>
          <w:sz w:val="16"/>
          <w:szCs w:val="16"/>
          <w:b w:val="1"/>
          <w:bCs w:val="1"/>
          <w:color w:val="auto"/>
        </w:rPr>
        <w:t>Credicorp Ltd. and Subsidiaries</w:t>
      </w:r>
      <w:r>
        <w:rPr>
          <w:rFonts w:ascii="Arial" w:cs="Arial" w:eastAsia="Arial" w:hAnsi="Arial"/>
          <w:sz w:val="16"/>
          <w:szCs w:val="16"/>
          <w:color w:val="auto"/>
        </w:rPr>
        <w:t xml:space="preserve"> as of December 31, 2003, and the related consolidated statements of income, changes in shareholders’ equity and cash flow for the year then ended. These consolidated financial statements are the responsibility of the Company’s management. Our responsibility is to express an opinion on these financial statements based on our audit. The consolidated financial statements of </w:t>
      </w:r>
      <w:r>
        <w:rPr>
          <w:rFonts w:ascii="Arial" w:cs="Arial" w:eastAsia="Arial" w:hAnsi="Arial"/>
          <w:sz w:val="16"/>
          <w:szCs w:val="16"/>
          <w:b w:val="1"/>
          <w:bCs w:val="1"/>
          <w:color w:val="auto"/>
        </w:rPr>
        <w:t xml:space="preserve">Credicorp Ltd. and Subsidiaries </w:t>
      </w:r>
      <w:r>
        <w:rPr>
          <w:rFonts w:ascii="Arial" w:cs="Arial" w:eastAsia="Arial" w:hAnsi="Arial"/>
          <w:sz w:val="16"/>
          <w:szCs w:val="16"/>
          <w:color w:val="auto"/>
        </w:rPr>
        <w:t>as of December 31, 2002, and for the two years period then ended were audited by other auditors whose report, dated February</w:t>
      </w:r>
      <w:r>
        <w:rPr>
          <w:rFonts w:ascii="Arial" w:cs="Arial" w:eastAsia="Arial" w:hAnsi="Arial"/>
          <w:sz w:val="16"/>
          <w:szCs w:val="16"/>
          <w:b w:val="1"/>
          <w:bCs w:val="1"/>
          <w:color w:val="auto"/>
        </w:rPr>
        <w:t xml:space="preserve"> </w:t>
      </w:r>
      <w:r>
        <w:rPr>
          <w:rFonts w:ascii="Arial" w:cs="Arial" w:eastAsia="Arial" w:hAnsi="Arial"/>
          <w:sz w:val="16"/>
          <w:szCs w:val="16"/>
          <w:color w:val="auto"/>
        </w:rPr>
        <w:t>12, 2003, expressed an unqualified opinion on those financial statements.</w:t>
      </w:r>
    </w:p>
    <w:p>
      <w:pPr>
        <w:spacing w:after="0" w:line="16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consolidated financial statements are free of material misstatement. An audit includes examining, on a test basis, evidence supporting the amounts and disclosures in the consolidated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70"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2003 consolidated financial position of </w:t>
      </w:r>
      <w:r>
        <w:rPr>
          <w:rFonts w:ascii="Arial" w:cs="Arial" w:eastAsia="Arial" w:hAnsi="Arial"/>
          <w:sz w:val="18"/>
          <w:szCs w:val="18"/>
          <w:b w:val="1"/>
          <w:bCs w:val="1"/>
          <w:color w:val="auto"/>
        </w:rPr>
        <w:t xml:space="preserve">Credicorp Ltd. and Subsidiaries </w:t>
      </w:r>
      <w:r>
        <w:rPr>
          <w:rFonts w:ascii="Arial" w:cs="Arial" w:eastAsia="Arial" w:hAnsi="Arial"/>
          <w:sz w:val="18"/>
          <w:szCs w:val="18"/>
          <w:color w:val="auto"/>
        </w:rPr>
        <w:t>as of December 31, 2003, and the consolidated results of their operations and their cash flows for the year then ended, in</w:t>
      </w:r>
      <w:r>
        <w:rPr>
          <w:rFonts w:ascii="Arial" w:cs="Arial" w:eastAsia="Arial" w:hAnsi="Arial"/>
          <w:sz w:val="18"/>
          <w:szCs w:val="18"/>
          <w:b w:val="1"/>
          <w:bCs w:val="1"/>
          <w:color w:val="auto"/>
        </w:rPr>
        <w:t xml:space="preserve"> </w:t>
      </w:r>
      <w:r>
        <w:rPr>
          <w:rFonts w:ascii="Arial" w:cs="Arial" w:eastAsia="Arial" w:hAnsi="Arial"/>
          <w:sz w:val="18"/>
          <w:szCs w:val="18"/>
          <w:color w:val="auto"/>
        </w:rPr>
        <w:t>conformity with International Financial Reporting Standards (IFRS).</w:t>
      </w:r>
    </w:p>
    <w:p>
      <w:pPr>
        <w:spacing w:after="0" w:line="19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International Financial Reporting Standards vary in certain respects from U.S. generally accepted accounting principles. Application of U.S. generally accepted accounting principles would have affected the consolidated shareholders’ equity as of December 31, 2003, and the consolidated net income for the year then ended to the extent summarized in note 24 to the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Countersigned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165735</wp:posOffset>
            </wp:positionV>
            <wp:extent cx="7212330" cy="113220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212330" cy="1132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Juan Paredes</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C.P.C Register Nº22220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Lima, Peru,</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19, 2004</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59320" cy="342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28"/>
        </w:trPr>
        <w:tc>
          <w:tcPr>
            <w:tcW w:w="6380" w:type="dxa"/>
            <w:vAlign w:val="bottom"/>
          </w:tcPr>
          <w:p>
            <w:pPr>
              <w:spacing w:after="0"/>
              <w:rPr>
                <w:sz w:val="20"/>
                <w:szCs w:val="20"/>
                <w:color w:val="auto"/>
              </w:rPr>
            </w:pPr>
            <w:r>
              <w:rPr>
                <w:rFonts w:ascii="Arial" w:cs="Arial" w:eastAsia="Arial" w:hAnsi="Arial"/>
                <w:sz w:val="18"/>
                <w:szCs w:val="18"/>
                <w:b w:val="1"/>
                <w:bCs w:val="1"/>
                <w:color w:val="auto"/>
              </w:rPr>
              <w:t>Credicorp Ltd. and Subsidiaries</w:t>
            </w:r>
          </w:p>
        </w:tc>
        <w:tc>
          <w:tcPr>
            <w:tcW w:w="16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6380" w:type="dxa"/>
            <w:vAlign w:val="bottom"/>
          </w:tcPr>
          <w:p>
            <w:pPr>
              <w:spacing w:after="0"/>
              <w:rPr>
                <w:sz w:val="20"/>
                <w:szCs w:val="20"/>
                <w:color w:val="auto"/>
              </w:rPr>
            </w:pPr>
            <w:r>
              <w:rPr>
                <w:rFonts w:ascii="Arial" w:cs="Arial" w:eastAsia="Arial" w:hAnsi="Arial"/>
                <w:sz w:val="18"/>
                <w:szCs w:val="18"/>
                <w:color w:val="auto"/>
              </w:rPr>
              <w:t>Consolidated balance sheets</w:t>
            </w:r>
          </w:p>
        </w:tc>
        <w:tc>
          <w:tcPr>
            <w:tcW w:w="16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380" w:type="dxa"/>
            <w:vAlign w:val="bottom"/>
          </w:tcPr>
          <w:p>
            <w:pPr>
              <w:spacing w:after="0"/>
              <w:rPr>
                <w:sz w:val="20"/>
                <w:szCs w:val="20"/>
                <w:color w:val="auto"/>
              </w:rPr>
            </w:pPr>
            <w:r>
              <w:rPr>
                <w:rFonts w:ascii="Arial" w:cs="Arial" w:eastAsia="Arial" w:hAnsi="Arial"/>
                <w:sz w:val="18"/>
                <w:szCs w:val="18"/>
                <w:color w:val="auto"/>
              </w:rPr>
              <w:t>As of December 31, 2003 and 2002</w:t>
            </w:r>
          </w:p>
        </w:tc>
        <w:tc>
          <w:tcPr>
            <w:tcW w:w="16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6380" w:type="dxa"/>
            <w:vAlign w:val="bottom"/>
          </w:tcPr>
          <w:p>
            <w:pPr>
              <w:spacing w:after="0"/>
              <w:rPr>
                <w:sz w:val="24"/>
                <w:szCs w:val="24"/>
                <w:color w:val="auto"/>
              </w:rPr>
            </w:pPr>
          </w:p>
        </w:tc>
        <w:tc>
          <w:tcPr>
            <w:tcW w:w="1600" w:type="dxa"/>
            <w:vAlign w:val="bottom"/>
          </w:tcPr>
          <w:p>
            <w:pPr>
              <w:jc w:val="center"/>
              <w:ind w:right="32"/>
              <w:spacing w:after="0"/>
              <w:rPr>
                <w:sz w:val="20"/>
                <w:szCs w:val="20"/>
                <w:color w:val="auto"/>
              </w:rPr>
            </w:pPr>
            <w:r>
              <w:rPr>
                <w:rFonts w:ascii="Arial" w:cs="Arial" w:eastAsia="Arial" w:hAnsi="Arial"/>
                <w:sz w:val="18"/>
                <w:szCs w:val="18"/>
                <w:b w:val="1"/>
                <w:bCs w:val="1"/>
                <w:color w:val="auto"/>
                <w:w w:val="89"/>
              </w:rPr>
              <w:t>Note</w:t>
            </w:r>
          </w:p>
        </w:tc>
        <w:tc>
          <w:tcPr>
            <w:tcW w:w="1700" w:type="dxa"/>
            <w:vAlign w:val="bottom"/>
          </w:tcPr>
          <w:p>
            <w:pPr>
              <w:jc w:val="right"/>
              <w:ind w:right="612"/>
              <w:spacing w:after="0"/>
              <w:rPr>
                <w:sz w:val="20"/>
                <w:szCs w:val="20"/>
                <w:color w:val="auto"/>
              </w:rPr>
            </w:pPr>
            <w:r>
              <w:rPr>
                <w:rFonts w:ascii="Arial" w:cs="Arial" w:eastAsia="Arial" w:hAnsi="Arial"/>
                <w:sz w:val="18"/>
                <w:szCs w:val="18"/>
                <w:b w:val="1"/>
                <w:bCs w:val="1"/>
                <w:color w:val="auto"/>
              </w:rPr>
              <w:t>2003</w:t>
            </w:r>
          </w:p>
        </w:tc>
        <w:tc>
          <w:tcPr>
            <w:tcW w:w="20" w:type="dxa"/>
            <w:vAlign w:val="bottom"/>
          </w:tcPr>
          <w:p>
            <w:pPr>
              <w:spacing w:after="0"/>
              <w:rPr>
                <w:sz w:val="24"/>
                <w:szCs w:val="24"/>
                <w:color w:val="auto"/>
              </w:rPr>
            </w:pPr>
          </w:p>
        </w:tc>
        <w:tc>
          <w:tcPr>
            <w:tcW w:w="1700" w:type="dxa"/>
            <w:vAlign w:val="bottom"/>
          </w:tcPr>
          <w:p>
            <w:pPr>
              <w:jc w:val="right"/>
              <w:ind w:right="612"/>
              <w:spacing w:after="0"/>
              <w:rPr>
                <w:sz w:val="20"/>
                <w:szCs w:val="20"/>
                <w:color w:val="auto"/>
              </w:rPr>
            </w:pPr>
            <w:r>
              <w:rPr>
                <w:rFonts w:ascii="Arial" w:cs="Arial" w:eastAsia="Arial" w:hAnsi="Arial"/>
                <w:sz w:val="18"/>
                <w:szCs w:val="18"/>
                <w:b w:val="1"/>
                <w:bCs w:val="1"/>
                <w:color w:val="auto"/>
              </w:rPr>
              <w:t>2002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3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720" w:type="dxa"/>
            <w:vAlign w:val="bottom"/>
            <w:gridSpan w:val="2"/>
          </w:tcPr>
          <w:p>
            <w:pPr>
              <w:ind w:left="500"/>
              <w:spacing w:after="0"/>
              <w:rPr>
                <w:sz w:val="20"/>
                <w:szCs w:val="20"/>
                <w:color w:val="auto"/>
              </w:rPr>
            </w:pPr>
            <w:r>
              <w:rPr>
                <w:rFonts w:ascii="Arial" w:cs="Arial" w:eastAsia="Arial" w:hAnsi="Arial"/>
                <w:sz w:val="18"/>
                <w:szCs w:val="18"/>
                <w:color w:val="auto"/>
              </w:rPr>
              <w:t>US$(000)</w:t>
            </w:r>
          </w:p>
        </w:tc>
        <w:tc>
          <w:tcPr>
            <w:tcW w:w="1720" w:type="dxa"/>
            <w:vAlign w:val="bottom"/>
            <w:gridSpan w:val="2"/>
          </w:tcPr>
          <w:p>
            <w:pPr>
              <w:ind w:left="50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486"/>
        </w:trPr>
        <w:tc>
          <w:tcPr>
            <w:tcW w:w="638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6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380" w:type="dxa"/>
            <w:vAlign w:val="bottom"/>
          </w:tcPr>
          <w:p>
            <w:pPr>
              <w:ind w:left="40"/>
              <w:spacing w:after="0"/>
              <w:rPr>
                <w:sz w:val="20"/>
                <w:szCs w:val="20"/>
                <w:color w:val="auto"/>
              </w:rPr>
            </w:pPr>
            <w:r>
              <w:rPr>
                <w:rFonts w:ascii="Arial" w:cs="Arial" w:eastAsia="Arial" w:hAnsi="Arial"/>
                <w:sz w:val="18"/>
                <w:szCs w:val="18"/>
                <w:color w:val="auto"/>
              </w:rPr>
              <w:t>Cash and due from banks:</w:t>
            </w:r>
          </w:p>
        </w:tc>
        <w:tc>
          <w:tcPr>
            <w:tcW w:w="1600" w:type="dxa"/>
            <w:vAlign w:val="bottom"/>
          </w:tcPr>
          <w:p>
            <w:pPr>
              <w:jc w:val="center"/>
              <w:ind w:right="32"/>
              <w:spacing w:after="0"/>
              <w:rPr>
                <w:sz w:val="20"/>
                <w:szCs w:val="20"/>
                <w:color w:val="auto"/>
              </w:rPr>
            </w:pPr>
            <w:r>
              <w:rPr>
                <w:rFonts w:ascii="Arial" w:cs="Arial" w:eastAsia="Arial" w:hAnsi="Arial"/>
                <w:sz w:val="18"/>
                <w:szCs w:val="18"/>
                <w:color w:val="auto"/>
                <w:w w:val="79"/>
              </w:rPr>
              <w:t>4</w:t>
            </w: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380" w:type="dxa"/>
            <w:vAlign w:val="bottom"/>
          </w:tcPr>
          <w:p>
            <w:pPr>
              <w:ind w:left="220"/>
              <w:spacing w:after="0"/>
              <w:rPr>
                <w:sz w:val="20"/>
                <w:szCs w:val="20"/>
                <w:color w:val="auto"/>
              </w:rPr>
            </w:pPr>
            <w:r>
              <w:rPr>
                <w:rFonts w:ascii="Arial" w:cs="Arial" w:eastAsia="Arial" w:hAnsi="Arial"/>
                <w:sz w:val="18"/>
                <w:szCs w:val="18"/>
                <w:color w:val="auto"/>
              </w:rPr>
              <w:t>Non-interest bearing</w:t>
            </w:r>
          </w:p>
        </w:tc>
        <w:tc>
          <w:tcPr>
            <w:tcW w:w="16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240,294</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314,404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80" w:type="dxa"/>
            <w:vAlign w:val="bottom"/>
          </w:tcPr>
          <w:p>
            <w:pPr>
              <w:ind w:left="220"/>
              <w:spacing w:after="0"/>
              <w:rPr>
                <w:sz w:val="20"/>
                <w:szCs w:val="20"/>
                <w:color w:val="auto"/>
              </w:rPr>
            </w:pPr>
            <w:r>
              <w:rPr>
                <w:rFonts w:ascii="Arial" w:cs="Arial" w:eastAsia="Arial" w:hAnsi="Arial"/>
                <w:sz w:val="18"/>
                <w:szCs w:val="18"/>
                <w:color w:val="auto"/>
              </w:rPr>
              <w:t>Interest bearing</w:t>
            </w:r>
          </w:p>
        </w:tc>
        <w:tc>
          <w:tcPr>
            <w:tcW w:w="16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1,372,436</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1,867,986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7"/>
        </w:trPr>
        <w:tc>
          <w:tcPr>
            <w:tcW w:w="63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6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1,612,730</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2,182,390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16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80" w:type="dxa"/>
            <w:vAlign w:val="bottom"/>
          </w:tcPr>
          <w:p>
            <w:pPr>
              <w:ind w:left="200"/>
              <w:spacing w:after="0"/>
              <w:rPr>
                <w:sz w:val="20"/>
                <w:szCs w:val="20"/>
                <w:color w:val="auto"/>
              </w:rPr>
            </w:pPr>
            <w:r>
              <w:rPr>
                <w:rFonts w:ascii="Arial" w:cs="Arial" w:eastAsia="Arial" w:hAnsi="Arial"/>
                <w:sz w:val="18"/>
                <w:szCs w:val="18"/>
                <w:color w:val="auto"/>
              </w:rPr>
              <w:t>Trading securities</w:t>
            </w:r>
          </w:p>
        </w:tc>
        <w:tc>
          <w:tcPr>
            <w:tcW w:w="1600" w:type="dxa"/>
            <w:vAlign w:val="bottom"/>
          </w:tcPr>
          <w:p>
            <w:pPr>
              <w:jc w:val="center"/>
              <w:ind w:right="32"/>
              <w:spacing w:after="0"/>
              <w:rPr>
                <w:sz w:val="20"/>
                <w:szCs w:val="20"/>
                <w:color w:val="auto"/>
              </w:rPr>
            </w:pPr>
            <w:r>
              <w:rPr>
                <w:rFonts w:ascii="Arial" w:cs="Arial" w:eastAsia="Arial" w:hAnsi="Arial"/>
                <w:sz w:val="18"/>
                <w:szCs w:val="18"/>
                <w:color w:val="auto"/>
                <w:w w:val="79"/>
              </w:rPr>
              <w:t>5</w:t>
            </w:r>
          </w:p>
        </w:tc>
        <w:tc>
          <w:tcPr>
            <w:tcW w:w="1700" w:type="dxa"/>
            <w:vAlign w:val="bottom"/>
          </w:tcPr>
          <w:p>
            <w:pPr>
              <w:jc w:val="right"/>
              <w:spacing w:after="0"/>
              <w:rPr>
                <w:sz w:val="20"/>
                <w:szCs w:val="20"/>
                <w:color w:val="auto"/>
              </w:rPr>
            </w:pPr>
            <w:r>
              <w:rPr>
                <w:rFonts w:ascii="Arial" w:cs="Arial" w:eastAsia="Arial" w:hAnsi="Arial"/>
                <w:sz w:val="18"/>
                <w:szCs w:val="18"/>
                <w:color w:val="auto"/>
              </w:rPr>
              <w:t>98,150</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605,104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80" w:type="dxa"/>
            <w:vAlign w:val="bottom"/>
          </w:tcPr>
          <w:p>
            <w:pPr>
              <w:ind w:left="220"/>
              <w:spacing w:after="0"/>
              <w:rPr>
                <w:sz w:val="20"/>
                <w:szCs w:val="20"/>
                <w:color w:val="auto"/>
              </w:rPr>
            </w:pPr>
            <w:r>
              <w:rPr>
                <w:rFonts w:ascii="Arial" w:cs="Arial" w:eastAsia="Arial" w:hAnsi="Arial"/>
                <w:sz w:val="18"/>
                <w:szCs w:val="18"/>
                <w:color w:val="auto"/>
              </w:rPr>
              <w:t>Investments in securities available-for-sale</w:t>
            </w:r>
          </w:p>
        </w:tc>
        <w:tc>
          <w:tcPr>
            <w:tcW w:w="1600" w:type="dxa"/>
            <w:vAlign w:val="bottom"/>
          </w:tcPr>
          <w:p>
            <w:pPr>
              <w:jc w:val="center"/>
              <w:ind w:right="32"/>
              <w:spacing w:after="0"/>
              <w:rPr>
                <w:sz w:val="20"/>
                <w:szCs w:val="20"/>
                <w:color w:val="auto"/>
              </w:rPr>
            </w:pPr>
            <w:r>
              <w:rPr>
                <w:rFonts w:ascii="Arial" w:cs="Arial" w:eastAsia="Arial" w:hAnsi="Arial"/>
                <w:sz w:val="18"/>
                <w:szCs w:val="18"/>
                <w:color w:val="auto"/>
                <w:w w:val="79"/>
              </w:rPr>
              <w:t>6</w:t>
            </w:r>
          </w:p>
        </w:tc>
        <w:tc>
          <w:tcPr>
            <w:tcW w:w="1700" w:type="dxa"/>
            <w:vAlign w:val="bottom"/>
          </w:tcPr>
          <w:p>
            <w:pPr>
              <w:jc w:val="right"/>
              <w:spacing w:after="0"/>
              <w:rPr>
                <w:sz w:val="20"/>
                <w:szCs w:val="20"/>
                <w:color w:val="auto"/>
              </w:rPr>
            </w:pPr>
            <w:r>
              <w:rPr>
                <w:rFonts w:ascii="Arial" w:cs="Arial" w:eastAsia="Arial" w:hAnsi="Arial"/>
                <w:sz w:val="18"/>
                <w:szCs w:val="18"/>
                <w:color w:val="auto"/>
              </w:rPr>
              <w:t>1,642,102</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635,284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7"/>
        </w:trPr>
        <w:tc>
          <w:tcPr>
            <w:tcW w:w="63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6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1,740,252</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1,240,388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Loans, net:</w:t>
            </w:r>
          </w:p>
        </w:tc>
        <w:tc>
          <w:tcPr>
            <w:tcW w:w="1600" w:type="dxa"/>
            <w:vAlign w:val="bottom"/>
          </w:tcPr>
          <w:p>
            <w:pPr>
              <w:jc w:val="center"/>
              <w:ind w:right="32"/>
              <w:spacing w:after="0"/>
              <w:rPr>
                <w:sz w:val="20"/>
                <w:szCs w:val="20"/>
                <w:color w:val="auto"/>
              </w:rPr>
            </w:pPr>
            <w:r>
              <w:rPr>
                <w:rFonts w:ascii="Arial" w:cs="Arial" w:eastAsia="Arial" w:hAnsi="Arial"/>
                <w:sz w:val="18"/>
                <w:szCs w:val="18"/>
                <w:color w:val="auto"/>
                <w:w w:val="79"/>
              </w:rPr>
              <w:t>7</w:t>
            </w: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80" w:type="dxa"/>
            <w:vAlign w:val="bottom"/>
          </w:tcPr>
          <w:p>
            <w:pPr>
              <w:ind w:left="220"/>
              <w:spacing w:after="0"/>
              <w:rPr>
                <w:sz w:val="20"/>
                <w:szCs w:val="20"/>
                <w:color w:val="auto"/>
              </w:rPr>
            </w:pPr>
            <w:r>
              <w:rPr>
                <w:rFonts w:ascii="Arial" w:cs="Arial" w:eastAsia="Arial" w:hAnsi="Arial"/>
                <w:sz w:val="18"/>
                <w:szCs w:val="18"/>
                <w:color w:val="auto"/>
              </w:rPr>
              <w:t>Loans, net of unearned income</w:t>
            </w:r>
          </w:p>
        </w:tc>
        <w:tc>
          <w:tcPr>
            <w:tcW w:w="16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4,481,496</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4,817,663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80" w:type="dxa"/>
            <w:vAlign w:val="bottom"/>
          </w:tcPr>
          <w:p>
            <w:pPr>
              <w:ind w:left="200"/>
              <w:spacing w:after="0"/>
              <w:rPr>
                <w:sz w:val="20"/>
                <w:szCs w:val="20"/>
                <w:color w:val="auto"/>
              </w:rPr>
            </w:pPr>
            <w:r>
              <w:rPr>
                <w:rFonts w:ascii="Arial" w:cs="Arial" w:eastAsia="Arial" w:hAnsi="Arial"/>
                <w:sz w:val="18"/>
                <w:szCs w:val="18"/>
                <w:color w:val="auto"/>
              </w:rPr>
              <w:t>Allowance for credit losses</w:t>
            </w:r>
          </w:p>
        </w:tc>
        <w:tc>
          <w:tcPr>
            <w:tcW w:w="1600" w:type="dxa"/>
            <w:vAlign w:val="bottom"/>
          </w:tcPr>
          <w:p>
            <w:pPr>
              <w:spacing w:after="0"/>
              <w:rPr>
                <w:sz w:val="21"/>
                <w:szCs w:val="21"/>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(326,677)</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(424,031)</w:t>
            </w:r>
          </w:p>
        </w:tc>
        <w:tc>
          <w:tcPr>
            <w:tcW w:w="0" w:type="dxa"/>
            <w:vAlign w:val="bottom"/>
          </w:tcPr>
          <w:p>
            <w:pPr>
              <w:spacing w:after="0"/>
              <w:rPr>
                <w:sz w:val="1"/>
                <w:szCs w:val="1"/>
                <w:color w:val="auto"/>
              </w:rPr>
            </w:pPr>
          </w:p>
        </w:tc>
      </w:tr>
      <w:tr>
        <w:trPr>
          <w:trHeight w:val="137"/>
        </w:trPr>
        <w:tc>
          <w:tcPr>
            <w:tcW w:w="63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6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4,154,819</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4,393,632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Premiums and other policies receivable</w:t>
            </w:r>
          </w:p>
        </w:tc>
        <w:tc>
          <w:tcPr>
            <w:tcW w:w="16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60,057</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61,856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Reinsurance receivable</w:t>
            </w:r>
          </w:p>
        </w:tc>
        <w:tc>
          <w:tcPr>
            <w:tcW w:w="16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45,904</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29,677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Property, furniture and equipment, net</w:t>
            </w:r>
          </w:p>
        </w:tc>
        <w:tc>
          <w:tcPr>
            <w:tcW w:w="1600" w:type="dxa"/>
            <w:vAlign w:val="bottom"/>
          </w:tcPr>
          <w:p>
            <w:pPr>
              <w:jc w:val="center"/>
              <w:ind w:right="32"/>
              <w:spacing w:after="0"/>
              <w:rPr>
                <w:sz w:val="20"/>
                <w:szCs w:val="20"/>
                <w:color w:val="auto"/>
              </w:rPr>
            </w:pPr>
            <w:r>
              <w:rPr>
                <w:rFonts w:ascii="Arial" w:cs="Arial" w:eastAsia="Arial" w:hAnsi="Arial"/>
                <w:sz w:val="18"/>
                <w:szCs w:val="18"/>
                <w:color w:val="auto"/>
                <w:w w:val="79"/>
              </w:rPr>
              <w:t>8</w:t>
            </w:r>
          </w:p>
        </w:tc>
        <w:tc>
          <w:tcPr>
            <w:tcW w:w="1700" w:type="dxa"/>
            <w:vAlign w:val="bottom"/>
          </w:tcPr>
          <w:p>
            <w:pPr>
              <w:jc w:val="right"/>
              <w:spacing w:after="0"/>
              <w:rPr>
                <w:sz w:val="20"/>
                <w:szCs w:val="20"/>
                <w:color w:val="auto"/>
              </w:rPr>
            </w:pPr>
            <w:r>
              <w:rPr>
                <w:rFonts w:ascii="Arial" w:cs="Arial" w:eastAsia="Arial" w:hAnsi="Arial"/>
                <w:sz w:val="18"/>
                <w:szCs w:val="18"/>
                <w:color w:val="auto"/>
              </w:rPr>
              <w:t>264,533</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290,185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Due from customers on acceptances</w:t>
            </w:r>
          </w:p>
        </w:tc>
        <w:tc>
          <w:tcPr>
            <w:tcW w:w="16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50,284</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36,068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Assets seized, net</w:t>
            </w:r>
          </w:p>
        </w:tc>
        <w:tc>
          <w:tcPr>
            <w:tcW w:w="1600" w:type="dxa"/>
            <w:vAlign w:val="bottom"/>
          </w:tcPr>
          <w:p>
            <w:pPr>
              <w:jc w:val="right"/>
              <w:ind w:right="752"/>
              <w:spacing w:after="0"/>
              <w:rPr>
                <w:sz w:val="20"/>
                <w:szCs w:val="20"/>
                <w:color w:val="auto"/>
              </w:rPr>
            </w:pPr>
            <w:r>
              <w:rPr>
                <w:rFonts w:ascii="Arial" w:cs="Arial" w:eastAsia="Arial" w:hAnsi="Arial"/>
                <w:sz w:val="18"/>
                <w:szCs w:val="18"/>
                <w:color w:val="auto"/>
              </w:rPr>
              <w:t>9</w:t>
            </w:r>
          </w:p>
        </w:tc>
        <w:tc>
          <w:tcPr>
            <w:tcW w:w="1700" w:type="dxa"/>
            <w:vAlign w:val="bottom"/>
          </w:tcPr>
          <w:p>
            <w:pPr>
              <w:jc w:val="right"/>
              <w:spacing w:after="0"/>
              <w:rPr>
                <w:sz w:val="20"/>
                <w:szCs w:val="20"/>
                <w:color w:val="auto"/>
              </w:rPr>
            </w:pPr>
            <w:r>
              <w:rPr>
                <w:rFonts w:ascii="Arial" w:cs="Arial" w:eastAsia="Arial" w:hAnsi="Arial"/>
                <w:sz w:val="18"/>
                <w:szCs w:val="18"/>
                <w:color w:val="auto"/>
              </w:rPr>
              <w:t>89,030</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108,999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600" w:type="dxa"/>
            <w:vAlign w:val="bottom"/>
          </w:tcPr>
          <w:p>
            <w:pPr>
              <w:jc w:val="right"/>
              <w:ind w:right="712"/>
              <w:spacing w:after="0"/>
              <w:rPr>
                <w:sz w:val="20"/>
                <w:szCs w:val="20"/>
                <w:color w:val="auto"/>
              </w:rPr>
            </w:pPr>
            <w:r>
              <w:rPr>
                <w:rFonts w:ascii="Arial" w:cs="Arial" w:eastAsia="Arial" w:hAnsi="Arial"/>
                <w:sz w:val="18"/>
                <w:szCs w:val="18"/>
                <w:color w:val="auto"/>
              </w:rPr>
              <w:t>10</w:t>
            </w:r>
          </w:p>
        </w:tc>
        <w:tc>
          <w:tcPr>
            <w:tcW w:w="1700" w:type="dxa"/>
            <w:vAlign w:val="bottom"/>
          </w:tcPr>
          <w:p>
            <w:pPr>
              <w:jc w:val="right"/>
              <w:spacing w:after="0"/>
              <w:rPr>
                <w:sz w:val="20"/>
                <w:szCs w:val="20"/>
                <w:color w:val="auto"/>
              </w:rPr>
            </w:pPr>
            <w:r>
              <w:rPr>
                <w:rFonts w:ascii="Arial" w:cs="Arial" w:eastAsia="Arial" w:hAnsi="Arial"/>
                <w:sz w:val="18"/>
                <w:szCs w:val="18"/>
                <w:color w:val="auto"/>
              </w:rPr>
              <w:t>276,785</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286,436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7"/>
        </w:trPr>
        <w:tc>
          <w:tcPr>
            <w:tcW w:w="63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Total assets</w:t>
            </w:r>
          </w:p>
        </w:tc>
        <w:tc>
          <w:tcPr>
            <w:tcW w:w="160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99"/>
        </w:trPr>
        <w:tc>
          <w:tcPr>
            <w:tcW w:w="638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8,294,394</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8,629,631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6380" w:type="dxa"/>
            <w:vAlign w:val="bottom"/>
            <w:vMerge w:val="restart"/>
          </w:tcPr>
          <w:p>
            <w:pPr>
              <w:spacing w:after="0"/>
              <w:rPr>
                <w:sz w:val="20"/>
                <w:szCs w:val="20"/>
                <w:color w:val="auto"/>
              </w:rPr>
            </w:pPr>
            <w:r>
              <w:rPr>
                <w:rFonts w:ascii="Arial" w:cs="Arial" w:eastAsia="Arial" w:hAnsi="Arial"/>
                <w:sz w:val="18"/>
                <w:szCs w:val="18"/>
                <w:color w:val="auto"/>
                <w:w w:val="95"/>
              </w:rPr>
              <w:t>The accompanying notes are an integral part of these consolidated balance sheets.</w:t>
            </w:r>
          </w:p>
        </w:tc>
        <w:tc>
          <w:tcPr>
            <w:tcW w:w="160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62"/>
        </w:trPr>
        <w:tc>
          <w:tcPr>
            <w:tcW w:w="638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6380" w:type="dxa"/>
            <w:vAlign w:val="bottom"/>
          </w:tcPr>
          <w:p>
            <w:pPr>
              <w:ind w:left="5600"/>
              <w:spacing w:after="0"/>
              <w:rPr>
                <w:sz w:val="20"/>
                <w:szCs w:val="20"/>
                <w:color w:val="auto"/>
              </w:rPr>
            </w:pPr>
            <w:r>
              <w:rPr>
                <w:rFonts w:ascii="Arial" w:cs="Arial" w:eastAsia="Arial" w:hAnsi="Arial"/>
                <w:sz w:val="18"/>
                <w:szCs w:val="18"/>
                <w:color w:val="auto"/>
              </w:rPr>
              <w:t>F-4</w:t>
            </w:r>
          </w:p>
        </w:tc>
        <w:tc>
          <w:tcPr>
            <w:tcW w:w="16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638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6123940</wp:posOffset>
            </wp:positionH>
            <wp:positionV relativeFrom="paragraph">
              <wp:posOffset>-4205605</wp:posOffset>
            </wp:positionV>
            <wp:extent cx="34290" cy="342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-4205605</wp:posOffset>
            </wp:positionV>
            <wp:extent cx="34290" cy="342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-3416935</wp:posOffset>
            </wp:positionV>
            <wp:extent cx="34290" cy="342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-3416935</wp:posOffset>
            </wp:positionV>
            <wp:extent cx="34290" cy="342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-2627630</wp:posOffset>
            </wp:positionV>
            <wp:extent cx="34290" cy="342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-2627630</wp:posOffset>
            </wp:positionV>
            <wp:extent cx="34290" cy="342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-1375410</wp:posOffset>
            </wp:positionV>
            <wp:extent cx="34290" cy="342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-1375410</wp:posOffset>
            </wp:positionV>
            <wp:extent cx="34290" cy="342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-878205</wp:posOffset>
            </wp:positionV>
            <wp:extent cx="1270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-878205</wp:posOffset>
            </wp:positionV>
            <wp:extent cx="1270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-878205</wp:posOffset>
            </wp:positionV>
            <wp:extent cx="1270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-878205</wp:posOffset>
            </wp:positionV>
            <wp:extent cx="1270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28"/>
        </w:trPr>
        <w:tc>
          <w:tcPr>
            <w:tcW w:w="4320" w:type="dxa"/>
            <w:vAlign w:val="bottom"/>
          </w:tcPr>
          <w:p>
            <w:pPr>
              <w:spacing w:after="0"/>
              <w:rPr>
                <w:sz w:val="20"/>
                <w:szCs w:val="20"/>
                <w:color w:val="auto"/>
              </w:rPr>
            </w:pPr>
            <w:r>
              <w:rPr>
                <w:rFonts w:ascii="Arial" w:cs="Arial" w:eastAsia="Arial" w:hAnsi="Arial"/>
                <w:sz w:val="18"/>
                <w:szCs w:val="18"/>
                <w:b w:val="1"/>
                <w:bCs w:val="1"/>
                <w:color w:val="auto"/>
              </w:rPr>
              <w:t>Credicorp Ltd. and Subsidiaries</w:t>
            </w:r>
          </w:p>
        </w:tc>
        <w:tc>
          <w:tcPr>
            <w:tcW w:w="36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4320" w:type="dxa"/>
            <w:vAlign w:val="bottom"/>
          </w:tcPr>
          <w:p>
            <w:pPr>
              <w:spacing w:after="0"/>
              <w:rPr>
                <w:sz w:val="20"/>
                <w:szCs w:val="20"/>
                <w:color w:val="auto"/>
              </w:rPr>
            </w:pPr>
            <w:r>
              <w:rPr>
                <w:rFonts w:ascii="Arial" w:cs="Arial" w:eastAsia="Arial" w:hAnsi="Arial"/>
                <w:sz w:val="18"/>
                <w:szCs w:val="18"/>
                <w:b w:val="1"/>
                <w:bCs w:val="1"/>
                <w:color w:val="auto"/>
              </w:rPr>
              <w:t>Consolidated balance sheets</w:t>
            </w:r>
          </w:p>
        </w:tc>
        <w:tc>
          <w:tcPr>
            <w:tcW w:w="3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320" w:type="dxa"/>
            <w:vAlign w:val="bottom"/>
          </w:tcPr>
          <w:p>
            <w:pPr>
              <w:spacing w:after="0"/>
              <w:rPr>
                <w:sz w:val="20"/>
                <w:szCs w:val="20"/>
                <w:color w:val="auto"/>
              </w:rPr>
            </w:pPr>
            <w:r>
              <w:rPr>
                <w:rFonts w:ascii="Arial" w:cs="Arial" w:eastAsia="Arial" w:hAnsi="Arial"/>
                <w:sz w:val="18"/>
                <w:szCs w:val="18"/>
                <w:color w:val="auto"/>
              </w:rPr>
              <w:t>As of December 31, 2003 and 2002</w:t>
            </w:r>
          </w:p>
        </w:tc>
        <w:tc>
          <w:tcPr>
            <w:tcW w:w="36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4320" w:type="dxa"/>
            <w:vAlign w:val="bottom"/>
          </w:tcPr>
          <w:p>
            <w:pPr>
              <w:spacing w:after="0"/>
              <w:rPr>
                <w:sz w:val="24"/>
                <w:szCs w:val="24"/>
                <w:color w:val="auto"/>
              </w:rPr>
            </w:pPr>
          </w:p>
        </w:tc>
        <w:tc>
          <w:tcPr>
            <w:tcW w:w="3660" w:type="dxa"/>
            <w:vAlign w:val="bottom"/>
          </w:tcPr>
          <w:p>
            <w:pPr>
              <w:jc w:val="center"/>
              <w:ind w:left="1852"/>
              <w:spacing w:after="0"/>
              <w:rPr>
                <w:sz w:val="20"/>
                <w:szCs w:val="20"/>
                <w:color w:val="auto"/>
              </w:rPr>
            </w:pPr>
            <w:r>
              <w:rPr>
                <w:rFonts w:ascii="Arial" w:cs="Arial" w:eastAsia="Arial" w:hAnsi="Arial"/>
                <w:sz w:val="18"/>
                <w:szCs w:val="18"/>
                <w:b w:val="1"/>
                <w:bCs w:val="1"/>
                <w:color w:val="auto"/>
                <w:w w:val="89"/>
              </w:rPr>
              <w:t>Note</w:t>
            </w:r>
          </w:p>
        </w:tc>
        <w:tc>
          <w:tcPr>
            <w:tcW w:w="1700" w:type="dxa"/>
            <w:vAlign w:val="bottom"/>
          </w:tcPr>
          <w:p>
            <w:pPr>
              <w:jc w:val="right"/>
              <w:ind w:right="612"/>
              <w:spacing w:after="0"/>
              <w:rPr>
                <w:sz w:val="20"/>
                <w:szCs w:val="20"/>
                <w:color w:val="auto"/>
              </w:rPr>
            </w:pPr>
            <w:r>
              <w:rPr>
                <w:rFonts w:ascii="Arial" w:cs="Arial" w:eastAsia="Arial" w:hAnsi="Arial"/>
                <w:sz w:val="18"/>
                <w:szCs w:val="18"/>
                <w:b w:val="1"/>
                <w:bCs w:val="1"/>
                <w:color w:val="auto"/>
              </w:rPr>
              <w:t>2003</w:t>
            </w:r>
          </w:p>
        </w:tc>
        <w:tc>
          <w:tcPr>
            <w:tcW w:w="20" w:type="dxa"/>
            <w:vAlign w:val="bottom"/>
          </w:tcPr>
          <w:p>
            <w:pPr>
              <w:spacing w:after="0"/>
              <w:rPr>
                <w:sz w:val="24"/>
                <w:szCs w:val="24"/>
                <w:color w:val="auto"/>
              </w:rPr>
            </w:pPr>
          </w:p>
        </w:tc>
        <w:tc>
          <w:tcPr>
            <w:tcW w:w="1700" w:type="dxa"/>
            <w:vAlign w:val="bottom"/>
          </w:tcPr>
          <w:p>
            <w:pPr>
              <w:jc w:val="right"/>
              <w:ind w:right="612"/>
              <w:spacing w:after="0"/>
              <w:rPr>
                <w:sz w:val="20"/>
                <w:szCs w:val="20"/>
                <w:color w:val="auto"/>
              </w:rPr>
            </w:pPr>
            <w:r>
              <w:rPr>
                <w:rFonts w:ascii="Arial" w:cs="Arial" w:eastAsia="Arial" w:hAnsi="Arial"/>
                <w:sz w:val="18"/>
                <w:szCs w:val="18"/>
                <w:b w:val="1"/>
                <w:bCs w:val="1"/>
                <w:color w:val="auto"/>
              </w:rPr>
              <w:t>2002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1720" w:type="dxa"/>
            <w:vAlign w:val="bottom"/>
            <w:gridSpan w:val="2"/>
          </w:tcPr>
          <w:p>
            <w:pPr>
              <w:ind w:left="500"/>
              <w:spacing w:after="0"/>
              <w:rPr>
                <w:sz w:val="20"/>
                <w:szCs w:val="20"/>
                <w:color w:val="auto"/>
              </w:rPr>
            </w:pPr>
            <w:r>
              <w:rPr>
                <w:rFonts w:ascii="Arial" w:cs="Arial" w:eastAsia="Arial" w:hAnsi="Arial"/>
                <w:sz w:val="18"/>
                <w:szCs w:val="18"/>
                <w:color w:val="auto"/>
              </w:rPr>
              <w:t>US$(000)</w:t>
            </w:r>
          </w:p>
        </w:tc>
        <w:tc>
          <w:tcPr>
            <w:tcW w:w="1720" w:type="dxa"/>
            <w:vAlign w:val="bottom"/>
            <w:gridSpan w:val="2"/>
          </w:tcPr>
          <w:p>
            <w:pPr>
              <w:ind w:left="50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486"/>
        </w:trPr>
        <w:tc>
          <w:tcPr>
            <w:tcW w:w="4320" w:type="dxa"/>
            <w:vAlign w:val="bottom"/>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3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Deposits and other obligations:</w:t>
            </w:r>
          </w:p>
        </w:tc>
        <w:tc>
          <w:tcPr>
            <w:tcW w:w="3660" w:type="dxa"/>
            <w:vAlign w:val="bottom"/>
          </w:tcPr>
          <w:p>
            <w:pPr>
              <w:jc w:val="center"/>
              <w:ind w:left="1852"/>
              <w:spacing w:after="0"/>
              <w:rPr>
                <w:sz w:val="20"/>
                <w:szCs w:val="20"/>
                <w:color w:val="auto"/>
              </w:rPr>
            </w:pPr>
            <w:r>
              <w:rPr>
                <w:rFonts w:ascii="Arial" w:cs="Arial" w:eastAsia="Arial" w:hAnsi="Arial"/>
                <w:sz w:val="18"/>
                <w:szCs w:val="18"/>
                <w:color w:val="auto"/>
                <w:w w:val="79"/>
              </w:rPr>
              <w:t>11</w:t>
            </w: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220"/>
              <w:spacing w:after="0"/>
              <w:rPr>
                <w:sz w:val="20"/>
                <w:szCs w:val="20"/>
                <w:color w:val="auto"/>
              </w:rPr>
            </w:pPr>
            <w:r>
              <w:rPr>
                <w:rFonts w:ascii="Arial" w:cs="Arial" w:eastAsia="Arial" w:hAnsi="Arial"/>
                <w:sz w:val="18"/>
                <w:szCs w:val="18"/>
                <w:color w:val="auto"/>
              </w:rPr>
              <w:t>Non-interest bearing</w:t>
            </w:r>
          </w:p>
        </w:tc>
        <w:tc>
          <w:tcPr>
            <w:tcW w:w="36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860,585</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822,884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220"/>
              <w:spacing w:after="0"/>
              <w:rPr>
                <w:sz w:val="20"/>
                <w:szCs w:val="20"/>
                <w:color w:val="auto"/>
              </w:rPr>
            </w:pPr>
            <w:r>
              <w:rPr>
                <w:rFonts w:ascii="Arial" w:cs="Arial" w:eastAsia="Arial" w:hAnsi="Arial"/>
                <w:sz w:val="18"/>
                <w:szCs w:val="18"/>
                <w:color w:val="auto"/>
              </w:rPr>
              <w:t>Interest bearing</w:t>
            </w:r>
          </w:p>
        </w:tc>
        <w:tc>
          <w:tcPr>
            <w:tcW w:w="36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5,125,645</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5,558,316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7"/>
        </w:trPr>
        <w:tc>
          <w:tcPr>
            <w:tcW w:w="432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43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5,986,230</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6,381,200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4320" w:type="dxa"/>
            <w:vAlign w:val="bottom"/>
            <w:vMerge w:val="restart"/>
          </w:tcPr>
          <w:p>
            <w:pPr>
              <w:ind w:left="40"/>
              <w:spacing w:after="0"/>
              <w:rPr>
                <w:sz w:val="20"/>
                <w:szCs w:val="20"/>
                <w:color w:val="auto"/>
              </w:rPr>
            </w:pPr>
            <w:r>
              <w:rPr>
                <w:rFonts w:ascii="Arial" w:cs="Arial" w:eastAsia="Arial" w:hAnsi="Arial"/>
                <w:sz w:val="18"/>
                <w:szCs w:val="18"/>
                <w:color w:val="auto"/>
              </w:rPr>
              <w:t>Due to banks and correspondents:</w:t>
            </w:r>
          </w:p>
        </w:tc>
        <w:tc>
          <w:tcPr>
            <w:tcW w:w="3660" w:type="dxa"/>
            <w:vAlign w:val="bottom"/>
            <w:vMerge w:val="restart"/>
          </w:tcPr>
          <w:p>
            <w:pPr>
              <w:jc w:val="center"/>
              <w:ind w:left="1852"/>
              <w:spacing w:after="0"/>
              <w:rPr>
                <w:sz w:val="20"/>
                <w:szCs w:val="20"/>
                <w:color w:val="auto"/>
              </w:rPr>
            </w:pPr>
            <w:r>
              <w:rPr>
                <w:rFonts w:ascii="Arial" w:cs="Arial" w:eastAsia="Arial" w:hAnsi="Arial"/>
                <w:sz w:val="18"/>
                <w:szCs w:val="18"/>
                <w:color w:val="auto"/>
                <w:w w:val="79"/>
              </w:rPr>
              <w:t>12</w:t>
            </w: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4320" w:type="dxa"/>
            <w:vAlign w:val="bottom"/>
            <w:vMerge w:val="continue"/>
          </w:tcPr>
          <w:p>
            <w:pPr>
              <w:spacing w:after="0"/>
              <w:rPr>
                <w:sz w:val="24"/>
                <w:szCs w:val="24"/>
                <w:color w:val="auto"/>
              </w:rPr>
            </w:pPr>
          </w:p>
        </w:tc>
        <w:tc>
          <w:tcPr>
            <w:tcW w:w="366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220"/>
              <w:spacing w:after="0"/>
              <w:rPr>
                <w:sz w:val="20"/>
                <w:szCs w:val="20"/>
                <w:color w:val="auto"/>
              </w:rPr>
            </w:pPr>
            <w:r>
              <w:rPr>
                <w:rFonts w:ascii="Arial" w:cs="Arial" w:eastAsia="Arial" w:hAnsi="Arial"/>
                <w:sz w:val="18"/>
                <w:szCs w:val="18"/>
                <w:color w:val="auto"/>
              </w:rPr>
              <w:t>Short-term debt</w:t>
            </w:r>
          </w:p>
        </w:tc>
        <w:tc>
          <w:tcPr>
            <w:tcW w:w="36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96,311</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124,961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220"/>
              <w:spacing w:after="0"/>
              <w:rPr>
                <w:sz w:val="20"/>
                <w:szCs w:val="20"/>
                <w:color w:val="auto"/>
              </w:rPr>
            </w:pPr>
            <w:r>
              <w:rPr>
                <w:rFonts w:ascii="Arial" w:cs="Arial" w:eastAsia="Arial" w:hAnsi="Arial"/>
                <w:sz w:val="18"/>
                <w:szCs w:val="18"/>
                <w:color w:val="auto"/>
              </w:rPr>
              <w:t>Long-term debt</w:t>
            </w:r>
          </w:p>
        </w:tc>
        <w:tc>
          <w:tcPr>
            <w:tcW w:w="36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177,423</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184,737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7"/>
        </w:trPr>
        <w:tc>
          <w:tcPr>
            <w:tcW w:w="432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43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273,734</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309,698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432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4320" w:type="dxa"/>
            <w:vAlign w:val="bottom"/>
          </w:tcPr>
          <w:p>
            <w:pPr>
              <w:ind w:left="40"/>
              <w:spacing w:after="0"/>
              <w:rPr>
                <w:sz w:val="20"/>
                <w:szCs w:val="20"/>
                <w:color w:val="auto"/>
              </w:rPr>
            </w:pPr>
            <w:r>
              <w:rPr>
                <w:rFonts w:ascii="Arial" w:cs="Arial" w:eastAsia="Arial" w:hAnsi="Arial"/>
                <w:sz w:val="18"/>
                <w:szCs w:val="18"/>
                <w:color w:val="auto"/>
              </w:rPr>
              <w:t>Bankers’ acceptances outstanding</w:t>
            </w:r>
          </w:p>
        </w:tc>
        <w:tc>
          <w:tcPr>
            <w:tcW w:w="366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50,284</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36,068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Reserve for property and casualty claims</w:t>
            </w:r>
          </w:p>
        </w:tc>
        <w:tc>
          <w:tcPr>
            <w:tcW w:w="36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303,587</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224,754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Reserve for unearned premiums</w:t>
            </w:r>
          </w:p>
        </w:tc>
        <w:tc>
          <w:tcPr>
            <w:tcW w:w="36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66,084</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48,703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Reinsurance payable</w:t>
            </w:r>
          </w:p>
        </w:tc>
        <w:tc>
          <w:tcPr>
            <w:tcW w:w="36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33,043</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23,255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3660" w:type="dxa"/>
            <w:vAlign w:val="bottom"/>
          </w:tcPr>
          <w:p>
            <w:pPr>
              <w:jc w:val="center"/>
              <w:ind w:left="1852"/>
              <w:spacing w:after="0"/>
              <w:rPr>
                <w:sz w:val="20"/>
                <w:szCs w:val="20"/>
                <w:color w:val="auto"/>
              </w:rPr>
            </w:pPr>
            <w:r>
              <w:rPr>
                <w:rFonts w:ascii="Arial" w:cs="Arial" w:eastAsia="Arial" w:hAnsi="Arial"/>
                <w:sz w:val="18"/>
                <w:szCs w:val="18"/>
                <w:color w:val="auto"/>
                <w:w w:val="79"/>
              </w:rPr>
              <w:t>10</w:t>
            </w:r>
          </w:p>
        </w:tc>
        <w:tc>
          <w:tcPr>
            <w:tcW w:w="1700" w:type="dxa"/>
            <w:vAlign w:val="bottom"/>
          </w:tcPr>
          <w:p>
            <w:pPr>
              <w:jc w:val="right"/>
              <w:spacing w:after="0"/>
              <w:rPr>
                <w:sz w:val="20"/>
                <w:szCs w:val="20"/>
                <w:color w:val="auto"/>
              </w:rPr>
            </w:pPr>
            <w:r>
              <w:rPr>
                <w:rFonts w:ascii="Arial" w:cs="Arial" w:eastAsia="Arial" w:hAnsi="Arial"/>
                <w:sz w:val="18"/>
                <w:szCs w:val="18"/>
                <w:color w:val="auto"/>
              </w:rPr>
              <w:t>182,112</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233,856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Bonds issued</w:t>
            </w:r>
          </w:p>
        </w:tc>
        <w:tc>
          <w:tcPr>
            <w:tcW w:w="3660" w:type="dxa"/>
            <w:vAlign w:val="bottom"/>
          </w:tcPr>
          <w:p>
            <w:pPr>
              <w:jc w:val="center"/>
              <w:ind w:left="1852"/>
              <w:spacing w:after="0"/>
              <w:rPr>
                <w:sz w:val="20"/>
                <w:szCs w:val="20"/>
                <w:color w:val="auto"/>
              </w:rPr>
            </w:pPr>
            <w:r>
              <w:rPr>
                <w:rFonts w:ascii="Arial" w:cs="Arial" w:eastAsia="Arial" w:hAnsi="Arial"/>
                <w:sz w:val="18"/>
                <w:szCs w:val="18"/>
                <w:color w:val="auto"/>
                <w:w w:val="79"/>
              </w:rPr>
              <w:t>13</w:t>
            </w:r>
          </w:p>
        </w:tc>
        <w:tc>
          <w:tcPr>
            <w:tcW w:w="1700" w:type="dxa"/>
            <w:vAlign w:val="bottom"/>
          </w:tcPr>
          <w:p>
            <w:pPr>
              <w:jc w:val="right"/>
              <w:spacing w:after="0"/>
              <w:rPr>
                <w:sz w:val="20"/>
                <w:szCs w:val="20"/>
                <w:color w:val="auto"/>
              </w:rPr>
            </w:pPr>
            <w:r>
              <w:rPr>
                <w:rFonts w:ascii="Arial" w:cs="Arial" w:eastAsia="Arial" w:hAnsi="Arial"/>
                <w:sz w:val="18"/>
                <w:szCs w:val="18"/>
                <w:color w:val="auto"/>
              </w:rPr>
              <w:t>415,749</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483,555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7"/>
        </w:trPr>
        <w:tc>
          <w:tcPr>
            <w:tcW w:w="43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Total liabilities</w:t>
            </w:r>
          </w:p>
        </w:tc>
        <w:tc>
          <w:tcPr>
            <w:tcW w:w="366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4320" w:type="dxa"/>
            <w:vAlign w:val="bottom"/>
            <w:vMerge w:val="continue"/>
          </w:tcPr>
          <w:p>
            <w:pPr>
              <w:spacing w:after="0"/>
              <w:rPr>
                <w:sz w:val="24"/>
                <w:szCs w:val="24"/>
                <w:color w:val="auto"/>
              </w:rPr>
            </w:pPr>
          </w:p>
        </w:tc>
        <w:tc>
          <w:tcPr>
            <w:tcW w:w="366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7,310,823</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7,741,089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43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Minority interest</w:t>
            </w:r>
          </w:p>
        </w:tc>
        <w:tc>
          <w:tcPr>
            <w:tcW w:w="366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4320" w:type="dxa"/>
            <w:vAlign w:val="bottom"/>
            <w:vMerge w:val="continue"/>
          </w:tcPr>
          <w:p>
            <w:pPr>
              <w:spacing w:after="0"/>
              <w:rPr>
                <w:sz w:val="24"/>
                <w:szCs w:val="24"/>
                <w:color w:val="auto"/>
              </w:rPr>
            </w:pPr>
          </w:p>
        </w:tc>
        <w:tc>
          <w:tcPr>
            <w:tcW w:w="366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72,841</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64,742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43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3660" w:type="dxa"/>
            <w:vAlign w:val="bottom"/>
            <w:vMerge w:val="restart"/>
          </w:tcPr>
          <w:p>
            <w:pPr>
              <w:jc w:val="center"/>
              <w:ind w:left="1852"/>
              <w:spacing w:after="0"/>
              <w:rPr>
                <w:sz w:val="20"/>
                <w:szCs w:val="20"/>
                <w:color w:val="auto"/>
              </w:rPr>
            </w:pPr>
            <w:r>
              <w:rPr>
                <w:rFonts w:ascii="Arial" w:cs="Arial" w:eastAsia="Arial" w:hAnsi="Arial"/>
                <w:sz w:val="18"/>
                <w:szCs w:val="18"/>
                <w:color w:val="auto"/>
                <w:w w:val="79"/>
              </w:rPr>
              <w:t>14</w:t>
            </w: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4320" w:type="dxa"/>
            <w:vAlign w:val="bottom"/>
            <w:vMerge w:val="continue"/>
          </w:tcPr>
          <w:p>
            <w:pPr>
              <w:spacing w:after="0"/>
              <w:rPr>
                <w:sz w:val="24"/>
                <w:szCs w:val="24"/>
                <w:color w:val="auto"/>
              </w:rPr>
            </w:pPr>
          </w:p>
        </w:tc>
        <w:tc>
          <w:tcPr>
            <w:tcW w:w="366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Capital stock</w:t>
            </w:r>
          </w:p>
        </w:tc>
        <w:tc>
          <w:tcPr>
            <w:tcW w:w="36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471,912</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471,912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Treasury stock</w:t>
            </w:r>
          </w:p>
        </w:tc>
        <w:tc>
          <w:tcPr>
            <w:tcW w:w="3660" w:type="dxa"/>
            <w:vAlign w:val="bottom"/>
          </w:tcPr>
          <w:p>
            <w:pPr>
              <w:spacing w:after="0"/>
              <w:rPr>
                <w:sz w:val="21"/>
                <w:szCs w:val="21"/>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(73,177)</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(73,177)</w:t>
            </w: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Capital surplus</w:t>
            </w:r>
          </w:p>
        </w:tc>
        <w:tc>
          <w:tcPr>
            <w:tcW w:w="36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140,500</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140,500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Reserves</w:t>
            </w:r>
          </w:p>
        </w:tc>
        <w:tc>
          <w:tcPr>
            <w:tcW w:w="36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269,527</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104,104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Retained earnings</w:t>
            </w:r>
          </w:p>
        </w:tc>
        <w:tc>
          <w:tcPr>
            <w:tcW w:w="36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101,968</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180,461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7"/>
        </w:trPr>
        <w:tc>
          <w:tcPr>
            <w:tcW w:w="43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Total shareholder’s equity</w:t>
            </w:r>
          </w:p>
        </w:tc>
        <w:tc>
          <w:tcPr>
            <w:tcW w:w="366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4320" w:type="dxa"/>
            <w:vAlign w:val="bottom"/>
            <w:vMerge w:val="continue"/>
          </w:tcPr>
          <w:p>
            <w:pPr>
              <w:spacing w:after="0"/>
              <w:rPr>
                <w:sz w:val="24"/>
                <w:szCs w:val="24"/>
                <w:color w:val="auto"/>
              </w:rPr>
            </w:pPr>
          </w:p>
        </w:tc>
        <w:tc>
          <w:tcPr>
            <w:tcW w:w="366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910,730</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823,800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43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Total liabilities and shareholders’ equity</w:t>
            </w:r>
          </w:p>
        </w:tc>
        <w:tc>
          <w:tcPr>
            <w:tcW w:w="366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4320" w:type="dxa"/>
            <w:vAlign w:val="bottom"/>
            <w:vMerge w:val="continue"/>
          </w:tcPr>
          <w:p>
            <w:pPr>
              <w:spacing w:after="0"/>
              <w:rPr>
                <w:sz w:val="24"/>
                <w:szCs w:val="24"/>
                <w:color w:val="auto"/>
              </w:rPr>
            </w:pPr>
          </w:p>
        </w:tc>
        <w:tc>
          <w:tcPr>
            <w:tcW w:w="366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8,294,394</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8,629,631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4320" w:type="dxa"/>
            <w:vAlign w:val="bottom"/>
          </w:tcPr>
          <w:p>
            <w:pPr>
              <w:spacing w:after="0"/>
              <w:rPr>
                <w:sz w:val="12"/>
                <w:szCs w:val="12"/>
                <w:color w:val="auto"/>
              </w:rPr>
            </w:pPr>
          </w:p>
        </w:tc>
        <w:tc>
          <w:tcPr>
            <w:tcW w:w="3660" w:type="dxa"/>
            <w:vAlign w:val="bottom"/>
            <w:vMerge w:val="restart"/>
          </w:tcPr>
          <w:p>
            <w:pPr>
              <w:ind w:left="1280"/>
              <w:spacing w:after="0"/>
              <w:rPr>
                <w:sz w:val="20"/>
                <w:szCs w:val="20"/>
                <w:color w:val="auto"/>
              </w:rPr>
            </w:pPr>
            <w:r>
              <w:rPr>
                <w:rFonts w:ascii="Arial" w:cs="Arial" w:eastAsia="Arial" w:hAnsi="Arial"/>
                <w:sz w:val="18"/>
                <w:szCs w:val="18"/>
                <w:color w:val="auto"/>
              </w:rPr>
              <w:t>F-5</w:t>
            </w:r>
          </w:p>
        </w:tc>
        <w:tc>
          <w:tcPr>
            <w:tcW w:w="1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89"/>
        </w:trPr>
        <w:tc>
          <w:tcPr>
            <w:tcW w:w="432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320" w:type="dxa"/>
            <w:vAlign w:val="bottom"/>
            <w:tcBorders>
              <w:bottom w:val="single" w:sz="8" w:color="9A9A9A"/>
            </w:tcBorders>
          </w:tcPr>
          <w:p>
            <w:pPr>
              <w:spacing w:after="0"/>
              <w:rPr>
                <w:sz w:val="9"/>
                <w:szCs w:val="9"/>
                <w:color w:val="auto"/>
              </w:rPr>
            </w:pPr>
          </w:p>
        </w:tc>
        <w:tc>
          <w:tcPr>
            <w:tcW w:w="366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6123940</wp:posOffset>
            </wp:positionH>
            <wp:positionV relativeFrom="paragraph">
              <wp:posOffset>-5269230</wp:posOffset>
            </wp:positionV>
            <wp:extent cx="34290" cy="342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-5269230</wp:posOffset>
            </wp:positionV>
            <wp:extent cx="34290" cy="342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-4943475</wp:posOffset>
            </wp:positionV>
            <wp:extent cx="34290" cy="342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-4943475</wp:posOffset>
            </wp:positionV>
            <wp:extent cx="34290" cy="342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-4308475</wp:posOffset>
            </wp:positionV>
            <wp:extent cx="34290" cy="342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-4308475</wp:posOffset>
            </wp:positionV>
            <wp:extent cx="34290" cy="342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-3982720</wp:posOffset>
            </wp:positionV>
            <wp:extent cx="34290" cy="342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-3982720</wp:posOffset>
            </wp:positionV>
            <wp:extent cx="34290" cy="342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-2884805</wp:posOffset>
            </wp:positionV>
            <wp:extent cx="34290" cy="342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-2884805</wp:posOffset>
            </wp:positionV>
            <wp:extent cx="34290" cy="342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-2559050</wp:posOffset>
            </wp:positionV>
            <wp:extent cx="34290" cy="342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-2559050</wp:posOffset>
            </wp:positionV>
            <wp:extent cx="34290" cy="342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-2233295</wp:posOffset>
            </wp:positionV>
            <wp:extent cx="34290" cy="342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-2233295</wp:posOffset>
            </wp:positionV>
            <wp:extent cx="34290" cy="342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-1135380</wp:posOffset>
            </wp:positionV>
            <wp:extent cx="34290" cy="342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-1135380</wp:posOffset>
            </wp:positionV>
            <wp:extent cx="34290" cy="342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-809625</wp:posOffset>
            </wp:positionV>
            <wp:extent cx="34290" cy="342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-809625</wp:posOffset>
            </wp:positionV>
            <wp:extent cx="34290" cy="342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-466725</wp:posOffset>
            </wp:positionV>
            <wp:extent cx="1270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-466725</wp:posOffset>
            </wp:positionV>
            <wp:extent cx="1270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-466725</wp:posOffset>
            </wp:positionV>
            <wp:extent cx="1270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-466725</wp:posOffset>
            </wp:positionV>
            <wp:extent cx="1270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28"/>
        </w:trPr>
        <w:tc>
          <w:tcPr>
            <w:tcW w:w="4820" w:type="dxa"/>
            <w:vAlign w:val="bottom"/>
          </w:tcPr>
          <w:p>
            <w:pPr>
              <w:spacing w:after="0"/>
              <w:rPr>
                <w:sz w:val="20"/>
                <w:szCs w:val="20"/>
                <w:color w:val="auto"/>
              </w:rPr>
            </w:pPr>
            <w:r>
              <w:rPr>
                <w:rFonts w:ascii="Arial" w:cs="Arial" w:eastAsia="Arial" w:hAnsi="Arial"/>
                <w:sz w:val="18"/>
                <w:szCs w:val="18"/>
                <w:b w:val="1"/>
                <w:bCs w:val="1"/>
                <w:color w:val="auto"/>
              </w:rPr>
              <w:t>Credicorp Ltd. and Subsidiaries</w:t>
            </w: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4820" w:type="dxa"/>
            <w:vAlign w:val="bottom"/>
          </w:tcPr>
          <w:p>
            <w:pPr>
              <w:spacing w:after="0"/>
              <w:rPr>
                <w:sz w:val="20"/>
                <w:szCs w:val="20"/>
                <w:color w:val="auto"/>
              </w:rPr>
            </w:pPr>
            <w:r>
              <w:rPr>
                <w:rFonts w:ascii="Arial" w:cs="Arial" w:eastAsia="Arial" w:hAnsi="Arial"/>
                <w:sz w:val="18"/>
                <w:szCs w:val="18"/>
                <w:b w:val="1"/>
                <w:bCs w:val="1"/>
                <w:color w:val="auto"/>
              </w:rPr>
              <w:t>Consolidated statements of income</w:t>
            </w: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820" w:type="dxa"/>
            <w:vAlign w:val="bottom"/>
          </w:tcPr>
          <w:p>
            <w:pPr>
              <w:spacing w:after="0"/>
              <w:rPr>
                <w:sz w:val="20"/>
                <w:szCs w:val="20"/>
                <w:color w:val="auto"/>
              </w:rPr>
            </w:pPr>
            <w:r>
              <w:rPr>
                <w:rFonts w:ascii="Arial" w:cs="Arial" w:eastAsia="Arial" w:hAnsi="Arial"/>
                <w:sz w:val="18"/>
                <w:szCs w:val="18"/>
                <w:color w:val="auto"/>
              </w:rPr>
              <w:t>For the years ended December 31, 2003, 2002 and 2001</w:t>
            </w: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4820" w:type="dxa"/>
            <w:vAlign w:val="bottom"/>
          </w:tcPr>
          <w:p>
            <w:pPr>
              <w:spacing w:after="0"/>
              <w:rPr>
                <w:sz w:val="24"/>
                <w:szCs w:val="24"/>
                <w:color w:val="auto"/>
              </w:rPr>
            </w:pPr>
          </w:p>
        </w:tc>
        <w:tc>
          <w:tcPr>
            <w:tcW w:w="780" w:type="dxa"/>
            <w:vAlign w:val="bottom"/>
          </w:tcPr>
          <w:p>
            <w:pPr>
              <w:ind w:left="420"/>
              <w:spacing w:after="0"/>
              <w:rPr>
                <w:sz w:val="20"/>
                <w:szCs w:val="20"/>
                <w:color w:val="auto"/>
              </w:rPr>
            </w:pPr>
            <w:r>
              <w:rPr>
                <w:rFonts w:ascii="Arial" w:cs="Arial" w:eastAsia="Arial" w:hAnsi="Arial"/>
                <w:sz w:val="18"/>
                <w:szCs w:val="18"/>
                <w:b w:val="1"/>
                <w:bCs w:val="1"/>
                <w:color w:val="auto"/>
                <w:w w:val="84"/>
              </w:rPr>
              <w:t>Note</w:t>
            </w:r>
          </w:p>
        </w:tc>
        <w:tc>
          <w:tcPr>
            <w:tcW w:w="2380" w:type="dxa"/>
            <w:vAlign w:val="bottom"/>
            <w:gridSpan w:val="2"/>
          </w:tcPr>
          <w:p>
            <w:pPr>
              <w:jc w:val="right"/>
              <w:ind w:right="612"/>
              <w:spacing w:after="0"/>
              <w:rPr>
                <w:sz w:val="20"/>
                <w:szCs w:val="20"/>
                <w:color w:val="auto"/>
              </w:rPr>
            </w:pPr>
            <w:r>
              <w:rPr>
                <w:rFonts w:ascii="Arial" w:cs="Arial" w:eastAsia="Arial" w:hAnsi="Arial"/>
                <w:sz w:val="18"/>
                <w:szCs w:val="18"/>
                <w:b w:val="1"/>
                <w:bCs w:val="1"/>
                <w:color w:val="auto"/>
              </w:rPr>
              <w:t>2003</w:t>
            </w:r>
          </w:p>
        </w:tc>
        <w:tc>
          <w:tcPr>
            <w:tcW w:w="20" w:type="dxa"/>
            <w:vAlign w:val="bottom"/>
          </w:tcPr>
          <w:p>
            <w:pPr>
              <w:spacing w:after="0"/>
              <w:rPr>
                <w:sz w:val="24"/>
                <w:szCs w:val="24"/>
                <w:color w:val="auto"/>
              </w:rPr>
            </w:pPr>
          </w:p>
        </w:tc>
        <w:tc>
          <w:tcPr>
            <w:tcW w:w="1700" w:type="dxa"/>
            <w:vAlign w:val="bottom"/>
          </w:tcPr>
          <w:p>
            <w:pPr>
              <w:jc w:val="right"/>
              <w:ind w:right="612"/>
              <w:spacing w:after="0"/>
              <w:rPr>
                <w:sz w:val="20"/>
                <w:szCs w:val="20"/>
                <w:color w:val="auto"/>
              </w:rPr>
            </w:pPr>
            <w:r>
              <w:rPr>
                <w:rFonts w:ascii="Arial" w:cs="Arial" w:eastAsia="Arial" w:hAnsi="Arial"/>
                <w:sz w:val="18"/>
                <w:szCs w:val="18"/>
                <w:b w:val="1"/>
                <w:bCs w:val="1"/>
                <w:color w:val="auto"/>
              </w:rPr>
              <w:t>2002</w:t>
            </w:r>
          </w:p>
        </w:tc>
        <w:tc>
          <w:tcPr>
            <w:tcW w:w="20" w:type="dxa"/>
            <w:vAlign w:val="bottom"/>
          </w:tcPr>
          <w:p>
            <w:pPr>
              <w:spacing w:after="0"/>
              <w:rPr>
                <w:sz w:val="24"/>
                <w:szCs w:val="24"/>
                <w:color w:val="auto"/>
              </w:rPr>
            </w:pPr>
          </w:p>
        </w:tc>
        <w:tc>
          <w:tcPr>
            <w:tcW w:w="1680" w:type="dxa"/>
            <w:vAlign w:val="bottom"/>
          </w:tcPr>
          <w:p>
            <w:pPr>
              <w:jc w:val="right"/>
              <w:ind w:right="612"/>
              <w:spacing w:after="0"/>
              <w:rPr>
                <w:sz w:val="20"/>
                <w:szCs w:val="20"/>
                <w:color w:val="auto"/>
              </w:rPr>
            </w:pPr>
            <w:r>
              <w:rPr>
                <w:rFonts w:ascii="Arial" w:cs="Arial" w:eastAsia="Arial" w:hAnsi="Arial"/>
                <w:sz w:val="18"/>
                <w:szCs w:val="18"/>
                <w:b w:val="1"/>
                <w:bCs w:val="1"/>
                <w:color w:val="auto"/>
              </w:rPr>
              <w:t>2001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720" w:type="dxa"/>
            <w:vAlign w:val="bottom"/>
            <w:gridSpan w:val="2"/>
          </w:tcPr>
          <w:p>
            <w:pPr>
              <w:ind w:left="500"/>
              <w:spacing w:after="0"/>
              <w:rPr>
                <w:sz w:val="20"/>
                <w:szCs w:val="20"/>
                <w:color w:val="auto"/>
              </w:rPr>
            </w:pPr>
            <w:r>
              <w:rPr>
                <w:rFonts w:ascii="Arial" w:cs="Arial" w:eastAsia="Arial" w:hAnsi="Arial"/>
                <w:sz w:val="18"/>
                <w:szCs w:val="18"/>
                <w:color w:val="auto"/>
              </w:rPr>
              <w:t>US$(000)</w:t>
            </w:r>
          </w:p>
        </w:tc>
        <w:tc>
          <w:tcPr>
            <w:tcW w:w="1720" w:type="dxa"/>
            <w:vAlign w:val="bottom"/>
            <w:gridSpan w:val="2"/>
          </w:tcPr>
          <w:p>
            <w:pPr>
              <w:ind w:left="500"/>
              <w:spacing w:after="0"/>
              <w:rPr>
                <w:sz w:val="20"/>
                <w:szCs w:val="20"/>
                <w:color w:val="auto"/>
              </w:rPr>
            </w:pPr>
            <w:r>
              <w:rPr>
                <w:rFonts w:ascii="Arial" w:cs="Arial" w:eastAsia="Arial" w:hAnsi="Arial"/>
                <w:sz w:val="18"/>
                <w:szCs w:val="18"/>
                <w:color w:val="auto"/>
              </w:rPr>
              <w:t>US$(000)</w:t>
            </w:r>
          </w:p>
        </w:tc>
        <w:tc>
          <w:tcPr>
            <w:tcW w:w="1700" w:type="dxa"/>
            <w:vAlign w:val="bottom"/>
            <w:gridSpan w:val="2"/>
          </w:tcPr>
          <w:p>
            <w:pPr>
              <w:ind w:left="48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486"/>
        </w:trPr>
        <w:tc>
          <w:tcPr>
            <w:tcW w:w="4820" w:type="dxa"/>
            <w:vAlign w:val="bottom"/>
          </w:tcPr>
          <w:p>
            <w:pPr>
              <w:ind w:left="40"/>
              <w:spacing w:after="0"/>
              <w:rPr>
                <w:sz w:val="20"/>
                <w:szCs w:val="20"/>
                <w:color w:val="auto"/>
              </w:rPr>
            </w:pPr>
            <w:r>
              <w:rPr>
                <w:rFonts w:ascii="Arial" w:cs="Arial" w:eastAsia="Arial" w:hAnsi="Arial"/>
                <w:sz w:val="18"/>
                <w:szCs w:val="18"/>
                <w:b w:val="1"/>
                <w:bCs w:val="1"/>
                <w:color w:val="auto"/>
              </w:rPr>
              <w:t>Interest income</w:t>
            </w: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Interest on loan transactions</w:t>
            </w:r>
          </w:p>
        </w:tc>
        <w:tc>
          <w:tcPr>
            <w:tcW w:w="780" w:type="dxa"/>
            <w:vAlign w:val="bottom"/>
          </w:tcPr>
          <w:p>
            <w:pPr>
              <w:spacing w:after="0"/>
              <w:rPr>
                <w:sz w:val="21"/>
                <w:szCs w:val="21"/>
                <w:color w:val="auto"/>
              </w:rPr>
            </w:pP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457,826</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420,341</w:t>
            </w:r>
          </w:p>
        </w:tc>
        <w:tc>
          <w:tcPr>
            <w:tcW w:w="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544,255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Interest on deposits with banks</w:t>
            </w:r>
          </w:p>
        </w:tc>
        <w:tc>
          <w:tcPr>
            <w:tcW w:w="780" w:type="dxa"/>
            <w:vAlign w:val="bottom"/>
          </w:tcPr>
          <w:p>
            <w:pPr>
              <w:spacing w:after="0"/>
              <w:rPr>
                <w:sz w:val="21"/>
                <w:szCs w:val="21"/>
                <w:color w:val="auto"/>
              </w:rPr>
            </w:pP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18,826</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36,516</w:t>
            </w:r>
          </w:p>
        </w:tc>
        <w:tc>
          <w:tcPr>
            <w:tcW w:w="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65,523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20" w:type="dxa"/>
            <w:vAlign w:val="bottom"/>
          </w:tcPr>
          <w:p>
            <w:pPr>
              <w:ind w:left="40"/>
              <w:spacing w:after="0"/>
              <w:rPr>
                <w:sz w:val="20"/>
                <w:szCs w:val="20"/>
                <w:color w:val="auto"/>
              </w:rPr>
            </w:pPr>
            <w:r>
              <w:rPr>
                <w:rFonts w:ascii="Arial" w:cs="Arial" w:eastAsia="Arial" w:hAnsi="Arial"/>
                <w:sz w:val="18"/>
                <w:szCs w:val="18"/>
                <w:color w:val="auto"/>
                <w:w w:val="97"/>
              </w:rPr>
              <w:t>Interest from trading securities and investments available-for-</w:t>
            </w:r>
          </w:p>
        </w:tc>
        <w:tc>
          <w:tcPr>
            <w:tcW w:w="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820" w:type="dxa"/>
            <w:vAlign w:val="bottom"/>
          </w:tcPr>
          <w:p>
            <w:pPr>
              <w:ind w:left="40"/>
              <w:spacing w:after="0"/>
              <w:rPr>
                <w:sz w:val="20"/>
                <w:szCs w:val="20"/>
                <w:color w:val="auto"/>
              </w:rPr>
            </w:pPr>
            <w:r>
              <w:rPr>
                <w:rFonts w:ascii="Arial" w:cs="Arial" w:eastAsia="Arial" w:hAnsi="Arial"/>
                <w:sz w:val="18"/>
                <w:szCs w:val="18"/>
                <w:color w:val="auto"/>
              </w:rPr>
              <w:t>sale</w:t>
            </w:r>
          </w:p>
        </w:tc>
        <w:tc>
          <w:tcPr>
            <w:tcW w:w="780" w:type="dxa"/>
            <w:vAlign w:val="bottom"/>
          </w:tcPr>
          <w:p>
            <w:pPr>
              <w:spacing w:after="0"/>
              <w:rPr>
                <w:sz w:val="19"/>
                <w:szCs w:val="19"/>
                <w:color w:val="auto"/>
              </w:rPr>
            </w:pP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60,455</w:t>
            </w:r>
          </w:p>
        </w:tc>
        <w:tc>
          <w:tcPr>
            <w:tcW w:w="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72,724</w:t>
            </w:r>
          </w:p>
        </w:tc>
        <w:tc>
          <w:tcPr>
            <w:tcW w:w="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82,607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Dividends on investments</w:t>
            </w:r>
          </w:p>
        </w:tc>
        <w:tc>
          <w:tcPr>
            <w:tcW w:w="780" w:type="dxa"/>
            <w:vAlign w:val="bottom"/>
          </w:tcPr>
          <w:p>
            <w:pPr>
              <w:spacing w:after="0"/>
              <w:rPr>
                <w:sz w:val="21"/>
                <w:szCs w:val="21"/>
                <w:color w:val="auto"/>
              </w:rPr>
            </w:pP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11,178</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2,293</w:t>
            </w:r>
          </w:p>
        </w:tc>
        <w:tc>
          <w:tcPr>
            <w:tcW w:w="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2,387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7"/>
        </w:trPr>
        <w:tc>
          <w:tcPr>
            <w:tcW w:w="48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Total interest income</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482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548,285</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531,874</w:t>
            </w:r>
          </w:p>
        </w:tc>
        <w:tc>
          <w:tcPr>
            <w:tcW w:w="2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694,772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48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Interest expense</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482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Interest on deposits</w:t>
            </w:r>
          </w:p>
        </w:tc>
        <w:tc>
          <w:tcPr>
            <w:tcW w:w="780" w:type="dxa"/>
            <w:vAlign w:val="bottom"/>
          </w:tcPr>
          <w:p>
            <w:pPr>
              <w:spacing w:after="0"/>
              <w:rPr>
                <w:sz w:val="21"/>
                <w:szCs w:val="21"/>
                <w:color w:val="auto"/>
              </w:rPr>
            </w:pP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(126,757)</w:t>
            </w:r>
          </w:p>
        </w:tc>
        <w:tc>
          <w:tcPr>
            <w:tcW w:w="20" w:type="dxa"/>
            <w:vAlign w:val="bottom"/>
          </w:tcPr>
          <w:p>
            <w:pPr>
              <w:spacing w:after="0"/>
              <w:rPr>
                <w:sz w:val="21"/>
                <w:szCs w:val="21"/>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(117,258)</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(220,024)</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Interest on loans from due to banks and correspondents</w:t>
            </w:r>
          </w:p>
        </w:tc>
        <w:tc>
          <w:tcPr>
            <w:tcW w:w="780" w:type="dxa"/>
            <w:vAlign w:val="bottom"/>
          </w:tcPr>
          <w:p>
            <w:pPr>
              <w:spacing w:after="0"/>
              <w:rPr>
                <w:sz w:val="21"/>
                <w:szCs w:val="21"/>
                <w:color w:val="auto"/>
              </w:rPr>
            </w:pP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(17,235)</w:t>
            </w:r>
          </w:p>
        </w:tc>
        <w:tc>
          <w:tcPr>
            <w:tcW w:w="20" w:type="dxa"/>
            <w:vAlign w:val="bottom"/>
          </w:tcPr>
          <w:p>
            <w:pPr>
              <w:spacing w:after="0"/>
              <w:rPr>
                <w:sz w:val="21"/>
                <w:szCs w:val="21"/>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(25,285)</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(59,177)</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Other interest expenses</w:t>
            </w:r>
          </w:p>
        </w:tc>
        <w:tc>
          <w:tcPr>
            <w:tcW w:w="780" w:type="dxa"/>
            <w:vAlign w:val="bottom"/>
          </w:tcPr>
          <w:p>
            <w:pPr>
              <w:spacing w:after="0"/>
              <w:rPr>
                <w:sz w:val="21"/>
                <w:szCs w:val="21"/>
                <w:color w:val="auto"/>
              </w:rPr>
            </w:pP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(18,322)</w:t>
            </w:r>
          </w:p>
        </w:tc>
        <w:tc>
          <w:tcPr>
            <w:tcW w:w="20" w:type="dxa"/>
            <w:vAlign w:val="bottom"/>
          </w:tcPr>
          <w:p>
            <w:pPr>
              <w:spacing w:after="0"/>
              <w:rPr>
                <w:sz w:val="21"/>
                <w:szCs w:val="21"/>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(35,527)</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(39,341)</w:t>
            </w:r>
          </w:p>
        </w:tc>
        <w:tc>
          <w:tcPr>
            <w:tcW w:w="0" w:type="dxa"/>
            <w:vAlign w:val="bottom"/>
          </w:tcPr>
          <w:p>
            <w:pPr>
              <w:spacing w:after="0"/>
              <w:rPr>
                <w:sz w:val="1"/>
                <w:szCs w:val="1"/>
                <w:color w:val="auto"/>
              </w:rPr>
            </w:pPr>
          </w:p>
        </w:tc>
      </w:tr>
      <w:tr>
        <w:trPr>
          <w:trHeight w:val="137"/>
        </w:trPr>
        <w:tc>
          <w:tcPr>
            <w:tcW w:w="48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Total interest expense</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482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(162,314)</w:t>
            </w:r>
          </w:p>
        </w:tc>
        <w:tc>
          <w:tcPr>
            <w:tcW w:w="20" w:type="dxa"/>
            <w:vAlign w:val="bottom"/>
          </w:tcPr>
          <w:p>
            <w:pPr>
              <w:spacing w:after="0"/>
              <w:rPr>
                <w:sz w:val="24"/>
                <w:szCs w:val="24"/>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(178,070)</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(318,542)</w:t>
            </w:r>
          </w:p>
        </w:tc>
        <w:tc>
          <w:tcPr>
            <w:tcW w:w="0" w:type="dxa"/>
            <w:vAlign w:val="bottom"/>
          </w:tcPr>
          <w:p>
            <w:pPr>
              <w:spacing w:after="0"/>
              <w:rPr>
                <w:sz w:val="1"/>
                <w:szCs w:val="1"/>
                <w:color w:val="auto"/>
              </w:rPr>
            </w:pPr>
          </w:p>
        </w:tc>
      </w:tr>
      <w:tr>
        <w:trPr>
          <w:trHeight w:val="137"/>
        </w:trPr>
        <w:tc>
          <w:tcPr>
            <w:tcW w:w="48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interest income</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99"/>
        </w:trPr>
        <w:tc>
          <w:tcPr>
            <w:tcW w:w="482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385,971</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353,804</w:t>
            </w:r>
          </w:p>
        </w:tc>
        <w:tc>
          <w:tcPr>
            <w:tcW w:w="2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376,230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4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99"/>
        </w:trPr>
        <w:tc>
          <w:tcPr>
            <w:tcW w:w="4820" w:type="dxa"/>
            <w:vAlign w:val="bottom"/>
          </w:tcPr>
          <w:p>
            <w:pPr>
              <w:ind w:left="40"/>
              <w:spacing w:after="0"/>
              <w:rPr>
                <w:sz w:val="20"/>
                <w:szCs w:val="20"/>
                <w:color w:val="auto"/>
              </w:rPr>
            </w:pPr>
            <w:r>
              <w:rPr>
                <w:rFonts w:ascii="Arial" w:cs="Arial" w:eastAsia="Arial" w:hAnsi="Arial"/>
                <w:sz w:val="18"/>
                <w:szCs w:val="18"/>
                <w:color w:val="auto"/>
              </w:rPr>
              <w:t>Provision for credit losses</w:t>
            </w:r>
          </w:p>
        </w:tc>
        <w:tc>
          <w:tcPr>
            <w:tcW w:w="780" w:type="dxa"/>
            <w:vAlign w:val="bottom"/>
          </w:tcPr>
          <w:p>
            <w:pPr>
              <w:jc w:val="center"/>
              <w:ind w:left="312"/>
              <w:spacing w:after="0"/>
              <w:rPr>
                <w:sz w:val="20"/>
                <w:szCs w:val="20"/>
                <w:color w:val="auto"/>
              </w:rPr>
            </w:pPr>
            <w:r>
              <w:rPr>
                <w:rFonts w:ascii="Arial" w:cs="Arial" w:eastAsia="Arial" w:hAnsi="Arial"/>
                <w:sz w:val="18"/>
                <w:szCs w:val="18"/>
                <w:color w:val="auto"/>
                <w:w w:val="96"/>
              </w:rPr>
              <w:t>7(f)</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(66,421)</w:t>
            </w:r>
          </w:p>
        </w:tc>
        <w:tc>
          <w:tcPr>
            <w:tcW w:w="20" w:type="dxa"/>
            <w:vAlign w:val="bottom"/>
          </w:tcPr>
          <w:p>
            <w:pPr>
              <w:spacing w:after="0"/>
              <w:rPr>
                <w:sz w:val="24"/>
                <w:szCs w:val="24"/>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(99,596)</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(119,422)</w:t>
            </w:r>
          </w:p>
        </w:tc>
        <w:tc>
          <w:tcPr>
            <w:tcW w:w="0" w:type="dxa"/>
            <w:vAlign w:val="bottom"/>
          </w:tcPr>
          <w:p>
            <w:pPr>
              <w:spacing w:after="0"/>
              <w:rPr>
                <w:sz w:val="1"/>
                <w:szCs w:val="1"/>
                <w:color w:val="auto"/>
              </w:rPr>
            </w:pPr>
          </w:p>
        </w:tc>
      </w:tr>
      <w:tr>
        <w:trPr>
          <w:trHeight w:val="137"/>
        </w:trPr>
        <w:tc>
          <w:tcPr>
            <w:tcW w:w="48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interest income after provision for credit losses</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482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319,550</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254,208</w:t>
            </w:r>
          </w:p>
        </w:tc>
        <w:tc>
          <w:tcPr>
            <w:tcW w:w="2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256,808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48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Other income</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99"/>
        </w:trPr>
        <w:tc>
          <w:tcPr>
            <w:tcW w:w="482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Commissions from banking services</w:t>
            </w:r>
          </w:p>
        </w:tc>
        <w:tc>
          <w:tcPr>
            <w:tcW w:w="780" w:type="dxa"/>
            <w:vAlign w:val="bottom"/>
          </w:tcPr>
          <w:p>
            <w:pPr>
              <w:spacing w:after="0"/>
              <w:rPr>
                <w:sz w:val="21"/>
                <w:szCs w:val="21"/>
                <w:color w:val="auto"/>
              </w:rPr>
            </w:pP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189,472</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177,305</w:t>
            </w:r>
          </w:p>
        </w:tc>
        <w:tc>
          <w:tcPr>
            <w:tcW w:w="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155,030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Net premiums earned</w:t>
            </w:r>
          </w:p>
        </w:tc>
        <w:tc>
          <w:tcPr>
            <w:tcW w:w="780" w:type="dxa"/>
            <w:vAlign w:val="bottom"/>
          </w:tcPr>
          <w:p>
            <w:pPr>
              <w:jc w:val="center"/>
              <w:ind w:left="312"/>
              <w:spacing w:after="0"/>
              <w:rPr>
                <w:sz w:val="20"/>
                <w:szCs w:val="20"/>
                <w:color w:val="auto"/>
              </w:rPr>
            </w:pPr>
            <w:r>
              <w:rPr>
                <w:rFonts w:ascii="Arial" w:cs="Arial" w:eastAsia="Arial" w:hAnsi="Arial"/>
                <w:sz w:val="18"/>
                <w:szCs w:val="18"/>
                <w:color w:val="auto"/>
                <w:w w:val="89"/>
              </w:rPr>
              <w:t>18</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125,115</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125,218</w:t>
            </w:r>
          </w:p>
        </w:tc>
        <w:tc>
          <w:tcPr>
            <w:tcW w:w="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112,204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Net gain on foreign exchange transactions</w:t>
            </w:r>
          </w:p>
        </w:tc>
        <w:tc>
          <w:tcPr>
            <w:tcW w:w="780" w:type="dxa"/>
            <w:vAlign w:val="bottom"/>
          </w:tcPr>
          <w:p>
            <w:pPr>
              <w:spacing w:after="0"/>
              <w:rPr>
                <w:sz w:val="21"/>
                <w:szCs w:val="21"/>
                <w:color w:val="auto"/>
              </w:rPr>
            </w:pP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23,681</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22,582</w:t>
            </w:r>
          </w:p>
        </w:tc>
        <w:tc>
          <w:tcPr>
            <w:tcW w:w="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17,549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Net (loss) gain on securities</w:t>
            </w:r>
          </w:p>
        </w:tc>
        <w:tc>
          <w:tcPr>
            <w:tcW w:w="780" w:type="dxa"/>
            <w:vAlign w:val="bottom"/>
          </w:tcPr>
          <w:p>
            <w:pPr>
              <w:spacing w:after="0"/>
              <w:rPr>
                <w:sz w:val="21"/>
                <w:szCs w:val="21"/>
                <w:color w:val="auto"/>
              </w:rPr>
            </w:pP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1,969</w:t>
            </w:r>
          </w:p>
        </w:tc>
        <w:tc>
          <w:tcPr>
            <w:tcW w:w="20" w:type="dxa"/>
            <w:vAlign w:val="bottom"/>
          </w:tcPr>
          <w:p>
            <w:pPr>
              <w:spacing w:after="0"/>
              <w:rPr>
                <w:sz w:val="21"/>
                <w:szCs w:val="21"/>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(1,097)</w:t>
            </w:r>
          </w:p>
        </w:tc>
        <w:tc>
          <w:tcPr>
            <w:tcW w:w="1680" w:type="dxa"/>
            <w:vAlign w:val="bottom"/>
          </w:tcPr>
          <w:p>
            <w:pPr>
              <w:jc w:val="right"/>
              <w:spacing w:after="0"/>
              <w:rPr>
                <w:sz w:val="20"/>
                <w:szCs w:val="20"/>
                <w:color w:val="auto"/>
              </w:rPr>
            </w:pPr>
            <w:r>
              <w:rPr>
                <w:rFonts w:ascii="Arial" w:cs="Arial" w:eastAsia="Arial" w:hAnsi="Arial"/>
                <w:sz w:val="18"/>
                <w:szCs w:val="18"/>
                <w:color w:val="auto"/>
              </w:rPr>
              <w:t>31,737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Other</w:t>
            </w:r>
          </w:p>
        </w:tc>
        <w:tc>
          <w:tcPr>
            <w:tcW w:w="780" w:type="dxa"/>
            <w:vAlign w:val="bottom"/>
          </w:tcPr>
          <w:p>
            <w:pPr>
              <w:jc w:val="center"/>
              <w:ind w:left="312"/>
              <w:spacing w:after="0"/>
              <w:rPr>
                <w:sz w:val="20"/>
                <w:szCs w:val="20"/>
                <w:color w:val="auto"/>
              </w:rPr>
            </w:pPr>
            <w:r>
              <w:rPr>
                <w:rFonts w:ascii="Arial" w:cs="Arial" w:eastAsia="Arial" w:hAnsi="Arial"/>
                <w:sz w:val="18"/>
                <w:szCs w:val="18"/>
                <w:color w:val="auto"/>
                <w:w w:val="89"/>
              </w:rPr>
              <w:t>19</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23,227</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11,651</w:t>
            </w:r>
          </w:p>
        </w:tc>
        <w:tc>
          <w:tcPr>
            <w:tcW w:w="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12,530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7"/>
        </w:trPr>
        <w:tc>
          <w:tcPr>
            <w:tcW w:w="48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Total other income</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482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363,464</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335,659</w:t>
            </w:r>
          </w:p>
        </w:tc>
        <w:tc>
          <w:tcPr>
            <w:tcW w:w="2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329,050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48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Insurance activity claims</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482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Net claims incurred</w:t>
            </w:r>
          </w:p>
        </w:tc>
        <w:tc>
          <w:tcPr>
            <w:tcW w:w="780" w:type="dxa"/>
            <w:vAlign w:val="bottom"/>
          </w:tcPr>
          <w:p>
            <w:pPr>
              <w:spacing w:after="0"/>
              <w:rPr>
                <w:sz w:val="21"/>
                <w:szCs w:val="21"/>
                <w:color w:val="auto"/>
              </w:rPr>
            </w:pP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(23,844)</w:t>
            </w:r>
          </w:p>
        </w:tc>
        <w:tc>
          <w:tcPr>
            <w:tcW w:w="20" w:type="dxa"/>
            <w:vAlign w:val="bottom"/>
          </w:tcPr>
          <w:p>
            <w:pPr>
              <w:spacing w:after="0"/>
              <w:rPr>
                <w:sz w:val="21"/>
                <w:szCs w:val="21"/>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(23,701)</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(26,349)</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w w:val="97"/>
              </w:rPr>
              <w:t>Increase in costs for future benefits for life and health policies</w:t>
            </w:r>
          </w:p>
        </w:tc>
        <w:tc>
          <w:tcPr>
            <w:tcW w:w="780" w:type="dxa"/>
            <w:vAlign w:val="bottom"/>
          </w:tcPr>
          <w:p>
            <w:pPr>
              <w:spacing w:after="0"/>
              <w:rPr>
                <w:sz w:val="21"/>
                <w:szCs w:val="21"/>
                <w:color w:val="auto"/>
              </w:rPr>
            </w:pP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(75,930)</w:t>
            </w:r>
          </w:p>
        </w:tc>
        <w:tc>
          <w:tcPr>
            <w:tcW w:w="20" w:type="dxa"/>
            <w:vAlign w:val="bottom"/>
          </w:tcPr>
          <w:p>
            <w:pPr>
              <w:spacing w:after="0"/>
              <w:rPr>
                <w:sz w:val="21"/>
                <w:szCs w:val="21"/>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(74,200)</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(70,668)</w:t>
            </w:r>
          </w:p>
        </w:tc>
        <w:tc>
          <w:tcPr>
            <w:tcW w:w="0" w:type="dxa"/>
            <w:vAlign w:val="bottom"/>
          </w:tcPr>
          <w:p>
            <w:pPr>
              <w:spacing w:after="0"/>
              <w:rPr>
                <w:sz w:val="1"/>
                <w:szCs w:val="1"/>
                <w:color w:val="auto"/>
              </w:rPr>
            </w:pPr>
          </w:p>
        </w:tc>
      </w:tr>
      <w:tr>
        <w:trPr>
          <w:trHeight w:val="137"/>
        </w:trPr>
        <w:tc>
          <w:tcPr>
            <w:tcW w:w="4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4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(99,774)</w:t>
            </w:r>
          </w:p>
        </w:tc>
        <w:tc>
          <w:tcPr>
            <w:tcW w:w="20" w:type="dxa"/>
            <w:vAlign w:val="bottom"/>
          </w:tcPr>
          <w:p>
            <w:pPr>
              <w:spacing w:after="0"/>
              <w:rPr>
                <w:sz w:val="24"/>
                <w:szCs w:val="24"/>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(97,901)</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(97,017)</w:t>
            </w:r>
          </w:p>
        </w:tc>
        <w:tc>
          <w:tcPr>
            <w:tcW w:w="0" w:type="dxa"/>
            <w:vAlign w:val="bottom"/>
          </w:tcPr>
          <w:p>
            <w:pPr>
              <w:spacing w:after="0"/>
              <w:rPr>
                <w:sz w:val="1"/>
                <w:szCs w:val="1"/>
                <w:color w:val="auto"/>
              </w:rPr>
            </w:pPr>
          </w:p>
        </w:tc>
      </w:tr>
      <w:tr>
        <w:trPr>
          <w:trHeight w:val="137"/>
        </w:trPr>
        <w:tc>
          <w:tcPr>
            <w:tcW w:w="4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99"/>
        </w:trPr>
        <w:tc>
          <w:tcPr>
            <w:tcW w:w="4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0" w:type="dxa"/>
            <w:vAlign w:val="bottom"/>
            <w:gridSpan w:val="3"/>
          </w:tcPr>
          <w:p>
            <w:pPr>
              <w:spacing w:after="0"/>
              <w:rPr>
                <w:sz w:val="20"/>
                <w:szCs w:val="20"/>
                <w:color w:val="auto"/>
              </w:rPr>
            </w:pPr>
            <w:r>
              <w:rPr>
                <w:rFonts w:ascii="Arial" w:cs="Arial" w:eastAsia="Arial" w:hAnsi="Arial"/>
                <w:sz w:val="18"/>
                <w:szCs w:val="18"/>
                <w:color w:val="auto"/>
              </w:rPr>
              <w:t>F-6</w:t>
            </w: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8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5043805</wp:posOffset>
            </wp:positionH>
            <wp:positionV relativeFrom="paragraph">
              <wp:posOffset>-5749290</wp:posOffset>
            </wp:positionV>
            <wp:extent cx="34290" cy="342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-5749290</wp:posOffset>
            </wp:positionV>
            <wp:extent cx="34290" cy="342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-5749290</wp:posOffset>
            </wp:positionV>
            <wp:extent cx="34290" cy="342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5043805</wp:posOffset>
            </wp:positionH>
            <wp:positionV relativeFrom="paragraph">
              <wp:posOffset>-5423535</wp:posOffset>
            </wp:positionV>
            <wp:extent cx="34290" cy="342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-5423535</wp:posOffset>
            </wp:positionV>
            <wp:extent cx="34290" cy="342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-5423535</wp:posOffset>
            </wp:positionV>
            <wp:extent cx="34290" cy="342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5043805</wp:posOffset>
            </wp:positionH>
            <wp:positionV relativeFrom="paragraph">
              <wp:posOffset>-4634230</wp:posOffset>
            </wp:positionV>
            <wp:extent cx="34290" cy="342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-4634230</wp:posOffset>
            </wp:positionV>
            <wp:extent cx="34290" cy="342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-4634230</wp:posOffset>
            </wp:positionV>
            <wp:extent cx="34290" cy="342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5043805</wp:posOffset>
            </wp:positionH>
            <wp:positionV relativeFrom="paragraph">
              <wp:posOffset>-4308475</wp:posOffset>
            </wp:positionV>
            <wp:extent cx="34290" cy="342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-4308475</wp:posOffset>
            </wp:positionV>
            <wp:extent cx="34290" cy="342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-4308475</wp:posOffset>
            </wp:positionV>
            <wp:extent cx="34290" cy="342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5043805</wp:posOffset>
            </wp:positionH>
            <wp:positionV relativeFrom="paragraph">
              <wp:posOffset>-3828415</wp:posOffset>
            </wp:positionV>
            <wp:extent cx="34290" cy="342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-3828415</wp:posOffset>
            </wp:positionV>
            <wp:extent cx="34290" cy="342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-3828415</wp:posOffset>
            </wp:positionV>
            <wp:extent cx="34290" cy="342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5043805</wp:posOffset>
            </wp:positionH>
            <wp:positionV relativeFrom="paragraph">
              <wp:posOffset>-3348355</wp:posOffset>
            </wp:positionV>
            <wp:extent cx="34290" cy="342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-3348355</wp:posOffset>
            </wp:positionV>
            <wp:extent cx="34290" cy="342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-3348355</wp:posOffset>
            </wp:positionV>
            <wp:extent cx="34290" cy="342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5043805</wp:posOffset>
            </wp:positionH>
            <wp:positionV relativeFrom="paragraph">
              <wp:posOffset>-3021965</wp:posOffset>
            </wp:positionV>
            <wp:extent cx="34290" cy="342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-3021965</wp:posOffset>
            </wp:positionV>
            <wp:extent cx="34290" cy="342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-3021965</wp:posOffset>
            </wp:positionV>
            <wp:extent cx="34290" cy="342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5043805</wp:posOffset>
            </wp:positionH>
            <wp:positionV relativeFrom="paragraph">
              <wp:posOffset>-1770380</wp:posOffset>
            </wp:positionV>
            <wp:extent cx="34290" cy="342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-1770380</wp:posOffset>
            </wp:positionV>
            <wp:extent cx="34290" cy="342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-1770380</wp:posOffset>
            </wp:positionV>
            <wp:extent cx="34290" cy="342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5043805</wp:posOffset>
            </wp:positionH>
            <wp:positionV relativeFrom="paragraph">
              <wp:posOffset>-1443990</wp:posOffset>
            </wp:positionV>
            <wp:extent cx="34290" cy="342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-1443990</wp:posOffset>
            </wp:positionV>
            <wp:extent cx="34290" cy="342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-1443990</wp:posOffset>
            </wp:positionV>
            <wp:extent cx="34290" cy="342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5043805</wp:posOffset>
            </wp:positionH>
            <wp:positionV relativeFrom="paragraph">
              <wp:posOffset>-809625</wp:posOffset>
            </wp:positionV>
            <wp:extent cx="34290" cy="342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-809625</wp:posOffset>
            </wp:positionV>
            <wp:extent cx="34290" cy="342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-809625</wp:posOffset>
            </wp:positionV>
            <wp:extent cx="34290" cy="342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5043805</wp:posOffset>
            </wp:positionH>
            <wp:positionV relativeFrom="paragraph">
              <wp:posOffset>-483870</wp:posOffset>
            </wp:positionV>
            <wp:extent cx="34290" cy="342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-483870</wp:posOffset>
            </wp:positionV>
            <wp:extent cx="34290" cy="342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-483870</wp:posOffset>
            </wp:positionV>
            <wp:extent cx="34290" cy="342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4" w:name="page135"/>
    <w:bookmarkEnd w:id="134"/>
    <w:tbl>
      <w:tblPr>
        <w:tblLayout w:type="fixed"/>
        <w:tblInd w:w="40" w:type="dxa"/>
        <w:tblCellMar>
          <w:top w:w="0" w:type="dxa"/>
          <w:left w:w="0" w:type="dxa"/>
          <w:bottom w:w="0" w:type="dxa"/>
          <w:right w:w="0" w:type="dxa"/>
        </w:tblCellMar>
      </w:tblPr>
      <w:tr>
        <w:trPr>
          <w:trHeight w:val="228"/>
        </w:trPr>
        <w:tc>
          <w:tcPr>
            <w:tcW w:w="4680" w:type="dxa"/>
            <w:vAlign w:val="bottom"/>
          </w:tcPr>
          <w:p>
            <w:pPr>
              <w:spacing w:after="0"/>
              <w:rPr>
                <w:sz w:val="19"/>
                <w:szCs w:val="19"/>
                <w:color w:val="auto"/>
              </w:rPr>
            </w:pPr>
          </w:p>
        </w:tc>
        <w:tc>
          <w:tcPr>
            <w:tcW w:w="1560" w:type="dxa"/>
            <w:vAlign w:val="bottom"/>
          </w:tcPr>
          <w:p>
            <w:pPr>
              <w:ind w:left="520"/>
              <w:spacing w:after="0"/>
              <w:rPr>
                <w:sz w:val="20"/>
                <w:szCs w:val="20"/>
                <w:color w:val="auto"/>
              </w:rPr>
            </w:pPr>
            <w:r>
              <w:rPr>
                <w:rFonts w:ascii="Arial" w:cs="Arial" w:eastAsia="Arial" w:hAnsi="Arial"/>
                <w:sz w:val="18"/>
                <w:szCs w:val="18"/>
                <w:b w:val="1"/>
                <w:bCs w:val="1"/>
                <w:color w:val="auto"/>
              </w:rPr>
              <w:t>Note</w:t>
            </w:r>
          </w:p>
        </w:tc>
        <w:tc>
          <w:tcPr>
            <w:tcW w:w="1700" w:type="dxa"/>
            <w:vAlign w:val="bottom"/>
          </w:tcPr>
          <w:p>
            <w:pPr>
              <w:jc w:val="right"/>
              <w:ind w:right="612"/>
              <w:spacing w:after="0"/>
              <w:rPr>
                <w:sz w:val="20"/>
                <w:szCs w:val="20"/>
                <w:color w:val="auto"/>
              </w:rPr>
            </w:pPr>
            <w:r>
              <w:rPr>
                <w:rFonts w:ascii="Arial" w:cs="Arial" w:eastAsia="Arial" w:hAnsi="Arial"/>
                <w:sz w:val="18"/>
                <w:szCs w:val="18"/>
                <w:b w:val="1"/>
                <w:bCs w:val="1"/>
                <w:color w:val="auto"/>
              </w:rPr>
              <w:t>2003</w:t>
            </w:r>
          </w:p>
        </w:tc>
        <w:tc>
          <w:tcPr>
            <w:tcW w:w="1720" w:type="dxa"/>
            <w:vAlign w:val="bottom"/>
            <w:gridSpan w:val="2"/>
          </w:tcPr>
          <w:p>
            <w:pPr>
              <w:jc w:val="right"/>
              <w:ind w:right="612"/>
              <w:spacing w:after="0"/>
              <w:rPr>
                <w:sz w:val="20"/>
                <w:szCs w:val="20"/>
                <w:color w:val="auto"/>
              </w:rPr>
            </w:pPr>
            <w:r>
              <w:rPr>
                <w:rFonts w:ascii="Arial" w:cs="Arial" w:eastAsia="Arial" w:hAnsi="Arial"/>
                <w:sz w:val="18"/>
                <w:szCs w:val="18"/>
                <w:b w:val="1"/>
                <w:bCs w:val="1"/>
                <w:color w:val="auto"/>
              </w:rPr>
              <w:t>2002</w:t>
            </w:r>
          </w:p>
        </w:tc>
        <w:tc>
          <w:tcPr>
            <w:tcW w:w="20" w:type="dxa"/>
            <w:vAlign w:val="bottom"/>
          </w:tcPr>
          <w:p>
            <w:pPr>
              <w:spacing w:after="0"/>
              <w:rPr>
                <w:sz w:val="19"/>
                <w:szCs w:val="19"/>
                <w:color w:val="auto"/>
              </w:rPr>
            </w:pPr>
          </w:p>
        </w:tc>
        <w:tc>
          <w:tcPr>
            <w:tcW w:w="1680" w:type="dxa"/>
            <w:vAlign w:val="bottom"/>
          </w:tcPr>
          <w:p>
            <w:pPr>
              <w:jc w:val="right"/>
              <w:ind w:right="612"/>
              <w:spacing w:after="0"/>
              <w:rPr>
                <w:sz w:val="20"/>
                <w:szCs w:val="20"/>
                <w:color w:val="auto"/>
              </w:rPr>
            </w:pPr>
            <w:r>
              <w:rPr>
                <w:rFonts w:ascii="Arial" w:cs="Arial" w:eastAsia="Arial" w:hAnsi="Arial"/>
                <w:sz w:val="18"/>
                <w:szCs w:val="18"/>
                <w:b w:val="1"/>
                <w:bCs w:val="1"/>
                <w:color w:val="auto"/>
              </w:rPr>
              <w:t>2001</w:t>
            </w:r>
          </w:p>
        </w:tc>
        <w:tc>
          <w:tcPr>
            <w:tcW w:w="0" w:type="dxa"/>
            <w:vAlign w:val="bottom"/>
          </w:tcPr>
          <w:p>
            <w:pPr>
              <w:spacing w:after="0"/>
              <w:rPr>
                <w:sz w:val="1"/>
                <w:szCs w:val="1"/>
                <w:color w:val="auto"/>
              </w:rPr>
            </w:pPr>
          </w:p>
        </w:tc>
      </w:tr>
      <w:tr>
        <w:trPr>
          <w:trHeight w:val="243"/>
        </w:trPr>
        <w:tc>
          <w:tcPr>
            <w:tcW w:w="46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700" w:type="dxa"/>
            <w:vAlign w:val="bottom"/>
          </w:tcPr>
          <w:p>
            <w:pPr>
              <w:jc w:val="right"/>
              <w:ind w:right="412"/>
              <w:spacing w:after="0"/>
              <w:rPr>
                <w:sz w:val="20"/>
                <w:szCs w:val="20"/>
                <w:color w:val="auto"/>
              </w:rPr>
            </w:pPr>
            <w:r>
              <w:rPr>
                <w:rFonts w:ascii="Arial" w:cs="Arial" w:eastAsia="Arial" w:hAnsi="Arial"/>
                <w:sz w:val="18"/>
                <w:szCs w:val="18"/>
                <w:color w:val="auto"/>
              </w:rPr>
              <w:t>US$(000)</w:t>
            </w:r>
          </w:p>
        </w:tc>
        <w:tc>
          <w:tcPr>
            <w:tcW w:w="20" w:type="dxa"/>
            <w:vAlign w:val="bottom"/>
          </w:tcPr>
          <w:p>
            <w:pPr>
              <w:spacing w:after="0"/>
              <w:rPr>
                <w:sz w:val="21"/>
                <w:szCs w:val="21"/>
                <w:color w:val="auto"/>
              </w:rPr>
            </w:pPr>
          </w:p>
        </w:tc>
        <w:tc>
          <w:tcPr>
            <w:tcW w:w="1720" w:type="dxa"/>
            <w:vAlign w:val="bottom"/>
            <w:gridSpan w:val="2"/>
          </w:tcPr>
          <w:p>
            <w:pPr>
              <w:ind w:left="500"/>
              <w:spacing w:after="0"/>
              <w:rPr>
                <w:sz w:val="20"/>
                <w:szCs w:val="20"/>
                <w:color w:val="auto"/>
              </w:rPr>
            </w:pPr>
            <w:r>
              <w:rPr>
                <w:rFonts w:ascii="Arial" w:cs="Arial" w:eastAsia="Arial" w:hAnsi="Arial"/>
                <w:sz w:val="18"/>
                <w:szCs w:val="18"/>
                <w:color w:val="auto"/>
              </w:rPr>
              <w:t>US$(000)</w:t>
            </w:r>
          </w:p>
        </w:tc>
        <w:tc>
          <w:tcPr>
            <w:tcW w:w="1680" w:type="dxa"/>
            <w:vAlign w:val="bottom"/>
          </w:tcPr>
          <w:p>
            <w:pPr>
              <w:jc w:val="right"/>
              <w:ind w:right="412"/>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486"/>
        </w:trPr>
        <w:tc>
          <w:tcPr>
            <w:tcW w:w="4680" w:type="dxa"/>
            <w:vAlign w:val="bottom"/>
          </w:tcPr>
          <w:p>
            <w:pPr>
              <w:spacing w:after="0"/>
              <w:rPr>
                <w:sz w:val="20"/>
                <w:szCs w:val="20"/>
                <w:color w:val="auto"/>
              </w:rPr>
            </w:pPr>
            <w:r>
              <w:rPr>
                <w:rFonts w:ascii="Arial" w:cs="Arial" w:eastAsia="Arial" w:hAnsi="Arial"/>
                <w:sz w:val="18"/>
                <w:szCs w:val="18"/>
                <w:b w:val="1"/>
                <w:bCs w:val="1"/>
                <w:color w:val="auto"/>
              </w:rPr>
              <w:t>Other expenses</w:t>
            </w:r>
          </w:p>
        </w:tc>
        <w:tc>
          <w:tcPr>
            <w:tcW w:w="1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80" w:type="dxa"/>
            <w:vAlign w:val="bottom"/>
          </w:tcPr>
          <w:p>
            <w:pPr>
              <w:spacing w:after="0"/>
              <w:rPr>
                <w:sz w:val="20"/>
                <w:szCs w:val="20"/>
                <w:color w:val="auto"/>
              </w:rPr>
            </w:pPr>
            <w:r>
              <w:rPr>
                <w:rFonts w:ascii="Arial" w:cs="Arial" w:eastAsia="Arial" w:hAnsi="Arial"/>
                <w:sz w:val="18"/>
                <w:szCs w:val="18"/>
                <w:color w:val="auto"/>
              </w:rPr>
              <w:t>Salaries and employees’ benefits</w:t>
            </w:r>
          </w:p>
        </w:tc>
        <w:tc>
          <w:tcPr>
            <w:tcW w:w="15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(193,563)</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(183,468)</w:t>
            </w:r>
          </w:p>
        </w:tc>
        <w:tc>
          <w:tcPr>
            <w:tcW w:w="1680" w:type="dxa"/>
            <w:vAlign w:val="bottom"/>
          </w:tcPr>
          <w:p>
            <w:pPr>
              <w:jc w:val="right"/>
              <w:spacing w:after="0"/>
              <w:rPr>
                <w:sz w:val="20"/>
                <w:szCs w:val="20"/>
                <w:color w:val="auto"/>
              </w:rPr>
            </w:pPr>
            <w:r>
              <w:rPr>
                <w:rFonts w:ascii="Arial" w:cs="Arial" w:eastAsia="Arial" w:hAnsi="Arial"/>
                <w:sz w:val="18"/>
                <w:szCs w:val="18"/>
                <w:color w:val="auto"/>
              </w:rPr>
              <w:t>(173,974)</w:t>
            </w:r>
          </w:p>
        </w:tc>
        <w:tc>
          <w:tcPr>
            <w:tcW w:w="0" w:type="dxa"/>
            <w:vAlign w:val="bottom"/>
          </w:tcPr>
          <w:p>
            <w:pPr>
              <w:spacing w:after="0"/>
              <w:rPr>
                <w:sz w:val="1"/>
                <w:szCs w:val="1"/>
                <w:color w:val="auto"/>
              </w:rPr>
            </w:pPr>
          </w:p>
        </w:tc>
      </w:tr>
      <w:tr>
        <w:trPr>
          <w:trHeight w:val="243"/>
        </w:trPr>
        <w:tc>
          <w:tcPr>
            <w:tcW w:w="4680" w:type="dxa"/>
            <w:vAlign w:val="bottom"/>
          </w:tcPr>
          <w:p>
            <w:pPr>
              <w:spacing w:after="0"/>
              <w:rPr>
                <w:sz w:val="20"/>
                <w:szCs w:val="20"/>
                <w:color w:val="auto"/>
              </w:rPr>
            </w:pPr>
            <w:r>
              <w:rPr>
                <w:rFonts w:ascii="Arial" w:cs="Arial" w:eastAsia="Arial" w:hAnsi="Arial"/>
                <w:sz w:val="18"/>
                <w:szCs w:val="18"/>
                <w:color w:val="auto"/>
              </w:rPr>
              <w:t>Administrative expenses</w:t>
            </w:r>
          </w:p>
        </w:tc>
        <w:tc>
          <w:tcPr>
            <w:tcW w:w="15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(147,593)</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(133,502)</w:t>
            </w:r>
          </w:p>
        </w:tc>
        <w:tc>
          <w:tcPr>
            <w:tcW w:w="1680" w:type="dxa"/>
            <w:vAlign w:val="bottom"/>
          </w:tcPr>
          <w:p>
            <w:pPr>
              <w:jc w:val="right"/>
              <w:spacing w:after="0"/>
              <w:rPr>
                <w:sz w:val="20"/>
                <w:szCs w:val="20"/>
                <w:color w:val="auto"/>
              </w:rPr>
            </w:pPr>
            <w:r>
              <w:rPr>
                <w:rFonts w:ascii="Arial" w:cs="Arial" w:eastAsia="Arial" w:hAnsi="Arial"/>
                <w:sz w:val="18"/>
                <w:szCs w:val="18"/>
                <w:color w:val="auto"/>
              </w:rPr>
              <w:t>(128,007)</w:t>
            </w:r>
          </w:p>
        </w:tc>
        <w:tc>
          <w:tcPr>
            <w:tcW w:w="0" w:type="dxa"/>
            <w:vAlign w:val="bottom"/>
          </w:tcPr>
          <w:p>
            <w:pPr>
              <w:spacing w:after="0"/>
              <w:rPr>
                <w:sz w:val="1"/>
                <w:szCs w:val="1"/>
                <w:color w:val="auto"/>
              </w:rPr>
            </w:pPr>
          </w:p>
        </w:tc>
      </w:tr>
      <w:tr>
        <w:trPr>
          <w:trHeight w:val="243"/>
        </w:trPr>
        <w:tc>
          <w:tcPr>
            <w:tcW w:w="46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5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(43,660)</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(41,338)</w:t>
            </w:r>
          </w:p>
        </w:tc>
        <w:tc>
          <w:tcPr>
            <w:tcW w:w="1680" w:type="dxa"/>
            <w:vAlign w:val="bottom"/>
          </w:tcPr>
          <w:p>
            <w:pPr>
              <w:jc w:val="right"/>
              <w:spacing w:after="0"/>
              <w:rPr>
                <w:sz w:val="20"/>
                <w:szCs w:val="20"/>
                <w:color w:val="auto"/>
              </w:rPr>
            </w:pPr>
            <w:r>
              <w:rPr>
                <w:rFonts w:ascii="Arial" w:cs="Arial" w:eastAsia="Arial" w:hAnsi="Arial"/>
                <w:sz w:val="18"/>
                <w:szCs w:val="18"/>
                <w:color w:val="auto"/>
              </w:rPr>
              <w:t>(43,355)</w:t>
            </w:r>
          </w:p>
        </w:tc>
        <w:tc>
          <w:tcPr>
            <w:tcW w:w="0" w:type="dxa"/>
            <w:vAlign w:val="bottom"/>
          </w:tcPr>
          <w:p>
            <w:pPr>
              <w:spacing w:after="0"/>
              <w:rPr>
                <w:sz w:val="1"/>
                <w:szCs w:val="1"/>
                <w:color w:val="auto"/>
              </w:rPr>
            </w:pPr>
          </w:p>
        </w:tc>
      </w:tr>
      <w:tr>
        <w:trPr>
          <w:trHeight w:val="243"/>
        </w:trPr>
        <w:tc>
          <w:tcPr>
            <w:tcW w:w="4680" w:type="dxa"/>
            <w:vAlign w:val="bottom"/>
          </w:tcPr>
          <w:p>
            <w:pPr>
              <w:spacing w:after="0"/>
              <w:rPr>
                <w:sz w:val="20"/>
                <w:szCs w:val="20"/>
                <w:color w:val="auto"/>
              </w:rPr>
            </w:pPr>
            <w:r>
              <w:rPr>
                <w:rFonts w:ascii="Arial" w:cs="Arial" w:eastAsia="Arial" w:hAnsi="Arial"/>
                <w:sz w:val="18"/>
                <w:szCs w:val="18"/>
                <w:color w:val="auto"/>
              </w:rPr>
              <w:t>Provision for assets seized</w:t>
            </w:r>
          </w:p>
        </w:tc>
        <w:tc>
          <w:tcPr>
            <w:tcW w:w="1560" w:type="dxa"/>
            <w:vAlign w:val="bottom"/>
          </w:tcPr>
          <w:p>
            <w:pPr>
              <w:jc w:val="center"/>
              <w:ind w:right="72"/>
              <w:spacing w:after="0"/>
              <w:rPr>
                <w:sz w:val="20"/>
                <w:szCs w:val="20"/>
                <w:color w:val="auto"/>
              </w:rPr>
            </w:pPr>
            <w:r>
              <w:rPr>
                <w:rFonts w:ascii="Arial" w:cs="Arial" w:eastAsia="Arial" w:hAnsi="Arial"/>
                <w:sz w:val="18"/>
                <w:szCs w:val="18"/>
                <w:color w:val="auto"/>
                <w:w w:val="87"/>
              </w:rPr>
              <w:t>9(b)</w:t>
            </w:r>
          </w:p>
        </w:tc>
        <w:tc>
          <w:tcPr>
            <w:tcW w:w="1700" w:type="dxa"/>
            <w:vAlign w:val="bottom"/>
          </w:tcPr>
          <w:p>
            <w:pPr>
              <w:jc w:val="right"/>
              <w:spacing w:after="0"/>
              <w:rPr>
                <w:sz w:val="20"/>
                <w:szCs w:val="20"/>
                <w:color w:val="auto"/>
              </w:rPr>
            </w:pPr>
            <w:r>
              <w:rPr>
                <w:rFonts w:ascii="Arial" w:cs="Arial" w:eastAsia="Arial" w:hAnsi="Arial"/>
                <w:sz w:val="18"/>
                <w:szCs w:val="18"/>
                <w:color w:val="auto"/>
              </w:rPr>
              <w:t>(13,588)</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(15,094)</w:t>
            </w:r>
          </w:p>
        </w:tc>
        <w:tc>
          <w:tcPr>
            <w:tcW w:w="1680" w:type="dxa"/>
            <w:vAlign w:val="bottom"/>
          </w:tcPr>
          <w:p>
            <w:pPr>
              <w:jc w:val="right"/>
              <w:spacing w:after="0"/>
              <w:rPr>
                <w:sz w:val="20"/>
                <w:szCs w:val="20"/>
                <w:color w:val="auto"/>
              </w:rPr>
            </w:pPr>
            <w:r>
              <w:rPr>
                <w:rFonts w:ascii="Arial" w:cs="Arial" w:eastAsia="Arial" w:hAnsi="Arial"/>
                <w:sz w:val="18"/>
                <w:szCs w:val="18"/>
                <w:color w:val="auto"/>
              </w:rPr>
              <w:t>(7,447)</w:t>
            </w:r>
          </w:p>
        </w:tc>
        <w:tc>
          <w:tcPr>
            <w:tcW w:w="0" w:type="dxa"/>
            <w:vAlign w:val="bottom"/>
          </w:tcPr>
          <w:p>
            <w:pPr>
              <w:spacing w:after="0"/>
              <w:rPr>
                <w:sz w:val="1"/>
                <w:szCs w:val="1"/>
                <w:color w:val="auto"/>
              </w:rPr>
            </w:pPr>
          </w:p>
        </w:tc>
      </w:tr>
      <w:tr>
        <w:trPr>
          <w:trHeight w:val="243"/>
        </w:trPr>
        <w:tc>
          <w:tcPr>
            <w:tcW w:w="4680" w:type="dxa"/>
            <w:vAlign w:val="bottom"/>
          </w:tcPr>
          <w:p>
            <w:pPr>
              <w:spacing w:after="0"/>
              <w:rPr>
                <w:sz w:val="20"/>
                <w:szCs w:val="20"/>
                <w:color w:val="auto"/>
              </w:rPr>
            </w:pPr>
            <w:r>
              <w:rPr>
                <w:rFonts w:ascii="Arial" w:cs="Arial" w:eastAsia="Arial" w:hAnsi="Arial"/>
                <w:sz w:val="18"/>
                <w:szCs w:val="18"/>
                <w:color w:val="auto"/>
              </w:rPr>
              <w:t>Merger expenses</w:t>
            </w:r>
          </w:p>
        </w:tc>
        <w:tc>
          <w:tcPr>
            <w:tcW w:w="1560" w:type="dxa"/>
            <w:vAlign w:val="bottom"/>
          </w:tcPr>
          <w:p>
            <w:pPr>
              <w:jc w:val="center"/>
              <w:ind w:right="72"/>
              <w:spacing w:after="0"/>
              <w:rPr>
                <w:sz w:val="20"/>
                <w:szCs w:val="20"/>
                <w:color w:val="auto"/>
              </w:rPr>
            </w:pPr>
            <w:r>
              <w:rPr>
                <w:rFonts w:ascii="Arial" w:cs="Arial" w:eastAsia="Arial" w:hAnsi="Arial"/>
                <w:sz w:val="18"/>
                <w:szCs w:val="18"/>
                <w:color w:val="auto"/>
                <w:w w:val="79"/>
              </w:rPr>
              <w:t>2</w:t>
            </w:r>
          </w:p>
        </w:tc>
        <w:tc>
          <w:tcPr>
            <w:tcW w:w="1700" w:type="dxa"/>
            <w:vAlign w:val="bottom"/>
          </w:tcPr>
          <w:p>
            <w:pPr>
              <w:jc w:val="right"/>
              <w:spacing w:after="0"/>
              <w:rPr>
                <w:sz w:val="20"/>
                <w:szCs w:val="20"/>
                <w:color w:val="auto"/>
              </w:rPr>
            </w:pPr>
            <w:r>
              <w:rPr>
                <w:rFonts w:ascii="Arial" w:cs="Arial" w:eastAsia="Arial" w:hAnsi="Arial"/>
                <w:sz w:val="18"/>
                <w:szCs w:val="18"/>
                <w:color w:val="auto"/>
              </w:rPr>
              <w:t>(18,587)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80" w:type="dxa"/>
            <w:vAlign w:val="bottom"/>
          </w:tcPr>
          <w:p>
            <w:pPr>
              <w:spacing w:after="0"/>
              <w:rPr>
                <w:sz w:val="20"/>
                <w:szCs w:val="20"/>
                <w:color w:val="auto"/>
              </w:rPr>
            </w:pPr>
            <w:r>
              <w:rPr>
                <w:rFonts w:ascii="Arial" w:cs="Arial" w:eastAsia="Arial" w:hAnsi="Arial"/>
                <w:sz w:val="18"/>
                <w:szCs w:val="18"/>
                <w:color w:val="auto"/>
              </w:rPr>
              <w:t>Amortization of goodwill</w:t>
            </w:r>
          </w:p>
        </w:tc>
        <w:tc>
          <w:tcPr>
            <w:tcW w:w="1560" w:type="dxa"/>
            <w:vAlign w:val="bottom"/>
          </w:tcPr>
          <w:p>
            <w:pPr>
              <w:jc w:val="center"/>
              <w:ind w:right="92"/>
              <w:spacing w:after="0"/>
              <w:rPr>
                <w:sz w:val="20"/>
                <w:szCs w:val="20"/>
                <w:color w:val="auto"/>
              </w:rPr>
            </w:pPr>
            <w:r>
              <w:rPr>
                <w:rFonts w:ascii="Arial" w:cs="Arial" w:eastAsia="Arial" w:hAnsi="Arial"/>
                <w:sz w:val="18"/>
                <w:szCs w:val="18"/>
                <w:color w:val="auto"/>
                <w:w w:val="89"/>
              </w:rPr>
              <w:t>10</w:t>
            </w:r>
          </w:p>
        </w:tc>
        <w:tc>
          <w:tcPr>
            <w:tcW w:w="1700" w:type="dxa"/>
            <w:vAlign w:val="bottom"/>
          </w:tcPr>
          <w:p>
            <w:pPr>
              <w:jc w:val="right"/>
              <w:spacing w:after="0"/>
              <w:rPr>
                <w:sz w:val="20"/>
                <w:szCs w:val="20"/>
                <w:color w:val="auto"/>
              </w:rPr>
            </w:pPr>
            <w:r>
              <w:rPr>
                <w:rFonts w:ascii="Arial" w:cs="Arial" w:eastAsia="Arial" w:hAnsi="Arial"/>
                <w:sz w:val="18"/>
                <w:szCs w:val="18"/>
                <w:color w:val="auto"/>
              </w:rPr>
              <w:t>(4,223)</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(3,033)</w:t>
            </w:r>
          </w:p>
        </w:tc>
        <w:tc>
          <w:tcPr>
            <w:tcW w:w="1680" w:type="dxa"/>
            <w:vAlign w:val="bottom"/>
          </w:tcPr>
          <w:p>
            <w:pPr>
              <w:jc w:val="right"/>
              <w:spacing w:after="0"/>
              <w:rPr>
                <w:sz w:val="20"/>
                <w:szCs w:val="20"/>
                <w:color w:val="auto"/>
              </w:rPr>
            </w:pPr>
            <w:r>
              <w:rPr>
                <w:rFonts w:ascii="Arial" w:cs="Arial" w:eastAsia="Arial" w:hAnsi="Arial"/>
                <w:sz w:val="18"/>
                <w:szCs w:val="18"/>
                <w:color w:val="auto"/>
              </w:rPr>
              <w:t>(3,377)</w:t>
            </w:r>
          </w:p>
        </w:tc>
        <w:tc>
          <w:tcPr>
            <w:tcW w:w="0" w:type="dxa"/>
            <w:vAlign w:val="bottom"/>
          </w:tcPr>
          <w:p>
            <w:pPr>
              <w:spacing w:after="0"/>
              <w:rPr>
                <w:sz w:val="1"/>
                <w:szCs w:val="1"/>
                <w:color w:val="auto"/>
              </w:rPr>
            </w:pPr>
          </w:p>
        </w:tc>
      </w:tr>
      <w:tr>
        <w:trPr>
          <w:trHeight w:val="243"/>
        </w:trPr>
        <w:tc>
          <w:tcPr>
            <w:tcW w:w="4680" w:type="dxa"/>
            <w:vAlign w:val="bottom"/>
          </w:tcPr>
          <w:p>
            <w:pPr>
              <w:spacing w:after="0"/>
              <w:rPr>
                <w:sz w:val="20"/>
                <w:szCs w:val="20"/>
                <w:color w:val="auto"/>
              </w:rPr>
            </w:pPr>
            <w:r>
              <w:rPr>
                <w:rFonts w:ascii="Arial" w:cs="Arial" w:eastAsia="Arial" w:hAnsi="Arial"/>
                <w:sz w:val="18"/>
                <w:szCs w:val="18"/>
                <w:color w:val="auto"/>
              </w:rPr>
              <w:t>Other</w:t>
            </w:r>
          </w:p>
        </w:tc>
        <w:tc>
          <w:tcPr>
            <w:tcW w:w="1560" w:type="dxa"/>
            <w:vAlign w:val="bottom"/>
          </w:tcPr>
          <w:p>
            <w:pPr>
              <w:jc w:val="center"/>
              <w:ind w:right="92"/>
              <w:spacing w:after="0"/>
              <w:rPr>
                <w:sz w:val="20"/>
                <w:szCs w:val="20"/>
                <w:color w:val="auto"/>
              </w:rPr>
            </w:pPr>
            <w:r>
              <w:rPr>
                <w:rFonts w:ascii="Arial" w:cs="Arial" w:eastAsia="Arial" w:hAnsi="Arial"/>
                <w:sz w:val="18"/>
                <w:szCs w:val="18"/>
                <w:color w:val="auto"/>
                <w:w w:val="89"/>
              </w:rPr>
              <w:t>19</w:t>
            </w:r>
          </w:p>
        </w:tc>
        <w:tc>
          <w:tcPr>
            <w:tcW w:w="1700" w:type="dxa"/>
            <w:vAlign w:val="bottom"/>
          </w:tcPr>
          <w:p>
            <w:pPr>
              <w:jc w:val="right"/>
              <w:spacing w:after="0"/>
              <w:rPr>
                <w:sz w:val="20"/>
                <w:szCs w:val="20"/>
                <w:color w:val="auto"/>
              </w:rPr>
            </w:pPr>
            <w:r>
              <w:rPr>
                <w:rFonts w:ascii="Arial" w:cs="Arial" w:eastAsia="Arial" w:hAnsi="Arial"/>
                <w:sz w:val="18"/>
                <w:szCs w:val="18"/>
                <w:color w:val="auto"/>
              </w:rPr>
              <w:t>(27,746)</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(27,751)</w:t>
            </w:r>
          </w:p>
        </w:tc>
        <w:tc>
          <w:tcPr>
            <w:tcW w:w="1680" w:type="dxa"/>
            <w:vAlign w:val="bottom"/>
          </w:tcPr>
          <w:p>
            <w:pPr>
              <w:jc w:val="right"/>
              <w:spacing w:after="0"/>
              <w:rPr>
                <w:sz w:val="20"/>
                <w:szCs w:val="20"/>
                <w:color w:val="auto"/>
              </w:rPr>
            </w:pPr>
            <w:r>
              <w:rPr>
                <w:rFonts w:ascii="Arial" w:cs="Arial" w:eastAsia="Arial" w:hAnsi="Arial"/>
                <w:sz w:val="18"/>
                <w:szCs w:val="18"/>
                <w:color w:val="auto"/>
              </w:rPr>
              <w:t>(34,619)</w:t>
            </w:r>
          </w:p>
        </w:tc>
        <w:tc>
          <w:tcPr>
            <w:tcW w:w="0" w:type="dxa"/>
            <w:vAlign w:val="bottom"/>
          </w:tcPr>
          <w:p>
            <w:pPr>
              <w:spacing w:after="0"/>
              <w:rPr>
                <w:sz w:val="1"/>
                <w:szCs w:val="1"/>
                <w:color w:val="auto"/>
              </w:rPr>
            </w:pPr>
          </w:p>
        </w:tc>
      </w:tr>
      <w:tr>
        <w:trPr>
          <w:trHeight w:val="137"/>
        </w:trPr>
        <w:tc>
          <w:tcPr>
            <w:tcW w:w="4680" w:type="dxa"/>
            <w:vAlign w:val="bottom"/>
            <w:vMerge w:val="restart"/>
          </w:tcPr>
          <w:p>
            <w:pPr>
              <w:spacing w:after="0"/>
              <w:rPr>
                <w:sz w:val="20"/>
                <w:szCs w:val="20"/>
                <w:color w:val="auto"/>
              </w:rPr>
            </w:pPr>
            <w:r>
              <w:rPr>
                <w:rFonts w:ascii="Arial" w:cs="Arial" w:eastAsia="Arial" w:hAnsi="Arial"/>
                <w:sz w:val="18"/>
                <w:szCs w:val="18"/>
                <w:b w:val="1"/>
                <w:bCs w:val="1"/>
                <w:color w:val="auto"/>
              </w:rPr>
              <w:t>Total other expenses</w:t>
            </w:r>
          </w:p>
        </w:tc>
        <w:tc>
          <w:tcPr>
            <w:tcW w:w="156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468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(448,960)</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(404,186)</w:t>
            </w:r>
          </w:p>
        </w:tc>
        <w:tc>
          <w:tcPr>
            <w:tcW w:w="1680" w:type="dxa"/>
            <w:vAlign w:val="bottom"/>
          </w:tcPr>
          <w:p>
            <w:pPr>
              <w:jc w:val="right"/>
              <w:spacing w:after="0"/>
              <w:rPr>
                <w:sz w:val="20"/>
                <w:szCs w:val="20"/>
                <w:color w:val="auto"/>
              </w:rPr>
            </w:pPr>
            <w:r>
              <w:rPr>
                <w:rFonts w:ascii="Arial" w:cs="Arial" w:eastAsia="Arial" w:hAnsi="Arial"/>
                <w:sz w:val="18"/>
                <w:szCs w:val="18"/>
                <w:color w:val="auto"/>
              </w:rPr>
              <w:t>(390,779)</w:t>
            </w:r>
          </w:p>
        </w:tc>
        <w:tc>
          <w:tcPr>
            <w:tcW w:w="0" w:type="dxa"/>
            <w:vAlign w:val="bottom"/>
          </w:tcPr>
          <w:p>
            <w:pPr>
              <w:spacing w:after="0"/>
              <w:rPr>
                <w:sz w:val="1"/>
                <w:szCs w:val="1"/>
                <w:color w:val="auto"/>
              </w:rPr>
            </w:pPr>
          </w:p>
        </w:tc>
      </w:tr>
      <w:tr>
        <w:trPr>
          <w:trHeight w:val="137"/>
        </w:trPr>
        <w:tc>
          <w:tcPr>
            <w:tcW w:w="4680" w:type="dxa"/>
            <w:vAlign w:val="bottom"/>
            <w:vMerge w:val="restart"/>
          </w:tcPr>
          <w:p>
            <w:pPr>
              <w:spacing w:after="0"/>
              <w:rPr>
                <w:sz w:val="20"/>
                <w:szCs w:val="20"/>
                <w:color w:val="auto"/>
              </w:rPr>
            </w:pPr>
            <w:r>
              <w:rPr>
                <w:rFonts w:ascii="Arial" w:cs="Arial" w:eastAsia="Arial" w:hAnsi="Arial"/>
                <w:sz w:val="18"/>
                <w:szCs w:val="18"/>
                <w:b w:val="1"/>
                <w:bCs w:val="1"/>
                <w:color w:val="auto"/>
                <w:w w:val="97"/>
              </w:rPr>
              <w:t>Income before translation loss, income tax and minority</w:t>
            </w:r>
          </w:p>
        </w:tc>
        <w:tc>
          <w:tcPr>
            <w:tcW w:w="156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44"/>
        </w:trPr>
        <w:tc>
          <w:tcPr>
            <w:tcW w:w="468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80" w:type="dxa"/>
            <w:vAlign w:val="bottom"/>
          </w:tcPr>
          <w:p>
            <w:pPr>
              <w:spacing w:after="0"/>
              <w:rPr>
                <w:sz w:val="20"/>
                <w:szCs w:val="20"/>
                <w:color w:val="auto"/>
              </w:rPr>
            </w:pPr>
            <w:r>
              <w:rPr>
                <w:rFonts w:ascii="Arial" w:cs="Arial" w:eastAsia="Arial" w:hAnsi="Arial"/>
                <w:sz w:val="18"/>
                <w:szCs w:val="18"/>
                <w:b w:val="1"/>
                <w:bCs w:val="1"/>
                <w:color w:val="auto"/>
              </w:rPr>
              <w:t>interest</w:t>
            </w:r>
          </w:p>
        </w:tc>
        <w:tc>
          <w:tcPr>
            <w:tcW w:w="15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134,280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87,780</w:t>
            </w:r>
          </w:p>
        </w:tc>
        <w:tc>
          <w:tcPr>
            <w:tcW w:w="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98,062</w:t>
            </w:r>
          </w:p>
        </w:tc>
        <w:tc>
          <w:tcPr>
            <w:tcW w:w="0" w:type="dxa"/>
            <w:vAlign w:val="bottom"/>
          </w:tcPr>
          <w:p>
            <w:pPr>
              <w:spacing w:after="0"/>
              <w:rPr>
                <w:sz w:val="1"/>
                <w:szCs w:val="1"/>
                <w:color w:val="auto"/>
              </w:rPr>
            </w:pPr>
          </w:p>
        </w:tc>
      </w:tr>
      <w:tr>
        <w:trPr>
          <w:trHeight w:val="243"/>
        </w:trPr>
        <w:tc>
          <w:tcPr>
            <w:tcW w:w="4680" w:type="dxa"/>
            <w:vAlign w:val="bottom"/>
          </w:tcPr>
          <w:p>
            <w:pPr>
              <w:spacing w:after="0"/>
              <w:rPr>
                <w:sz w:val="20"/>
                <w:szCs w:val="20"/>
                <w:color w:val="auto"/>
              </w:rPr>
            </w:pPr>
            <w:r>
              <w:rPr>
                <w:rFonts w:ascii="Arial" w:cs="Arial" w:eastAsia="Arial" w:hAnsi="Arial"/>
                <w:sz w:val="18"/>
                <w:szCs w:val="18"/>
                <w:color w:val="auto"/>
              </w:rPr>
              <w:t>Translation loss</w:t>
            </w:r>
          </w:p>
        </w:tc>
        <w:tc>
          <w:tcPr>
            <w:tcW w:w="15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(3,675)</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(2,482)</w:t>
            </w:r>
          </w:p>
        </w:tc>
        <w:tc>
          <w:tcPr>
            <w:tcW w:w="1680" w:type="dxa"/>
            <w:vAlign w:val="bottom"/>
          </w:tcPr>
          <w:p>
            <w:pPr>
              <w:jc w:val="right"/>
              <w:spacing w:after="0"/>
              <w:rPr>
                <w:sz w:val="20"/>
                <w:szCs w:val="20"/>
                <w:color w:val="auto"/>
              </w:rPr>
            </w:pPr>
            <w:r>
              <w:rPr>
                <w:rFonts w:ascii="Arial" w:cs="Arial" w:eastAsia="Arial" w:hAnsi="Arial"/>
                <w:sz w:val="18"/>
                <w:szCs w:val="18"/>
                <w:color w:val="auto"/>
              </w:rPr>
              <w:t>(2,575)</w:t>
            </w:r>
          </w:p>
        </w:tc>
        <w:tc>
          <w:tcPr>
            <w:tcW w:w="0" w:type="dxa"/>
            <w:vAlign w:val="bottom"/>
          </w:tcPr>
          <w:p>
            <w:pPr>
              <w:spacing w:after="0"/>
              <w:rPr>
                <w:sz w:val="1"/>
                <w:szCs w:val="1"/>
                <w:color w:val="auto"/>
              </w:rPr>
            </w:pPr>
          </w:p>
        </w:tc>
      </w:tr>
      <w:tr>
        <w:trPr>
          <w:trHeight w:val="243"/>
        </w:trPr>
        <w:tc>
          <w:tcPr>
            <w:tcW w:w="4680" w:type="dxa"/>
            <w:vAlign w:val="bottom"/>
          </w:tcPr>
          <w:p>
            <w:pPr>
              <w:spacing w:after="0"/>
              <w:rPr>
                <w:sz w:val="20"/>
                <w:szCs w:val="20"/>
                <w:color w:val="auto"/>
              </w:rPr>
            </w:pPr>
            <w:r>
              <w:rPr>
                <w:rFonts w:ascii="Arial" w:cs="Arial" w:eastAsia="Arial" w:hAnsi="Arial"/>
                <w:sz w:val="18"/>
                <w:szCs w:val="18"/>
                <w:color w:val="auto"/>
              </w:rPr>
              <w:t>Income tax</w:t>
            </w:r>
          </w:p>
        </w:tc>
        <w:tc>
          <w:tcPr>
            <w:tcW w:w="1560" w:type="dxa"/>
            <w:vAlign w:val="bottom"/>
          </w:tcPr>
          <w:p>
            <w:pPr>
              <w:jc w:val="center"/>
              <w:ind w:right="92"/>
              <w:spacing w:after="0"/>
              <w:rPr>
                <w:sz w:val="20"/>
                <w:szCs w:val="20"/>
                <w:color w:val="auto"/>
              </w:rPr>
            </w:pPr>
            <w:r>
              <w:rPr>
                <w:rFonts w:ascii="Arial" w:cs="Arial" w:eastAsia="Arial" w:hAnsi="Arial"/>
                <w:sz w:val="18"/>
                <w:szCs w:val="18"/>
                <w:color w:val="auto"/>
                <w:w w:val="89"/>
              </w:rPr>
              <w:t>15</w:t>
            </w:r>
          </w:p>
        </w:tc>
        <w:tc>
          <w:tcPr>
            <w:tcW w:w="1700" w:type="dxa"/>
            <w:vAlign w:val="bottom"/>
          </w:tcPr>
          <w:p>
            <w:pPr>
              <w:jc w:val="right"/>
              <w:spacing w:after="0"/>
              <w:rPr>
                <w:sz w:val="20"/>
                <w:szCs w:val="20"/>
                <w:color w:val="auto"/>
              </w:rPr>
            </w:pPr>
            <w:r>
              <w:rPr>
                <w:rFonts w:ascii="Arial" w:cs="Arial" w:eastAsia="Arial" w:hAnsi="Arial"/>
                <w:sz w:val="18"/>
                <w:szCs w:val="18"/>
                <w:color w:val="auto"/>
              </w:rPr>
              <w:t>(39,695)</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(32,628)</w:t>
            </w:r>
          </w:p>
        </w:tc>
        <w:tc>
          <w:tcPr>
            <w:tcW w:w="1680" w:type="dxa"/>
            <w:vAlign w:val="bottom"/>
          </w:tcPr>
          <w:p>
            <w:pPr>
              <w:jc w:val="right"/>
              <w:spacing w:after="0"/>
              <w:rPr>
                <w:sz w:val="20"/>
                <w:szCs w:val="20"/>
                <w:color w:val="auto"/>
              </w:rPr>
            </w:pPr>
            <w:r>
              <w:rPr>
                <w:rFonts w:ascii="Arial" w:cs="Arial" w:eastAsia="Arial" w:hAnsi="Arial"/>
                <w:sz w:val="18"/>
                <w:szCs w:val="18"/>
                <w:color w:val="auto"/>
              </w:rPr>
              <w:t>(25,135)</w:t>
            </w:r>
          </w:p>
        </w:tc>
        <w:tc>
          <w:tcPr>
            <w:tcW w:w="0" w:type="dxa"/>
            <w:vAlign w:val="bottom"/>
          </w:tcPr>
          <w:p>
            <w:pPr>
              <w:spacing w:after="0"/>
              <w:rPr>
                <w:sz w:val="1"/>
                <w:szCs w:val="1"/>
                <w:color w:val="auto"/>
              </w:rPr>
            </w:pPr>
          </w:p>
        </w:tc>
      </w:tr>
      <w:tr>
        <w:trPr>
          <w:trHeight w:val="243"/>
        </w:trPr>
        <w:tc>
          <w:tcPr>
            <w:tcW w:w="4680" w:type="dxa"/>
            <w:vAlign w:val="bottom"/>
          </w:tcPr>
          <w:p>
            <w:pPr>
              <w:spacing w:after="0"/>
              <w:rPr>
                <w:sz w:val="20"/>
                <w:szCs w:val="20"/>
                <w:color w:val="auto"/>
              </w:rPr>
            </w:pPr>
            <w:r>
              <w:rPr>
                <w:rFonts w:ascii="Arial" w:cs="Arial" w:eastAsia="Arial" w:hAnsi="Arial"/>
                <w:sz w:val="18"/>
                <w:szCs w:val="18"/>
                <w:color w:val="auto"/>
              </w:rPr>
              <w:t>Minority interest</w:t>
            </w:r>
          </w:p>
        </w:tc>
        <w:tc>
          <w:tcPr>
            <w:tcW w:w="15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(10,303)</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(10,287)</w:t>
            </w:r>
          </w:p>
        </w:tc>
        <w:tc>
          <w:tcPr>
            <w:tcW w:w="1680" w:type="dxa"/>
            <w:vAlign w:val="bottom"/>
          </w:tcPr>
          <w:p>
            <w:pPr>
              <w:jc w:val="right"/>
              <w:spacing w:after="0"/>
              <w:rPr>
                <w:sz w:val="20"/>
                <w:szCs w:val="20"/>
                <w:color w:val="auto"/>
              </w:rPr>
            </w:pPr>
            <w:r>
              <w:rPr>
                <w:rFonts w:ascii="Arial" w:cs="Arial" w:eastAsia="Arial" w:hAnsi="Arial"/>
                <w:sz w:val="18"/>
                <w:szCs w:val="18"/>
                <w:color w:val="auto"/>
              </w:rPr>
              <w:t>(15,839)</w:t>
            </w:r>
          </w:p>
        </w:tc>
        <w:tc>
          <w:tcPr>
            <w:tcW w:w="0" w:type="dxa"/>
            <w:vAlign w:val="bottom"/>
          </w:tcPr>
          <w:p>
            <w:pPr>
              <w:spacing w:after="0"/>
              <w:rPr>
                <w:sz w:val="1"/>
                <w:szCs w:val="1"/>
                <w:color w:val="auto"/>
              </w:rPr>
            </w:pPr>
          </w:p>
        </w:tc>
      </w:tr>
      <w:tr>
        <w:trPr>
          <w:trHeight w:val="137"/>
        </w:trPr>
        <w:tc>
          <w:tcPr>
            <w:tcW w:w="4680" w:type="dxa"/>
            <w:vAlign w:val="bottom"/>
            <w:vMerge w:val="restart"/>
          </w:tcPr>
          <w:p>
            <w:pPr>
              <w:spacing w:after="0"/>
              <w:rPr>
                <w:sz w:val="20"/>
                <w:szCs w:val="20"/>
                <w:color w:val="auto"/>
              </w:rPr>
            </w:pPr>
            <w:r>
              <w:rPr>
                <w:rFonts w:ascii="Arial" w:cs="Arial" w:eastAsia="Arial" w:hAnsi="Arial"/>
                <w:sz w:val="18"/>
                <w:szCs w:val="18"/>
                <w:b w:val="1"/>
                <w:bCs w:val="1"/>
                <w:color w:val="auto"/>
              </w:rPr>
              <w:t>Net income</w:t>
            </w:r>
          </w:p>
        </w:tc>
        <w:tc>
          <w:tcPr>
            <w:tcW w:w="156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468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80,607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42,383</w:t>
            </w:r>
          </w:p>
        </w:tc>
        <w:tc>
          <w:tcPr>
            <w:tcW w:w="2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54,513</w:t>
            </w:r>
          </w:p>
        </w:tc>
        <w:tc>
          <w:tcPr>
            <w:tcW w:w="0" w:type="dxa"/>
            <w:vAlign w:val="bottom"/>
          </w:tcPr>
          <w:p>
            <w:pPr>
              <w:spacing w:after="0"/>
              <w:rPr>
                <w:sz w:val="1"/>
                <w:szCs w:val="1"/>
                <w:color w:val="auto"/>
              </w:rPr>
            </w:pPr>
          </w:p>
        </w:tc>
      </w:tr>
      <w:tr>
        <w:trPr>
          <w:trHeight w:val="147"/>
        </w:trPr>
        <w:tc>
          <w:tcPr>
            <w:tcW w:w="468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earnings per share in United States</w:t>
            </w:r>
          </w:p>
        </w:tc>
        <w:tc>
          <w:tcPr>
            <w:tcW w:w="156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34"/>
        </w:trPr>
        <w:tc>
          <w:tcPr>
            <w:tcW w:w="468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80" w:type="dxa"/>
            <w:vAlign w:val="bottom"/>
          </w:tcPr>
          <w:p>
            <w:pPr>
              <w:spacing w:after="0"/>
              <w:rPr>
                <w:sz w:val="20"/>
                <w:szCs w:val="20"/>
                <w:color w:val="auto"/>
              </w:rPr>
            </w:pPr>
            <w:r>
              <w:rPr>
                <w:rFonts w:ascii="Arial" w:cs="Arial" w:eastAsia="Arial" w:hAnsi="Arial"/>
                <w:sz w:val="18"/>
                <w:szCs w:val="18"/>
                <w:b w:val="1"/>
                <w:bCs w:val="1"/>
                <w:color w:val="auto"/>
              </w:rPr>
              <w:t>dollars</w:t>
            </w:r>
          </w:p>
        </w:tc>
        <w:tc>
          <w:tcPr>
            <w:tcW w:w="1560" w:type="dxa"/>
            <w:vAlign w:val="bottom"/>
          </w:tcPr>
          <w:p>
            <w:pPr>
              <w:jc w:val="center"/>
              <w:ind w:right="92"/>
              <w:spacing w:after="0"/>
              <w:rPr>
                <w:sz w:val="20"/>
                <w:szCs w:val="20"/>
                <w:color w:val="auto"/>
              </w:rPr>
            </w:pPr>
            <w:r>
              <w:rPr>
                <w:rFonts w:ascii="Arial" w:cs="Arial" w:eastAsia="Arial" w:hAnsi="Arial"/>
                <w:sz w:val="18"/>
                <w:szCs w:val="18"/>
                <w:color w:val="auto"/>
                <w:w w:val="89"/>
              </w:rPr>
              <w:t>20</w:t>
            </w:r>
          </w:p>
        </w:tc>
        <w:tc>
          <w:tcPr>
            <w:tcW w:w="1700" w:type="dxa"/>
            <w:vAlign w:val="bottom"/>
          </w:tcPr>
          <w:p>
            <w:pPr>
              <w:jc w:val="right"/>
              <w:spacing w:after="0"/>
              <w:rPr>
                <w:sz w:val="20"/>
                <w:szCs w:val="20"/>
                <w:color w:val="auto"/>
              </w:rPr>
            </w:pPr>
            <w:r>
              <w:rPr>
                <w:rFonts w:ascii="Arial" w:cs="Arial" w:eastAsia="Arial" w:hAnsi="Arial"/>
                <w:sz w:val="18"/>
                <w:szCs w:val="18"/>
                <w:color w:val="auto"/>
              </w:rPr>
              <w:t>1.01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0.53</w:t>
            </w:r>
          </w:p>
        </w:tc>
        <w:tc>
          <w:tcPr>
            <w:tcW w:w="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147"/>
        </w:trPr>
        <w:tc>
          <w:tcPr>
            <w:tcW w:w="46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5043805</wp:posOffset>
            </wp:positionH>
            <wp:positionV relativeFrom="paragraph">
              <wp:posOffset>-2072640</wp:posOffset>
            </wp:positionV>
            <wp:extent cx="34290" cy="342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-2072640</wp:posOffset>
            </wp:positionV>
            <wp:extent cx="34290" cy="342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-2072640</wp:posOffset>
            </wp:positionV>
            <wp:extent cx="34290" cy="342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5043805</wp:posOffset>
            </wp:positionH>
            <wp:positionV relativeFrom="paragraph">
              <wp:posOffset>-1746250</wp:posOffset>
            </wp:positionV>
            <wp:extent cx="34290" cy="342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-1746250</wp:posOffset>
            </wp:positionV>
            <wp:extent cx="34290" cy="342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-1746250</wp:posOffset>
            </wp:positionV>
            <wp:extent cx="34290" cy="342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5043805</wp:posOffset>
            </wp:positionH>
            <wp:positionV relativeFrom="paragraph">
              <wp:posOffset>-820420</wp:posOffset>
            </wp:positionV>
            <wp:extent cx="34290" cy="342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-820420</wp:posOffset>
            </wp:positionV>
            <wp:extent cx="34290" cy="342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-820420</wp:posOffset>
            </wp:positionV>
            <wp:extent cx="34290" cy="342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-477520</wp:posOffset>
            </wp:positionV>
            <wp:extent cx="1270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-477520</wp:posOffset>
            </wp:positionV>
            <wp:extent cx="1270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-477520</wp:posOffset>
            </wp:positionV>
            <wp:extent cx="1270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-477520</wp:posOffset>
            </wp:positionV>
            <wp:extent cx="12700"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-477520</wp:posOffset>
            </wp:positionV>
            <wp:extent cx="1270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-477520</wp:posOffset>
            </wp:positionV>
            <wp:extent cx="12700"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-14605</wp:posOffset>
            </wp:positionV>
            <wp:extent cx="12700"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-14605</wp:posOffset>
            </wp:positionV>
            <wp:extent cx="12700"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-14605</wp:posOffset>
            </wp:positionV>
            <wp:extent cx="1270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-14605</wp:posOffset>
            </wp:positionV>
            <wp:extent cx="12700"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-14605</wp:posOffset>
            </wp:positionV>
            <wp:extent cx="1270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-14605</wp:posOffset>
            </wp:positionV>
            <wp:extent cx="1270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59320" cy="342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ectPr>
          <w:pgSz w:w="11900" w:h="16838" w:orient="portrait"/>
          <w:cols w:equalWidth="0" w:num="1">
            <w:col w:w="11400"/>
          </w:cols>
          <w:pgMar w:left="240" w:top="152" w:right="25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2003, 2002 and 2001</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outstanding shares,</w:t>
            </w:r>
          </w:p>
        </w:tc>
        <w:tc>
          <w:tcPr>
            <w:tcW w:w="40" w:type="dxa"/>
            <w:vAlign w:val="bottom"/>
          </w:tcPr>
          <w:p>
            <w:pPr>
              <w:spacing w:after="0"/>
              <w:rPr>
                <w:sz w:val="12"/>
                <w:szCs w:val="12"/>
                <w:color w:val="auto"/>
              </w:rPr>
            </w:pPr>
          </w:p>
        </w:tc>
        <w:tc>
          <w:tcPr>
            <w:tcW w:w="1120" w:type="dxa"/>
            <w:vAlign w:val="bottom"/>
          </w:tcPr>
          <w:p>
            <w:pPr>
              <w:jc w:val="right"/>
              <w:ind w:right="292"/>
              <w:spacing w:after="0" w:line="149" w:lineRule="exact"/>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Retained</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3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7"/>
              </w:rPr>
              <w:t>not 20</w:t>
            </w:r>
          </w:p>
        </w:tc>
        <w:tc>
          <w:tcPr>
            <w:tcW w:w="40" w:type="dxa"/>
            <w:vAlign w:val="bottom"/>
          </w:tcPr>
          <w:p>
            <w:pPr>
              <w:spacing w:after="0"/>
              <w:rPr>
                <w:sz w:val="15"/>
                <w:szCs w:val="15"/>
                <w:color w:val="auto"/>
              </w:rPr>
            </w:pPr>
          </w:p>
        </w:tc>
        <w:tc>
          <w:tcPr>
            <w:tcW w:w="1120" w:type="dxa"/>
            <w:vAlign w:val="bottom"/>
          </w:tcPr>
          <w:p>
            <w:pPr>
              <w:jc w:val="right"/>
              <w:ind w:right="372"/>
              <w:spacing w:after="0"/>
              <w:rPr>
                <w:sz w:val="20"/>
                <w:szCs w:val="20"/>
                <w:color w:val="auto"/>
              </w:rPr>
            </w:pPr>
            <w:r>
              <w:rPr>
                <w:rFonts w:ascii="Arial" w:cs="Arial" w:eastAsia="Arial" w:hAnsi="Arial"/>
                <w:sz w:val="14"/>
                <w:szCs w:val="14"/>
                <w:b w:val="1"/>
                <w:bCs w:val="1"/>
                <w:color w:val="auto"/>
              </w:rPr>
              <w:t>stock</w:t>
            </w:r>
          </w:p>
        </w:tc>
        <w:tc>
          <w:tcPr>
            <w:tcW w:w="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6"/>
              </w:rPr>
              <w:t>Treasury stock</w:t>
            </w:r>
          </w:p>
        </w:tc>
        <w:tc>
          <w:tcPr>
            <w:tcW w:w="1120" w:type="dxa"/>
            <w:vAlign w:val="bottom"/>
          </w:tcPr>
          <w:p>
            <w:pPr>
              <w:jc w:val="right"/>
              <w:ind w:right="32"/>
              <w:spacing w:after="0"/>
              <w:rPr>
                <w:sz w:val="20"/>
                <w:szCs w:val="20"/>
                <w:color w:val="auto"/>
              </w:rPr>
            </w:pPr>
            <w:r>
              <w:rPr>
                <w:rFonts w:ascii="Arial" w:cs="Arial" w:eastAsia="Arial" w:hAnsi="Arial"/>
                <w:sz w:val="14"/>
                <w:szCs w:val="14"/>
                <w:b w:val="1"/>
                <w:bCs w:val="1"/>
                <w:color w:val="auto"/>
                <w:w w:val="98"/>
              </w:rPr>
              <w:t>Capital surplus</w:t>
            </w:r>
          </w:p>
        </w:tc>
        <w:tc>
          <w:tcPr>
            <w:tcW w:w="40" w:type="dxa"/>
            <w:vAlign w:val="bottom"/>
          </w:tcPr>
          <w:p>
            <w:pPr>
              <w:spacing w:after="0"/>
              <w:rPr>
                <w:sz w:val="15"/>
                <w:szCs w:val="15"/>
                <w:color w:val="auto"/>
              </w:rPr>
            </w:pPr>
          </w:p>
        </w:tc>
        <w:tc>
          <w:tcPr>
            <w:tcW w:w="1100" w:type="dxa"/>
            <w:vAlign w:val="bottom"/>
          </w:tcPr>
          <w:p>
            <w:pPr>
              <w:ind w:left="280"/>
              <w:spacing w:after="0"/>
              <w:rPr>
                <w:sz w:val="20"/>
                <w:szCs w:val="20"/>
                <w:color w:val="auto"/>
              </w:rPr>
            </w:pPr>
            <w:r>
              <w:rPr>
                <w:rFonts w:ascii="Arial" w:cs="Arial" w:eastAsia="Arial" w:hAnsi="Arial"/>
                <w:sz w:val="14"/>
                <w:szCs w:val="14"/>
                <w:b w:val="1"/>
                <w:bCs w:val="1"/>
                <w:color w:val="auto"/>
              </w:rPr>
              <w:t>Reserves</w:t>
            </w:r>
          </w:p>
        </w:tc>
        <w:tc>
          <w:tcPr>
            <w:tcW w:w="40" w:type="dxa"/>
            <w:vAlign w:val="bottom"/>
          </w:tcPr>
          <w:p>
            <w:pPr>
              <w:spacing w:after="0"/>
              <w:rPr>
                <w:sz w:val="15"/>
                <w:szCs w:val="15"/>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earnings</w:t>
            </w:r>
          </w:p>
        </w:tc>
        <w:tc>
          <w:tcPr>
            <w:tcW w:w="1120" w:type="dxa"/>
            <w:vAlign w:val="bottom"/>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3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87"/>
              </w:rPr>
              <w:t>(In thousands)</w:t>
            </w:r>
          </w:p>
        </w:tc>
        <w:tc>
          <w:tcPr>
            <w:tcW w:w="40" w:type="dxa"/>
            <w:vAlign w:val="bottom"/>
          </w:tcPr>
          <w:p>
            <w:pPr>
              <w:spacing w:after="0"/>
              <w:rPr>
                <w:sz w:val="15"/>
                <w:szCs w:val="15"/>
                <w:color w:val="auto"/>
              </w:rPr>
            </w:pPr>
          </w:p>
        </w:tc>
        <w:tc>
          <w:tcPr>
            <w:tcW w:w="1120" w:type="dxa"/>
            <w:vAlign w:val="bottom"/>
          </w:tcPr>
          <w:p>
            <w:pPr>
              <w:jc w:val="right"/>
              <w:ind w:right="232"/>
              <w:spacing w:after="0"/>
              <w:rPr>
                <w:sz w:val="20"/>
                <w:szCs w:val="20"/>
                <w:color w:val="auto"/>
              </w:rPr>
            </w:pPr>
            <w:r>
              <w:rPr>
                <w:rFonts w:ascii="Arial" w:cs="Arial" w:eastAsia="Arial" w:hAnsi="Arial"/>
                <w:sz w:val="14"/>
                <w:szCs w:val="14"/>
                <w:color w:val="auto"/>
              </w:rPr>
              <w:t>US$(000)</w:t>
            </w:r>
          </w:p>
        </w:tc>
        <w:tc>
          <w:tcPr>
            <w:tcW w:w="20" w:type="dxa"/>
            <w:vAlign w:val="bottom"/>
          </w:tcPr>
          <w:p>
            <w:pPr>
              <w:spacing w:after="0"/>
              <w:rPr>
                <w:sz w:val="15"/>
                <w:szCs w:val="15"/>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4"/>
                <w:szCs w:val="14"/>
                <w:color w:val="auto"/>
              </w:rPr>
              <w:t>US$(000)</w:t>
            </w:r>
          </w:p>
        </w:tc>
        <w:tc>
          <w:tcPr>
            <w:tcW w:w="1120" w:type="dxa"/>
            <w:vAlign w:val="bottom"/>
          </w:tcPr>
          <w:p>
            <w:pPr>
              <w:jc w:val="right"/>
              <w:ind w:right="212"/>
              <w:spacing w:after="0"/>
              <w:rPr>
                <w:sz w:val="20"/>
                <w:szCs w:val="20"/>
                <w:color w:val="auto"/>
              </w:rPr>
            </w:pPr>
            <w:r>
              <w:rPr>
                <w:rFonts w:ascii="Arial" w:cs="Arial" w:eastAsia="Arial" w:hAnsi="Arial"/>
                <w:sz w:val="14"/>
                <w:szCs w:val="14"/>
                <w:color w:val="auto"/>
              </w:rPr>
              <w:t>US$(000)</w:t>
            </w:r>
          </w:p>
        </w:tc>
        <w:tc>
          <w:tcPr>
            <w:tcW w:w="40" w:type="dxa"/>
            <w:vAlign w:val="bottom"/>
          </w:tcPr>
          <w:p>
            <w:pPr>
              <w:spacing w:after="0"/>
              <w:rPr>
                <w:sz w:val="15"/>
                <w:szCs w:val="15"/>
                <w:color w:val="auto"/>
              </w:rPr>
            </w:pPr>
          </w:p>
        </w:tc>
        <w:tc>
          <w:tcPr>
            <w:tcW w:w="1100" w:type="dxa"/>
            <w:vAlign w:val="bottom"/>
          </w:tcPr>
          <w:p>
            <w:pPr>
              <w:ind w:left="280"/>
              <w:spacing w:after="0"/>
              <w:rPr>
                <w:sz w:val="20"/>
                <w:szCs w:val="20"/>
                <w:color w:val="auto"/>
              </w:rPr>
            </w:pPr>
            <w:r>
              <w:rPr>
                <w:rFonts w:ascii="Arial" w:cs="Arial" w:eastAsia="Arial" w:hAnsi="Arial"/>
                <w:sz w:val="14"/>
                <w:szCs w:val="14"/>
                <w:color w:val="auto"/>
              </w:rPr>
              <w:t>US$(000)</w:t>
            </w:r>
          </w:p>
        </w:tc>
        <w:tc>
          <w:tcPr>
            <w:tcW w:w="40" w:type="dxa"/>
            <w:vAlign w:val="bottom"/>
          </w:tcPr>
          <w:p>
            <w:pPr>
              <w:spacing w:after="0"/>
              <w:rPr>
                <w:sz w:val="15"/>
                <w:szCs w:val="15"/>
                <w:color w:val="auto"/>
              </w:rPr>
            </w:pPr>
          </w:p>
        </w:tc>
        <w:tc>
          <w:tcPr>
            <w:tcW w:w="1120" w:type="dxa"/>
            <w:vAlign w:val="bottom"/>
            <w:gridSpan w:val="2"/>
          </w:tcPr>
          <w:p>
            <w:pPr>
              <w:ind w:left="280"/>
              <w:spacing w:after="0"/>
              <w:rPr>
                <w:sz w:val="20"/>
                <w:szCs w:val="20"/>
                <w:color w:val="auto"/>
              </w:rPr>
            </w:pPr>
            <w:r>
              <w:rPr>
                <w:rFonts w:ascii="Arial" w:cs="Arial" w:eastAsia="Arial" w:hAnsi="Arial"/>
                <w:sz w:val="14"/>
                <w:szCs w:val="14"/>
                <w:color w:val="auto"/>
              </w:rPr>
              <w:t>US$(000)</w:t>
            </w:r>
          </w:p>
        </w:tc>
        <w:tc>
          <w:tcPr>
            <w:tcW w:w="1120" w:type="dxa"/>
            <w:vAlign w:val="bottom"/>
          </w:tcPr>
          <w:p>
            <w:pPr>
              <w:jc w:val="right"/>
              <w:ind w:right="232"/>
              <w:spacing w:after="0"/>
              <w:rPr>
                <w:sz w:val="20"/>
                <w:szCs w:val="20"/>
                <w:color w:val="auto"/>
              </w:rPr>
            </w:pPr>
            <w:r>
              <w:rPr>
                <w:rFonts w:ascii="Arial" w:cs="Arial" w:eastAsia="Arial" w:hAnsi="Arial"/>
                <w:sz w:val="14"/>
                <w:szCs w:val="14"/>
                <w:color w:val="auto"/>
              </w:rPr>
              <w:t>US$(000)</w:t>
            </w:r>
          </w:p>
        </w:tc>
        <w:tc>
          <w:tcPr>
            <w:tcW w:w="0" w:type="dxa"/>
            <w:vAlign w:val="bottom"/>
          </w:tcPr>
          <w:p>
            <w:pPr>
              <w:spacing w:after="0"/>
              <w:rPr>
                <w:sz w:val="1"/>
                <w:szCs w:val="1"/>
                <w:color w:val="auto"/>
              </w:rPr>
            </w:pPr>
          </w:p>
        </w:tc>
      </w:tr>
      <w:tr>
        <w:trPr>
          <w:trHeight w:val="351"/>
        </w:trPr>
        <w:tc>
          <w:tcPr>
            <w:tcW w:w="3380" w:type="dxa"/>
            <w:vAlign w:val="bottom"/>
          </w:tcPr>
          <w:p>
            <w:pPr>
              <w:spacing w:after="0"/>
              <w:rPr>
                <w:sz w:val="20"/>
                <w:szCs w:val="20"/>
                <w:color w:val="auto"/>
              </w:rPr>
            </w:pPr>
            <w:r>
              <w:rPr>
                <w:rFonts w:ascii="Arial" w:cs="Arial" w:eastAsia="Arial" w:hAnsi="Arial"/>
                <w:sz w:val="14"/>
                <w:szCs w:val="14"/>
                <w:b w:val="1"/>
                <w:bCs w:val="1"/>
                <w:color w:val="auto"/>
              </w:rPr>
              <w:t>Balances as of January 1, 2001</w:t>
            </w:r>
          </w:p>
        </w:tc>
        <w:tc>
          <w:tcPr>
            <w:tcW w:w="1120" w:type="dxa"/>
            <w:vAlign w:val="bottom"/>
          </w:tcPr>
          <w:p>
            <w:pPr>
              <w:jc w:val="right"/>
              <w:spacing w:after="0"/>
              <w:rPr>
                <w:sz w:val="20"/>
                <w:szCs w:val="20"/>
                <w:color w:val="auto"/>
              </w:rPr>
            </w:pPr>
            <w:r>
              <w:rPr>
                <w:rFonts w:ascii="Arial" w:cs="Arial" w:eastAsia="Arial" w:hAnsi="Arial"/>
                <w:sz w:val="14"/>
                <w:szCs w:val="14"/>
                <w:color w:val="auto"/>
              </w:rPr>
              <w:t>94,382</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471,912</w:t>
            </w:r>
          </w:p>
        </w:tc>
        <w:tc>
          <w:tcPr>
            <w:tcW w:w="1160" w:type="dxa"/>
            <w:vAlign w:val="bottom"/>
            <w:gridSpan w:val="3"/>
          </w:tcPr>
          <w:p>
            <w:pPr>
              <w:jc w:val="right"/>
              <w:ind w:right="20"/>
              <w:spacing w:after="0"/>
              <w:rPr>
                <w:sz w:val="20"/>
                <w:szCs w:val="20"/>
                <w:color w:val="auto"/>
              </w:rPr>
            </w:pPr>
            <w:r>
              <w:rPr>
                <w:rFonts w:ascii="Arial" w:cs="Arial" w:eastAsia="Arial" w:hAnsi="Arial"/>
                <w:sz w:val="14"/>
                <w:szCs w:val="14"/>
                <w:color w:val="auto"/>
              </w:rPr>
              <w:t>(71,305)</w:t>
            </w:r>
          </w:p>
        </w:tc>
        <w:tc>
          <w:tcPr>
            <w:tcW w:w="1120" w:type="dxa"/>
            <w:vAlign w:val="bottom"/>
          </w:tcPr>
          <w:p>
            <w:pPr>
              <w:jc w:val="right"/>
              <w:spacing w:after="0"/>
              <w:rPr>
                <w:sz w:val="20"/>
                <w:szCs w:val="20"/>
                <w:color w:val="auto"/>
              </w:rPr>
            </w:pPr>
            <w:r>
              <w:rPr>
                <w:rFonts w:ascii="Arial" w:cs="Arial" w:eastAsia="Arial" w:hAnsi="Arial"/>
                <w:sz w:val="14"/>
                <w:szCs w:val="14"/>
                <w:color w:val="auto"/>
              </w:rPr>
              <w:t>145,064</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98,186</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138,873</w:t>
            </w:r>
          </w:p>
        </w:tc>
        <w:tc>
          <w:tcPr>
            <w:tcW w:w="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782,730</w:t>
            </w:r>
          </w:p>
        </w:tc>
        <w:tc>
          <w:tcPr>
            <w:tcW w:w="0" w:type="dxa"/>
            <w:vAlign w:val="bottom"/>
          </w:tcPr>
          <w:p>
            <w:pPr>
              <w:spacing w:after="0"/>
              <w:rPr>
                <w:sz w:val="1"/>
                <w:szCs w:val="1"/>
                <w:color w:val="auto"/>
              </w:rPr>
            </w:pPr>
          </w:p>
        </w:tc>
      </w:tr>
      <w:tr>
        <w:trPr>
          <w:trHeight w:val="176"/>
        </w:trPr>
        <w:tc>
          <w:tcPr>
            <w:tcW w:w="3380" w:type="dxa"/>
            <w:vAlign w:val="bottom"/>
          </w:tcPr>
          <w:p>
            <w:pPr>
              <w:spacing w:after="0"/>
              <w:rPr>
                <w:sz w:val="20"/>
                <w:szCs w:val="20"/>
                <w:color w:val="auto"/>
              </w:rPr>
            </w:pPr>
            <w:r>
              <w:rPr>
                <w:rFonts w:ascii="Arial" w:cs="Arial" w:eastAsia="Arial" w:hAnsi="Arial"/>
                <w:sz w:val="14"/>
                <w:szCs w:val="14"/>
                <w:color w:val="auto"/>
              </w:rPr>
              <w:t>Increase in treasury stock</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3"/>
          </w:tcPr>
          <w:p>
            <w:pPr>
              <w:jc w:val="right"/>
              <w:ind w:right="20"/>
              <w:spacing w:after="0"/>
              <w:rPr>
                <w:sz w:val="20"/>
                <w:szCs w:val="20"/>
                <w:color w:val="auto"/>
              </w:rPr>
            </w:pPr>
            <w:r>
              <w:rPr>
                <w:rFonts w:ascii="Arial" w:cs="Arial" w:eastAsia="Arial" w:hAnsi="Arial"/>
                <w:sz w:val="14"/>
                <w:szCs w:val="14"/>
                <w:color w:val="auto"/>
              </w:rPr>
              <w:t>(3,300)</w:t>
            </w:r>
          </w:p>
        </w:tc>
        <w:tc>
          <w:tcPr>
            <w:tcW w:w="1120" w:type="dxa"/>
            <w:vAlign w:val="bottom"/>
          </w:tcPr>
          <w:p>
            <w:pPr>
              <w:jc w:val="right"/>
              <w:spacing w:after="0"/>
              <w:rPr>
                <w:sz w:val="20"/>
                <w:szCs w:val="20"/>
                <w:color w:val="auto"/>
              </w:rPr>
            </w:pPr>
            <w:r>
              <w:rPr>
                <w:rFonts w:ascii="Arial" w:cs="Arial" w:eastAsia="Arial" w:hAnsi="Arial"/>
                <w:sz w:val="14"/>
                <w:szCs w:val="14"/>
                <w:color w:val="auto"/>
              </w:rPr>
              <w:t>(6,044)</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(9,344)</w:t>
            </w:r>
          </w:p>
        </w:tc>
        <w:tc>
          <w:tcPr>
            <w:tcW w:w="0" w:type="dxa"/>
            <w:vAlign w:val="bottom"/>
          </w:tcPr>
          <w:p>
            <w:pPr>
              <w:spacing w:after="0"/>
              <w:rPr>
                <w:sz w:val="1"/>
                <w:szCs w:val="1"/>
                <w:color w:val="auto"/>
              </w:rPr>
            </w:pPr>
          </w:p>
        </w:tc>
      </w:tr>
      <w:tr>
        <w:trPr>
          <w:trHeight w:val="176"/>
        </w:trPr>
        <w:tc>
          <w:tcPr>
            <w:tcW w:w="3380" w:type="dxa"/>
            <w:vAlign w:val="bottom"/>
          </w:tcPr>
          <w:p>
            <w:pPr>
              <w:spacing w:after="0"/>
              <w:rPr>
                <w:sz w:val="20"/>
                <w:szCs w:val="20"/>
                <w:color w:val="auto"/>
              </w:rPr>
            </w:pPr>
            <w:r>
              <w:rPr>
                <w:rFonts w:ascii="Arial" w:cs="Arial" w:eastAsia="Arial" w:hAnsi="Arial"/>
                <w:sz w:val="14"/>
                <w:szCs w:val="14"/>
                <w:color w:val="auto"/>
              </w:rPr>
              <w:t>Adoption of IAS 39, net of deferred income tax</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4,461</w:t>
            </w:r>
          </w:p>
        </w:tc>
        <w:tc>
          <w:tcPr>
            <w:tcW w:w="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4,461</w:t>
            </w:r>
          </w:p>
        </w:tc>
        <w:tc>
          <w:tcPr>
            <w:tcW w:w="0" w:type="dxa"/>
            <w:vAlign w:val="bottom"/>
          </w:tcPr>
          <w:p>
            <w:pPr>
              <w:spacing w:after="0"/>
              <w:rPr>
                <w:sz w:val="1"/>
                <w:szCs w:val="1"/>
                <w:color w:val="auto"/>
              </w:rPr>
            </w:pPr>
          </w:p>
        </w:tc>
      </w:tr>
      <w:tr>
        <w:trPr>
          <w:trHeight w:val="176"/>
        </w:trPr>
        <w:tc>
          <w:tcPr>
            <w:tcW w:w="3380" w:type="dxa"/>
            <w:vAlign w:val="bottom"/>
          </w:tcPr>
          <w:p>
            <w:pPr>
              <w:spacing w:after="0"/>
              <w:rPr>
                <w:sz w:val="20"/>
                <w:szCs w:val="20"/>
                <w:color w:val="auto"/>
              </w:rPr>
            </w:pPr>
            <w:r>
              <w:rPr>
                <w:rFonts w:ascii="Arial" w:cs="Arial" w:eastAsia="Arial" w:hAnsi="Arial"/>
                <w:sz w:val="14"/>
                <w:szCs w:val="14"/>
                <w:color w:val="auto"/>
              </w:rPr>
              <w:t>Cash dividends, note 14(d)</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3"/>
          </w:tcPr>
          <w:p>
            <w:pPr>
              <w:jc w:val="right"/>
              <w:ind w:right="20"/>
              <w:spacing w:after="0"/>
              <w:rPr>
                <w:sz w:val="20"/>
                <w:szCs w:val="20"/>
                <w:color w:val="auto"/>
              </w:rPr>
            </w:pPr>
            <w:r>
              <w:rPr>
                <w:rFonts w:ascii="Arial" w:cs="Arial" w:eastAsia="Arial" w:hAnsi="Arial"/>
                <w:sz w:val="14"/>
                <w:szCs w:val="14"/>
                <w:color w:val="auto"/>
              </w:rPr>
              <w:t>(8,014)</w:t>
            </w:r>
          </w:p>
        </w:tc>
        <w:tc>
          <w:tcPr>
            <w:tcW w:w="1120" w:type="dxa"/>
            <w:vAlign w:val="bottom"/>
          </w:tcPr>
          <w:p>
            <w:pPr>
              <w:jc w:val="right"/>
              <w:spacing w:after="0"/>
              <w:rPr>
                <w:sz w:val="20"/>
                <w:szCs w:val="20"/>
                <w:color w:val="auto"/>
              </w:rPr>
            </w:pPr>
            <w:r>
              <w:rPr>
                <w:rFonts w:ascii="Arial" w:cs="Arial" w:eastAsia="Arial" w:hAnsi="Arial"/>
                <w:sz w:val="14"/>
                <w:szCs w:val="14"/>
                <w:color w:val="auto"/>
              </w:rPr>
              <w:t>(8,014)</w:t>
            </w:r>
          </w:p>
        </w:tc>
        <w:tc>
          <w:tcPr>
            <w:tcW w:w="0" w:type="dxa"/>
            <w:vAlign w:val="bottom"/>
          </w:tcPr>
          <w:p>
            <w:pPr>
              <w:spacing w:after="0"/>
              <w:rPr>
                <w:sz w:val="1"/>
                <w:szCs w:val="1"/>
                <w:color w:val="auto"/>
              </w:rPr>
            </w:pPr>
          </w:p>
        </w:tc>
      </w:tr>
      <w:tr>
        <w:trPr>
          <w:trHeight w:val="176"/>
        </w:trPr>
        <w:tc>
          <w:tcPr>
            <w:tcW w:w="3380" w:type="dxa"/>
            <w:vAlign w:val="bottom"/>
          </w:tcPr>
          <w:p>
            <w:pPr>
              <w:spacing w:after="0"/>
              <w:rPr>
                <w:sz w:val="20"/>
                <w:szCs w:val="20"/>
                <w:color w:val="auto"/>
              </w:rPr>
            </w:pPr>
            <w:r>
              <w:rPr>
                <w:rFonts w:ascii="Arial" w:cs="Arial" w:eastAsia="Arial" w:hAnsi="Arial"/>
                <w:sz w:val="14"/>
                <w:szCs w:val="14"/>
                <w:color w:val="auto"/>
              </w:rPr>
              <w:t>Extraordinary cash dividends, note 14(d)</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3"/>
          </w:tcPr>
          <w:p>
            <w:pPr>
              <w:jc w:val="right"/>
              <w:ind w:right="20"/>
              <w:spacing w:after="0"/>
              <w:rPr>
                <w:sz w:val="20"/>
                <w:szCs w:val="20"/>
                <w:color w:val="auto"/>
              </w:rPr>
            </w:pPr>
            <w:r>
              <w:rPr>
                <w:rFonts w:ascii="Arial" w:cs="Arial" w:eastAsia="Arial" w:hAnsi="Arial"/>
                <w:sz w:val="14"/>
                <w:szCs w:val="14"/>
                <w:color w:val="auto"/>
              </w:rPr>
              <w:t>(15,894)</w:t>
            </w:r>
          </w:p>
        </w:tc>
        <w:tc>
          <w:tcPr>
            <w:tcW w:w="1120" w:type="dxa"/>
            <w:vAlign w:val="bottom"/>
          </w:tcPr>
          <w:p>
            <w:pPr>
              <w:jc w:val="right"/>
              <w:spacing w:after="0"/>
              <w:rPr>
                <w:sz w:val="20"/>
                <w:szCs w:val="20"/>
                <w:color w:val="auto"/>
              </w:rPr>
            </w:pPr>
            <w:r>
              <w:rPr>
                <w:rFonts w:ascii="Arial" w:cs="Arial" w:eastAsia="Arial" w:hAnsi="Arial"/>
                <w:sz w:val="14"/>
                <w:szCs w:val="14"/>
                <w:color w:val="auto"/>
              </w:rPr>
              <w:t>(15,894)</w:t>
            </w:r>
          </w:p>
        </w:tc>
        <w:tc>
          <w:tcPr>
            <w:tcW w:w="0" w:type="dxa"/>
            <w:vAlign w:val="bottom"/>
          </w:tcPr>
          <w:p>
            <w:pPr>
              <w:spacing w:after="0"/>
              <w:rPr>
                <w:sz w:val="1"/>
                <w:szCs w:val="1"/>
                <w:color w:val="auto"/>
              </w:rPr>
            </w:pPr>
          </w:p>
        </w:tc>
      </w:tr>
      <w:tr>
        <w:trPr>
          <w:trHeight w:val="152"/>
        </w:trPr>
        <w:tc>
          <w:tcPr>
            <w:tcW w:w="3380" w:type="dxa"/>
            <w:vAlign w:val="bottom"/>
          </w:tcPr>
          <w:p>
            <w:pPr>
              <w:spacing w:after="0" w:line="152" w:lineRule="exact"/>
              <w:rPr>
                <w:sz w:val="20"/>
                <w:szCs w:val="20"/>
                <w:color w:val="auto"/>
              </w:rPr>
            </w:pPr>
            <w:r>
              <w:rPr>
                <w:rFonts w:ascii="Arial" w:cs="Arial" w:eastAsia="Arial" w:hAnsi="Arial"/>
                <w:sz w:val="14"/>
                <w:szCs w:val="14"/>
                <w:color w:val="auto"/>
                <w:w w:val="89"/>
              </w:rPr>
              <w:t>Net unrealized loss from investments available-for-sale, note</w:t>
            </w: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380" w:type="dxa"/>
            <w:vAlign w:val="bottom"/>
          </w:tcPr>
          <w:p>
            <w:pPr>
              <w:spacing w:after="0"/>
              <w:rPr>
                <w:sz w:val="20"/>
                <w:szCs w:val="20"/>
                <w:color w:val="auto"/>
              </w:rPr>
            </w:pPr>
            <w:r>
              <w:rPr>
                <w:rFonts w:ascii="Arial" w:cs="Arial" w:eastAsia="Arial" w:hAnsi="Arial"/>
                <w:sz w:val="14"/>
                <w:szCs w:val="14"/>
                <w:color w:val="auto"/>
              </w:rPr>
              <w:t>6(b)</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3"/>
          </w:tcPr>
          <w:p>
            <w:pPr>
              <w:jc w:val="right"/>
              <w:ind w:right="20"/>
              <w:spacing w:after="0"/>
              <w:rPr>
                <w:sz w:val="20"/>
                <w:szCs w:val="20"/>
                <w:color w:val="auto"/>
              </w:rPr>
            </w:pPr>
            <w:r>
              <w:rPr>
                <w:rFonts w:ascii="Arial" w:cs="Arial" w:eastAsia="Arial" w:hAnsi="Arial"/>
                <w:sz w:val="14"/>
                <w:szCs w:val="14"/>
                <w:color w:val="auto"/>
              </w:rPr>
              <w:t>(3,096)</w:t>
            </w:r>
          </w:p>
        </w:tc>
        <w:tc>
          <w:tcPr>
            <w:tcW w:w="1120" w:type="dxa"/>
            <w:vAlign w:val="bottom"/>
          </w:tcPr>
          <w:p>
            <w:pPr>
              <w:jc w:val="right"/>
              <w:spacing w:after="0"/>
              <w:rPr>
                <w:sz w:val="20"/>
                <w:szCs w:val="20"/>
                <w:color w:val="auto"/>
              </w:rPr>
            </w:pPr>
            <w:r>
              <w:rPr>
                <w:rFonts w:ascii="Arial" w:cs="Arial" w:eastAsia="Arial" w:hAnsi="Arial"/>
                <w:sz w:val="14"/>
                <w:szCs w:val="14"/>
                <w:color w:val="auto"/>
              </w:rPr>
              <w:t>(3,096)</w:t>
            </w:r>
          </w:p>
        </w:tc>
        <w:tc>
          <w:tcPr>
            <w:tcW w:w="0" w:type="dxa"/>
            <w:vAlign w:val="bottom"/>
          </w:tcPr>
          <w:p>
            <w:pPr>
              <w:spacing w:after="0"/>
              <w:rPr>
                <w:sz w:val="1"/>
                <w:szCs w:val="1"/>
                <w:color w:val="auto"/>
              </w:rPr>
            </w:pPr>
          </w:p>
        </w:tc>
      </w:tr>
      <w:tr>
        <w:trPr>
          <w:trHeight w:val="152"/>
        </w:trPr>
        <w:tc>
          <w:tcPr>
            <w:tcW w:w="3380" w:type="dxa"/>
            <w:vAlign w:val="bottom"/>
          </w:tcPr>
          <w:p>
            <w:pPr>
              <w:spacing w:after="0" w:line="152" w:lineRule="exact"/>
              <w:rPr>
                <w:sz w:val="20"/>
                <w:szCs w:val="20"/>
                <w:color w:val="auto"/>
              </w:rPr>
            </w:pPr>
            <w:r>
              <w:rPr>
                <w:rFonts w:ascii="Arial" w:cs="Arial" w:eastAsia="Arial" w:hAnsi="Arial"/>
                <w:sz w:val="14"/>
                <w:szCs w:val="14"/>
                <w:color w:val="auto"/>
                <w:w w:val="90"/>
              </w:rPr>
              <w:t>Transfer of net realized gain from investments available-for-</w:t>
            </w: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380" w:type="dxa"/>
            <w:vAlign w:val="bottom"/>
          </w:tcPr>
          <w:p>
            <w:pPr>
              <w:spacing w:after="0"/>
              <w:rPr>
                <w:sz w:val="20"/>
                <w:szCs w:val="20"/>
                <w:color w:val="auto"/>
              </w:rPr>
            </w:pPr>
            <w:r>
              <w:rPr>
                <w:rFonts w:ascii="Arial" w:cs="Arial" w:eastAsia="Arial" w:hAnsi="Arial"/>
                <w:sz w:val="14"/>
                <w:szCs w:val="14"/>
                <w:color w:val="auto"/>
              </w:rPr>
              <w:t>sale to the operations results, note 6(b)</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3"/>
          </w:tcPr>
          <w:p>
            <w:pPr>
              <w:jc w:val="right"/>
              <w:ind w:right="20"/>
              <w:spacing w:after="0"/>
              <w:rPr>
                <w:sz w:val="20"/>
                <w:szCs w:val="20"/>
                <w:color w:val="auto"/>
              </w:rPr>
            </w:pPr>
            <w:r>
              <w:rPr>
                <w:rFonts w:ascii="Arial" w:cs="Arial" w:eastAsia="Arial" w:hAnsi="Arial"/>
                <w:sz w:val="14"/>
                <w:szCs w:val="14"/>
                <w:color w:val="auto"/>
              </w:rPr>
              <w:t>(8,583)</w:t>
            </w:r>
          </w:p>
        </w:tc>
        <w:tc>
          <w:tcPr>
            <w:tcW w:w="1120" w:type="dxa"/>
            <w:vAlign w:val="bottom"/>
          </w:tcPr>
          <w:p>
            <w:pPr>
              <w:jc w:val="right"/>
              <w:spacing w:after="0"/>
              <w:rPr>
                <w:sz w:val="20"/>
                <w:szCs w:val="20"/>
                <w:color w:val="auto"/>
              </w:rPr>
            </w:pPr>
            <w:r>
              <w:rPr>
                <w:rFonts w:ascii="Arial" w:cs="Arial" w:eastAsia="Arial" w:hAnsi="Arial"/>
                <w:sz w:val="14"/>
                <w:szCs w:val="14"/>
                <w:color w:val="auto"/>
              </w:rPr>
              <w:t>(8,583)</w:t>
            </w:r>
          </w:p>
        </w:tc>
        <w:tc>
          <w:tcPr>
            <w:tcW w:w="0" w:type="dxa"/>
            <w:vAlign w:val="bottom"/>
          </w:tcPr>
          <w:p>
            <w:pPr>
              <w:spacing w:after="0"/>
              <w:rPr>
                <w:sz w:val="1"/>
                <w:szCs w:val="1"/>
                <w:color w:val="auto"/>
              </w:rPr>
            </w:pPr>
          </w:p>
        </w:tc>
      </w:tr>
      <w:tr>
        <w:trPr>
          <w:trHeight w:val="176"/>
        </w:trPr>
        <w:tc>
          <w:tcPr>
            <w:tcW w:w="3380" w:type="dxa"/>
            <w:vAlign w:val="bottom"/>
          </w:tcPr>
          <w:p>
            <w:pPr>
              <w:spacing w:after="0"/>
              <w:rPr>
                <w:sz w:val="20"/>
                <w:szCs w:val="20"/>
                <w:color w:val="auto"/>
              </w:rPr>
            </w:pPr>
            <w:r>
              <w:rPr>
                <w:rFonts w:ascii="Arial" w:cs="Arial" w:eastAsia="Arial" w:hAnsi="Arial"/>
                <w:sz w:val="14"/>
                <w:szCs w:val="14"/>
                <w:color w:val="auto"/>
              </w:rPr>
              <w:t>Transfer of retained earnings to reserve</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5,918</w:t>
            </w:r>
          </w:p>
        </w:tc>
        <w:tc>
          <w:tcPr>
            <w:tcW w:w="1160" w:type="dxa"/>
            <w:vAlign w:val="bottom"/>
            <w:gridSpan w:val="3"/>
          </w:tcPr>
          <w:p>
            <w:pPr>
              <w:jc w:val="right"/>
              <w:ind w:right="20"/>
              <w:spacing w:after="0"/>
              <w:rPr>
                <w:sz w:val="20"/>
                <w:szCs w:val="20"/>
                <w:color w:val="auto"/>
              </w:rPr>
            </w:pPr>
            <w:r>
              <w:rPr>
                <w:rFonts w:ascii="Arial" w:cs="Arial" w:eastAsia="Arial" w:hAnsi="Arial"/>
                <w:sz w:val="14"/>
                <w:szCs w:val="14"/>
                <w:color w:val="auto"/>
              </w:rPr>
              <w:t>(5,918)</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380" w:type="dxa"/>
            <w:vAlign w:val="bottom"/>
          </w:tcPr>
          <w:p>
            <w:pPr>
              <w:spacing w:after="0"/>
              <w:rPr>
                <w:sz w:val="20"/>
                <w:szCs w:val="20"/>
                <w:color w:val="auto"/>
              </w:rPr>
            </w:pPr>
            <w:r>
              <w:rPr>
                <w:rFonts w:ascii="Arial" w:cs="Arial" w:eastAsia="Arial" w:hAnsi="Arial"/>
                <w:sz w:val="14"/>
                <w:szCs w:val="14"/>
                <w:color w:val="auto"/>
              </w:rPr>
              <w:t>Net income</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54,513</w:t>
            </w:r>
          </w:p>
        </w:tc>
        <w:tc>
          <w:tcPr>
            <w:tcW w:w="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54,513</w:t>
            </w:r>
          </w:p>
        </w:tc>
        <w:tc>
          <w:tcPr>
            <w:tcW w:w="0" w:type="dxa"/>
            <w:vAlign w:val="bottom"/>
          </w:tcPr>
          <w:p>
            <w:pPr>
              <w:spacing w:after="0"/>
              <w:rPr>
                <w:sz w:val="1"/>
                <w:szCs w:val="1"/>
                <w:color w:val="auto"/>
              </w:rPr>
            </w:pPr>
          </w:p>
        </w:tc>
      </w:tr>
      <w:tr>
        <w:trPr>
          <w:trHeight w:val="122"/>
        </w:trPr>
        <w:tc>
          <w:tcPr>
            <w:tcW w:w="3380" w:type="dxa"/>
            <w:vAlign w:val="bottom"/>
            <w:vMerge w:val="restart"/>
          </w:tcPr>
          <w:p>
            <w:pPr>
              <w:spacing w:after="0"/>
              <w:rPr>
                <w:sz w:val="20"/>
                <w:szCs w:val="20"/>
                <w:color w:val="auto"/>
              </w:rPr>
            </w:pPr>
            <w:r>
              <w:rPr>
                <w:rFonts w:ascii="Arial" w:cs="Arial" w:eastAsia="Arial" w:hAnsi="Arial"/>
                <w:sz w:val="14"/>
                <w:szCs w:val="14"/>
                <w:b w:val="1"/>
                <w:bCs w:val="1"/>
                <w:color w:val="auto"/>
              </w:rPr>
              <w:t>Balances as of December 31, 2001</w:t>
            </w:r>
          </w:p>
        </w:tc>
        <w:tc>
          <w:tcPr>
            <w:tcW w:w="112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290"/>
        </w:trPr>
        <w:tc>
          <w:tcPr>
            <w:tcW w:w="3380" w:type="dxa"/>
            <w:vAlign w:val="bottom"/>
            <w:vMerge w:val="continue"/>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94,382</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471,912</w:t>
            </w:r>
          </w:p>
        </w:tc>
        <w:tc>
          <w:tcPr>
            <w:tcW w:w="1160" w:type="dxa"/>
            <w:vAlign w:val="bottom"/>
            <w:gridSpan w:val="3"/>
          </w:tcPr>
          <w:p>
            <w:pPr>
              <w:jc w:val="right"/>
              <w:ind w:right="20"/>
              <w:spacing w:after="0"/>
              <w:rPr>
                <w:sz w:val="20"/>
                <w:szCs w:val="20"/>
                <w:color w:val="auto"/>
              </w:rPr>
            </w:pPr>
            <w:r>
              <w:rPr>
                <w:rFonts w:ascii="Arial" w:cs="Arial" w:eastAsia="Arial" w:hAnsi="Arial"/>
                <w:sz w:val="14"/>
                <w:szCs w:val="14"/>
                <w:color w:val="auto"/>
              </w:rPr>
              <w:t>(74,605)</w:t>
            </w:r>
          </w:p>
        </w:tc>
        <w:tc>
          <w:tcPr>
            <w:tcW w:w="1120" w:type="dxa"/>
            <w:vAlign w:val="bottom"/>
          </w:tcPr>
          <w:p>
            <w:pPr>
              <w:jc w:val="right"/>
              <w:spacing w:after="0"/>
              <w:rPr>
                <w:sz w:val="20"/>
                <w:szCs w:val="20"/>
                <w:color w:val="auto"/>
              </w:rPr>
            </w:pPr>
            <w:r>
              <w:rPr>
                <w:rFonts w:ascii="Arial" w:cs="Arial" w:eastAsia="Arial" w:hAnsi="Arial"/>
                <w:sz w:val="14"/>
                <w:szCs w:val="14"/>
                <w:color w:val="auto"/>
              </w:rPr>
              <w:t>139,020</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104,104</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156,342</w:t>
            </w:r>
          </w:p>
        </w:tc>
        <w:tc>
          <w:tcPr>
            <w:tcW w:w="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796,773</w:t>
            </w:r>
          </w:p>
        </w:tc>
        <w:tc>
          <w:tcPr>
            <w:tcW w:w="0" w:type="dxa"/>
            <w:vAlign w:val="bottom"/>
          </w:tcPr>
          <w:p>
            <w:pPr>
              <w:spacing w:after="0"/>
              <w:rPr>
                <w:sz w:val="1"/>
                <w:szCs w:val="1"/>
                <w:color w:val="auto"/>
              </w:rPr>
            </w:pPr>
          </w:p>
        </w:tc>
      </w:tr>
      <w:tr>
        <w:trPr>
          <w:trHeight w:val="176"/>
        </w:trPr>
        <w:tc>
          <w:tcPr>
            <w:tcW w:w="3380" w:type="dxa"/>
            <w:vAlign w:val="bottom"/>
          </w:tcPr>
          <w:p>
            <w:pPr>
              <w:spacing w:after="0"/>
              <w:rPr>
                <w:sz w:val="20"/>
                <w:szCs w:val="20"/>
                <w:color w:val="auto"/>
              </w:rPr>
            </w:pPr>
            <w:r>
              <w:rPr>
                <w:rFonts w:ascii="Arial" w:cs="Arial" w:eastAsia="Arial" w:hAnsi="Arial"/>
                <w:sz w:val="14"/>
                <w:szCs w:val="14"/>
                <w:color w:val="auto"/>
              </w:rPr>
              <w:t>Decrease in treasury stock</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1,428</w:t>
            </w:r>
          </w:p>
        </w:tc>
        <w:tc>
          <w:tcPr>
            <w:tcW w:w="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1,480</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2,908</w:t>
            </w:r>
          </w:p>
        </w:tc>
        <w:tc>
          <w:tcPr>
            <w:tcW w:w="0" w:type="dxa"/>
            <w:vAlign w:val="bottom"/>
          </w:tcPr>
          <w:p>
            <w:pPr>
              <w:spacing w:after="0"/>
              <w:rPr>
                <w:sz w:val="1"/>
                <w:szCs w:val="1"/>
                <w:color w:val="auto"/>
              </w:rPr>
            </w:pPr>
          </w:p>
        </w:tc>
      </w:tr>
      <w:tr>
        <w:trPr>
          <w:trHeight w:val="176"/>
        </w:trPr>
        <w:tc>
          <w:tcPr>
            <w:tcW w:w="3380" w:type="dxa"/>
            <w:vAlign w:val="bottom"/>
          </w:tcPr>
          <w:p>
            <w:pPr>
              <w:spacing w:after="0"/>
              <w:rPr>
                <w:sz w:val="20"/>
                <w:szCs w:val="20"/>
                <w:color w:val="auto"/>
              </w:rPr>
            </w:pPr>
            <w:r>
              <w:rPr>
                <w:rFonts w:ascii="Arial" w:cs="Arial" w:eastAsia="Arial" w:hAnsi="Arial"/>
                <w:sz w:val="14"/>
                <w:szCs w:val="14"/>
                <w:color w:val="auto"/>
              </w:rPr>
              <w:t>Cash dividends, note 14(d)</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3"/>
          </w:tcPr>
          <w:p>
            <w:pPr>
              <w:jc w:val="right"/>
              <w:ind w:right="20"/>
              <w:spacing w:after="0"/>
              <w:rPr>
                <w:sz w:val="20"/>
                <w:szCs w:val="20"/>
                <w:color w:val="auto"/>
              </w:rPr>
            </w:pPr>
            <w:r>
              <w:rPr>
                <w:rFonts w:ascii="Arial" w:cs="Arial" w:eastAsia="Arial" w:hAnsi="Arial"/>
                <w:sz w:val="14"/>
                <w:szCs w:val="14"/>
                <w:color w:val="auto"/>
              </w:rPr>
              <w:t>(15,987)</w:t>
            </w:r>
          </w:p>
        </w:tc>
        <w:tc>
          <w:tcPr>
            <w:tcW w:w="1120" w:type="dxa"/>
            <w:vAlign w:val="bottom"/>
          </w:tcPr>
          <w:p>
            <w:pPr>
              <w:jc w:val="right"/>
              <w:spacing w:after="0"/>
              <w:rPr>
                <w:sz w:val="20"/>
                <w:szCs w:val="20"/>
                <w:color w:val="auto"/>
              </w:rPr>
            </w:pPr>
            <w:r>
              <w:rPr>
                <w:rFonts w:ascii="Arial" w:cs="Arial" w:eastAsia="Arial" w:hAnsi="Arial"/>
                <w:sz w:val="14"/>
                <w:szCs w:val="14"/>
                <w:color w:val="auto"/>
              </w:rPr>
              <w:t>(15,987)</w:t>
            </w:r>
          </w:p>
        </w:tc>
        <w:tc>
          <w:tcPr>
            <w:tcW w:w="0" w:type="dxa"/>
            <w:vAlign w:val="bottom"/>
          </w:tcPr>
          <w:p>
            <w:pPr>
              <w:spacing w:after="0"/>
              <w:rPr>
                <w:sz w:val="1"/>
                <w:szCs w:val="1"/>
                <w:color w:val="auto"/>
              </w:rPr>
            </w:pPr>
          </w:p>
        </w:tc>
      </w:tr>
      <w:tr>
        <w:trPr>
          <w:trHeight w:val="152"/>
        </w:trPr>
        <w:tc>
          <w:tcPr>
            <w:tcW w:w="3380" w:type="dxa"/>
            <w:vAlign w:val="bottom"/>
          </w:tcPr>
          <w:p>
            <w:pPr>
              <w:spacing w:after="0" w:line="152" w:lineRule="exact"/>
              <w:rPr>
                <w:sz w:val="20"/>
                <w:szCs w:val="20"/>
                <w:color w:val="auto"/>
              </w:rPr>
            </w:pPr>
            <w:r>
              <w:rPr>
                <w:rFonts w:ascii="Arial" w:cs="Arial" w:eastAsia="Arial" w:hAnsi="Arial"/>
                <w:sz w:val="14"/>
                <w:szCs w:val="14"/>
                <w:color w:val="auto"/>
                <w:w w:val="89"/>
              </w:rPr>
              <w:t>Net unrealized loss from investments available-for-sale, note</w:t>
            </w: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380" w:type="dxa"/>
            <w:vAlign w:val="bottom"/>
          </w:tcPr>
          <w:p>
            <w:pPr>
              <w:spacing w:after="0"/>
              <w:rPr>
                <w:sz w:val="20"/>
                <w:szCs w:val="20"/>
                <w:color w:val="auto"/>
              </w:rPr>
            </w:pPr>
            <w:r>
              <w:rPr>
                <w:rFonts w:ascii="Arial" w:cs="Arial" w:eastAsia="Arial" w:hAnsi="Arial"/>
                <w:sz w:val="14"/>
                <w:szCs w:val="14"/>
                <w:color w:val="auto"/>
              </w:rPr>
              <w:t>6(b)</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3"/>
          </w:tcPr>
          <w:p>
            <w:pPr>
              <w:jc w:val="right"/>
              <w:ind w:right="20"/>
              <w:spacing w:after="0"/>
              <w:rPr>
                <w:sz w:val="20"/>
                <w:szCs w:val="20"/>
                <w:color w:val="auto"/>
              </w:rPr>
            </w:pPr>
            <w:r>
              <w:rPr>
                <w:rFonts w:ascii="Arial" w:cs="Arial" w:eastAsia="Arial" w:hAnsi="Arial"/>
                <w:sz w:val="14"/>
                <w:szCs w:val="14"/>
                <w:color w:val="auto"/>
              </w:rPr>
              <w:t>(14,444)</w:t>
            </w:r>
          </w:p>
        </w:tc>
        <w:tc>
          <w:tcPr>
            <w:tcW w:w="1120" w:type="dxa"/>
            <w:vAlign w:val="bottom"/>
          </w:tcPr>
          <w:p>
            <w:pPr>
              <w:jc w:val="right"/>
              <w:spacing w:after="0"/>
              <w:rPr>
                <w:sz w:val="20"/>
                <w:szCs w:val="20"/>
                <w:color w:val="auto"/>
              </w:rPr>
            </w:pPr>
            <w:r>
              <w:rPr>
                <w:rFonts w:ascii="Arial" w:cs="Arial" w:eastAsia="Arial" w:hAnsi="Arial"/>
                <w:sz w:val="14"/>
                <w:szCs w:val="14"/>
                <w:color w:val="auto"/>
              </w:rPr>
              <w:t>(14,444)</w:t>
            </w:r>
          </w:p>
        </w:tc>
        <w:tc>
          <w:tcPr>
            <w:tcW w:w="0" w:type="dxa"/>
            <w:vAlign w:val="bottom"/>
          </w:tcPr>
          <w:p>
            <w:pPr>
              <w:spacing w:after="0"/>
              <w:rPr>
                <w:sz w:val="1"/>
                <w:szCs w:val="1"/>
                <w:color w:val="auto"/>
              </w:rPr>
            </w:pPr>
          </w:p>
        </w:tc>
      </w:tr>
      <w:tr>
        <w:trPr>
          <w:trHeight w:val="152"/>
        </w:trPr>
        <w:tc>
          <w:tcPr>
            <w:tcW w:w="3380" w:type="dxa"/>
            <w:vAlign w:val="bottom"/>
          </w:tcPr>
          <w:p>
            <w:pPr>
              <w:spacing w:after="0" w:line="152" w:lineRule="exact"/>
              <w:rPr>
                <w:sz w:val="20"/>
                <w:szCs w:val="20"/>
                <w:color w:val="auto"/>
              </w:rPr>
            </w:pPr>
            <w:r>
              <w:rPr>
                <w:rFonts w:ascii="Arial" w:cs="Arial" w:eastAsia="Arial" w:hAnsi="Arial"/>
                <w:sz w:val="14"/>
                <w:szCs w:val="14"/>
                <w:color w:val="auto"/>
                <w:w w:val="96"/>
              </w:rPr>
              <w:t>Transfer of net realized loss and impairment losses from</w:t>
            </w: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line="149" w:lineRule="exact"/>
              <w:rPr>
                <w:sz w:val="20"/>
                <w:szCs w:val="20"/>
                <w:color w:val="auto"/>
              </w:rPr>
            </w:pPr>
            <w:r>
              <w:rPr>
                <w:rFonts w:ascii="Arial" w:cs="Arial" w:eastAsia="Arial" w:hAnsi="Arial"/>
                <w:sz w:val="14"/>
                <w:szCs w:val="14"/>
                <w:color w:val="auto"/>
                <w:w w:val="88"/>
              </w:rPr>
              <w:t>investments available-for-sale to the operations results, net of</w:t>
            </w: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380" w:type="dxa"/>
            <w:vAlign w:val="bottom"/>
          </w:tcPr>
          <w:p>
            <w:pPr>
              <w:spacing w:after="0"/>
              <w:rPr>
                <w:sz w:val="20"/>
                <w:szCs w:val="20"/>
                <w:color w:val="auto"/>
              </w:rPr>
            </w:pPr>
            <w:r>
              <w:rPr>
                <w:rFonts w:ascii="Arial" w:cs="Arial" w:eastAsia="Arial" w:hAnsi="Arial"/>
                <w:sz w:val="14"/>
                <w:szCs w:val="14"/>
                <w:color w:val="auto"/>
              </w:rPr>
              <w:t>realized gains, note 6(b)</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12,167</w:t>
            </w:r>
          </w:p>
        </w:tc>
        <w:tc>
          <w:tcPr>
            <w:tcW w:w="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12,167</w:t>
            </w:r>
          </w:p>
        </w:tc>
        <w:tc>
          <w:tcPr>
            <w:tcW w:w="0" w:type="dxa"/>
            <w:vAlign w:val="bottom"/>
          </w:tcPr>
          <w:p>
            <w:pPr>
              <w:spacing w:after="0"/>
              <w:rPr>
                <w:sz w:val="1"/>
                <w:szCs w:val="1"/>
                <w:color w:val="auto"/>
              </w:rPr>
            </w:pPr>
          </w:p>
        </w:tc>
      </w:tr>
      <w:tr>
        <w:trPr>
          <w:trHeight w:val="176"/>
        </w:trPr>
        <w:tc>
          <w:tcPr>
            <w:tcW w:w="3380" w:type="dxa"/>
            <w:vAlign w:val="bottom"/>
          </w:tcPr>
          <w:p>
            <w:pPr>
              <w:spacing w:after="0"/>
              <w:rPr>
                <w:sz w:val="20"/>
                <w:szCs w:val="20"/>
                <w:color w:val="auto"/>
              </w:rPr>
            </w:pPr>
            <w:r>
              <w:rPr>
                <w:rFonts w:ascii="Arial" w:cs="Arial" w:eastAsia="Arial" w:hAnsi="Arial"/>
                <w:sz w:val="14"/>
                <w:szCs w:val="14"/>
                <w:color w:val="auto"/>
              </w:rPr>
              <w:t>Net income</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42,383</w:t>
            </w:r>
          </w:p>
        </w:tc>
        <w:tc>
          <w:tcPr>
            <w:tcW w:w="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42,383</w:t>
            </w:r>
          </w:p>
        </w:tc>
        <w:tc>
          <w:tcPr>
            <w:tcW w:w="0" w:type="dxa"/>
            <w:vAlign w:val="bottom"/>
          </w:tcPr>
          <w:p>
            <w:pPr>
              <w:spacing w:after="0"/>
              <w:rPr>
                <w:sz w:val="1"/>
                <w:szCs w:val="1"/>
                <w:color w:val="auto"/>
              </w:rPr>
            </w:pPr>
          </w:p>
        </w:tc>
      </w:tr>
      <w:tr>
        <w:trPr>
          <w:trHeight w:val="122"/>
        </w:trPr>
        <w:tc>
          <w:tcPr>
            <w:tcW w:w="3380" w:type="dxa"/>
            <w:vAlign w:val="bottom"/>
            <w:vMerge w:val="restart"/>
          </w:tcPr>
          <w:p>
            <w:pPr>
              <w:spacing w:after="0"/>
              <w:rPr>
                <w:sz w:val="20"/>
                <w:szCs w:val="20"/>
                <w:color w:val="auto"/>
              </w:rPr>
            </w:pPr>
            <w:r>
              <w:rPr>
                <w:rFonts w:ascii="Arial" w:cs="Arial" w:eastAsia="Arial" w:hAnsi="Arial"/>
                <w:sz w:val="14"/>
                <w:szCs w:val="14"/>
                <w:b w:val="1"/>
                <w:bCs w:val="1"/>
                <w:color w:val="auto"/>
              </w:rPr>
              <w:t>Balances as of December 31, 2002</w:t>
            </w:r>
          </w:p>
        </w:tc>
        <w:tc>
          <w:tcPr>
            <w:tcW w:w="112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290"/>
        </w:trPr>
        <w:tc>
          <w:tcPr>
            <w:tcW w:w="3380" w:type="dxa"/>
            <w:vAlign w:val="bottom"/>
            <w:vMerge w:val="continue"/>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94,382</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471,912</w:t>
            </w:r>
          </w:p>
        </w:tc>
        <w:tc>
          <w:tcPr>
            <w:tcW w:w="1160" w:type="dxa"/>
            <w:vAlign w:val="bottom"/>
            <w:gridSpan w:val="3"/>
          </w:tcPr>
          <w:p>
            <w:pPr>
              <w:jc w:val="right"/>
              <w:ind w:right="20"/>
              <w:spacing w:after="0"/>
              <w:rPr>
                <w:sz w:val="20"/>
                <w:szCs w:val="20"/>
                <w:color w:val="auto"/>
              </w:rPr>
            </w:pPr>
            <w:r>
              <w:rPr>
                <w:rFonts w:ascii="Arial" w:cs="Arial" w:eastAsia="Arial" w:hAnsi="Arial"/>
                <w:sz w:val="14"/>
                <w:szCs w:val="14"/>
                <w:color w:val="auto"/>
              </w:rPr>
              <w:t>(73,177)</w:t>
            </w:r>
          </w:p>
        </w:tc>
        <w:tc>
          <w:tcPr>
            <w:tcW w:w="1120" w:type="dxa"/>
            <w:vAlign w:val="bottom"/>
          </w:tcPr>
          <w:p>
            <w:pPr>
              <w:jc w:val="right"/>
              <w:spacing w:after="0"/>
              <w:rPr>
                <w:sz w:val="20"/>
                <w:szCs w:val="20"/>
                <w:color w:val="auto"/>
              </w:rPr>
            </w:pPr>
            <w:r>
              <w:rPr>
                <w:rFonts w:ascii="Arial" w:cs="Arial" w:eastAsia="Arial" w:hAnsi="Arial"/>
                <w:sz w:val="14"/>
                <w:szCs w:val="14"/>
                <w:color w:val="auto"/>
              </w:rPr>
              <w:t>140,500</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104,104</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180,461</w:t>
            </w:r>
          </w:p>
        </w:tc>
        <w:tc>
          <w:tcPr>
            <w:tcW w:w="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823,800</w:t>
            </w:r>
          </w:p>
        </w:tc>
        <w:tc>
          <w:tcPr>
            <w:tcW w:w="0" w:type="dxa"/>
            <w:vAlign w:val="bottom"/>
          </w:tcPr>
          <w:p>
            <w:pPr>
              <w:spacing w:after="0"/>
              <w:rPr>
                <w:sz w:val="1"/>
                <w:szCs w:val="1"/>
                <w:color w:val="auto"/>
              </w:rPr>
            </w:pPr>
          </w:p>
        </w:tc>
      </w:tr>
      <w:tr>
        <w:trPr>
          <w:trHeight w:val="351"/>
        </w:trPr>
        <w:tc>
          <w:tcPr>
            <w:tcW w:w="3380" w:type="dxa"/>
            <w:vAlign w:val="bottom"/>
          </w:tcPr>
          <w:p>
            <w:pPr>
              <w:spacing w:after="0"/>
              <w:rPr>
                <w:sz w:val="20"/>
                <w:szCs w:val="20"/>
                <w:color w:val="auto"/>
              </w:rPr>
            </w:pPr>
            <w:r>
              <w:rPr>
                <w:rFonts w:ascii="Arial" w:cs="Arial" w:eastAsia="Arial" w:hAnsi="Arial"/>
                <w:sz w:val="14"/>
                <w:szCs w:val="14"/>
                <w:b w:val="1"/>
                <w:bCs w:val="1"/>
                <w:color w:val="auto"/>
              </w:rPr>
              <w:t>Balances as of January 1, 2003</w:t>
            </w:r>
          </w:p>
        </w:tc>
        <w:tc>
          <w:tcPr>
            <w:tcW w:w="1120" w:type="dxa"/>
            <w:vAlign w:val="bottom"/>
          </w:tcPr>
          <w:p>
            <w:pPr>
              <w:jc w:val="right"/>
              <w:spacing w:after="0"/>
              <w:rPr>
                <w:sz w:val="20"/>
                <w:szCs w:val="20"/>
                <w:color w:val="auto"/>
              </w:rPr>
            </w:pPr>
            <w:r>
              <w:rPr>
                <w:rFonts w:ascii="Arial" w:cs="Arial" w:eastAsia="Arial" w:hAnsi="Arial"/>
                <w:sz w:val="14"/>
                <w:szCs w:val="14"/>
                <w:color w:val="auto"/>
              </w:rPr>
              <w:t>94,382</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471,912</w:t>
            </w:r>
          </w:p>
        </w:tc>
        <w:tc>
          <w:tcPr>
            <w:tcW w:w="1160" w:type="dxa"/>
            <w:vAlign w:val="bottom"/>
            <w:gridSpan w:val="3"/>
          </w:tcPr>
          <w:p>
            <w:pPr>
              <w:jc w:val="right"/>
              <w:ind w:right="20"/>
              <w:spacing w:after="0"/>
              <w:rPr>
                <w:sz w:val="20"/>
                <w:szCs w:val="20"/>
                <w:color w:val="auto"/>
              </w:rPr>
            </w:pPr>
            <w:r>
              <w:rPr>
                <w:rFonts w:ascii="Arial" w:cs="Arial" w:eastAsia="Arial" w:hAnsi="Arial"/>
                <w:sz w:val="14"/>
                <w:szCs w:val="14"/>
                <w:color w:val="auto"/>
              </w:rPr>
              <w:t>(73,177)</w:t>
            </w:r>
          </w:p>
        </w:tc>
        <w:tc>
          <w:tcPr>
            <w:tcW w:w="1120" w:type="dxa"/>
            <w:vAlign w:val="bottom"/>
          </w:tcPr>
          <w:p>
            <w:pPr>
              <w:jc w:val="right"/>
              <w:spacing w:after="0"/>
              <w:rPr>
                <w:sz w:val="20"/>
                <w:szCs w:val="20"/>
                <w:color w:val="auto"/>
              </w:rPr>
            </w:pPr>
            <w:r>
              <w:rPr>
                <w:rFonts w:ascii="Arial" w:cs="Arial" w:eastAsia="Arial" w:hAnsi="Arial"/>
                <w:sz w:val="14"/>
                <w:szCs w:val="14"/>
                <w:color w:val="auto"/>
              </w:rPr>
              <w:t>140,500</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104,104</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180,461</w:t>
            </w:r>
          </w:p>
        </w:tc>
        <w:tc>
          <w:tcPr>
            <w:tcW w:w="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823,800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2865120</wp:posOffset>
            </wp:positionH>
            <wp:positionV relativeFrom="paragraph">
              <wp:posOffset>-1546860</wp:posOffset>
            </wp:positionV>
            <wp:extent cx="34290" cy="342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-1546860</wp:posOffset>
            </wp:positionV>
            <wp:extent cx="34290" cy="342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4323080</wp:posOffset>
            </wp:positionH>
            <wp:positionV relativeFrom="paragraph">
              <wp:posOffset>-1546860</wp:posOffset>
            </wp:positionV>
            <wp:extent cx="34290" cy="342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-1546860</wp:posOffset>
            </wp:positionV>
            <wp:extent cx="34290" cy="342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5772785</wp:posOffset>
            </wp:positionH>
            <wp:positionV relativeFrom="paragraph">
              <wp:posOffset>-1546860</wp:posOffset>
            </wp:positionV>
            <wp:extent cx="34290" cy="342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-1546860</wp:posOffset>
            </wp:positionV>
            <wp:extent cx="34290" cy="342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-1546860</wp:posOffset>
            </wp:positionV>
            <wp:extent cx="34290" cy="342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2865120</wp:posOffset>
            </wp:positionH>
            <wp:positionV relativeFrom="paragraph">
              <wp:posOffset>-431800</wp:posOffset>
            </wp:positionV>
            <wp:extent cx="34290" cy="342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-431800</wp:posOffset>
            </wp:positionV>
            <wp:extent cx="34290" cy="342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4323080</wp:posOffset>
            </wp:positionH>
            <wp:positionV relativeFrom="paragraph">
              <wp:posOffset>-431800</wp:posOffset>
            </wp:positionV>
            <wp:extent cx="34290" cy="342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-431800</wp:posOffset>
            </wp:positionV>
            <wp:extent cx="34290" cy="342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5772785</wp:posOffset>
            </wp:positionH>
            <wp:positionV relativeFrom="paragraph">
              <wp:posOffset>-431800</wp:posOffset>
            </wp:positionV>
            <wp:extent cx="34290" cy="342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-431800</wp:posOffset>
            </wp:positionV>
            <wp:extent cx="34290" cy="342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-431800</wp:posOffset>
            </wp:positionV>
            <wp:extent cx="34290" cy="342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59320" cy="342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outstanding shares,</w:t>
            </w:r>
          </w:p>
        </w:tc>
        <w:tc>
          <w:tcPr>
            <w:tcW w:w="40" w:type="dxa"/>
            <w:vAlign w:val="bottom"/>
          </w:tcPr>
          <w:p>
            <w:pPr>
              <w:spacing w:after="0"/>
              <w:rPr>
                <w:sz w:val="12"/>
                <w:szCs w:val="12"/>
                <w:color w:val="auto"/>
              </w:rPr>
            </w:pPr>
          </w:p>
        </w:tc>
        <w:tc>
          <w:tcPr>
            <w:tcW w:w="1120" w:type="dxa"/>
            <w:vAlign w:val="bottom"/>
          </w:tcPr>
          <w:p>
            <w:pPr>
              <w:jc w:val="right"/>
              <w:ind w:right="292"/>
              <w:spacing w:after="0" w:line="149" w:lineRule="exact"/>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Retained</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3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7"/>
              </w:rPr>
              <w:t>not 20</w:t>
            </w:r>
          </w:p>
        </w:tc>
        <w:tc>
          <w:tcPr>
            <w:tcW w:w="40" w:type="dxa"/>
            <w:vAlign w:val="bottom"/>
          </w:tcPr>
          <w:p>
            <w:pPr>
              <w:spacing w:after="0"/>
              <w:rPr>
                <w:sz w:val="15"/>
                <w:szCs w:val="15"/>
                <w:color w:val="auto"/>
              </w:rPr>
            </w:pPr>
          </w:p>
        </w:tc>
        <w:tc>
          <w:tcPr>
            <w:tcW w:w="1120" w:type="dxa"/>
            <w:vAlign w:val="bottom"/>
          </w:tcPr>
          <w:p>
            <w:pPr>
              <w:jc w:val="right"/>
              <w:ind w:right="372"/>
              <w:spacing w:after="0"/>
              <w:rPr>
                <w:sz w:val="20"/>
                <w:szCs w:val="20"/>
                <w:color w:val="auto"/>
              </w:rPr>
            </w:pPr>
            <w:r>
              <w:rPr>
                <w:rFonts w:ascii="Arial" w:cs="Arial" w:eastAsia="Arial" w:hAnsi="Arial"/>
                <w:sz w:val="14"/>
                <w:szCs w:val="14"/>
                <w:b w:val="1"/>
                <w:bCs w:val="1"/>
                <w:color w:val="auto"/>
              </w:rPr>
              <w:t>stock</w:t>
            </w:r>
          </w:p>
        </w:tc>
        <w:tc>
          <w:tcPr>
            <w:tcW w:w="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6"/>
              </w:rPr>
              <w:t>Treasury stock</w:t>
            </w:r>
          </w:p>
        </w:tc>
        <w:tc>
          <w:tcPr>
            <w:tcW w:w="1120" w:type="dxa"/>
            <w:vAlign w:val="bottom"/>
          </w:tcPr>
          <w:p>
            <w:pPr>
              <w:jc w:val="right"/>
              <w:ind w:right="32"/>
              <w:spacing w:after="0"/>
              <w:rPr>
                <w:sz w:val="20"/>
                <w:szCs w:val="20"/>
                <w:color w:val="auto"/>
              </w:rPr>
            </w:pPr>
            <w:r>
              <w:rPr>
                <w:rFonts w:ascii="Arial" w:cs="Arial" w:eastAsia="Arial" w:hAnsi="Arial"/>
                <w:sz w:val="14"/>
                <w:szCs w:val="14"/>
                <w:b w:val="1"/>
                <w:bCs w:val="1"/>
                <w:color w:val="auto"/>
                <w:w w:val="98"/>
              </w:rPr>
              <w:t>Capital surplus</w:t>
            </w:r>
          </w:p>
        </w:tc>
        <w:tc>
          <w:tcPr>
            <w:tcW w:w="40" w:type="dxa"/>
            <w:vAlign w:val="bottom"/>
          </w:tcPr>
          <w:p>
            <w:pPr>
              <w:spacing w:after="0"/>
              <w:rPr>
                <w:sz w:val="15"/>
                <w:szCs w:val="15"/>
                <w:color w:val="auto"/>
              </w:rPr>
            </w:pPr>
          </w:p>
        </w:tc>
        <w:tc>
          <w:tcPr>
            <w:tcW w:w="1100" w:type="dxa"/>
            <w:vAlign w:val="bottom"/>
          </w:tcPr>
          <w:p>
            <w:pPr>
              <w:ind w:left="280"/>
              <w:spacing w:after="0"/>
              <w:rPr>
                <w:sz w:val="20"/>
                <w:szCs w:val="20"/>
                <w:color w:val="auto"/>
              </w:rPr>
            </w:pPr>
            <w:r>
              <w:rPr>
                <w:rFonts w:ascii="Arial" w:cs="Arial" w:eastAsia="Arial" w:hAnsi="Arial"/>
                <w:sz w:val="14"/>
                <w:szCs w:val="14"/>
                <w:b w:val="1"/>
                <w:bCs w:val="1"/>
                <w:color w:val="auto"/>
              </w:rPr>
              <w:t>Reserves</w:t>
            </w:r>
          </w:p>
        </w:tc>
        <w:tc>
          <w:tcPr>
            <w:tcW w:w="40" w:type="dxa"/>
            <w:vAlign w:val="bottom"/>
          </w:tcPr>
          <w:p>
            <w:pPr>
              <w:spacing w:after="0"/>
              <w:rPr>
                <w:sz w:val="15"/>
                <w:szCs w:val="15"/>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earnings</w:t>
            </w:r>
          </w:p>
        </w:tc>
        <w:tc>
          <w:tcPr>
            <w:tcW w:w="1120" w:type="dxa"/>
            <w:vAlign w:val="bottom"/>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3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87"/>
              </w:rPr>
              <w:t>(In thousands)</w:t>
            </w:r>
          </w:p>
        </w:tc>
        <w:tc>
          <w:tcPr>
            <w:tcW w:w="40" w:type="dxa"/>
            <w:vAlign w:val="bottom"/>
          </w:tcPr>
          <w:p>
            <w:pPr>
              <w:spacing w:after="0"/>
              <w:rPr>
                <w:sz w:val="15"/>
                <w:szCs w:val="15"/>
                <w:color w:val="auto"/>
              </w:rPr>
            </w:pPr>
          </w:p>
        </w:tc>
        <w:tc>
          <w:tcPr>
            <w:tcW w:w="1120" w:type="dxa"/>
            <w:vAlign w:val="bottom"/>
          </w:tcPr>
          <w:p>
            <w:pPr>
              <w:jc w:val="right"/>
              <w:ind w:right="232"/>
              <w:spacing w:after="0"/>
              <w:rPr>
                <w:sz w:val="20"/>
                <w:szCs w:val="20"/>
                <w:color w:val="auto"/>
              </w:rPr>
            </w:pPr>
            <w:r>
              <w:rPr>
                <w:rFonts w:ascii="Arial" w:cs="Arial" w:eastAsia="Arial" w:hAnsi="Arial"/>
                <w:sz w:val="14"/>
                <w:szCs w:val="14"/>
                <w:color w:val="auto"/>
              </w:rPr>
              <w:t>US$(000)</w:t>
            </w:r>
          </w:p>
        </w:tc>
        <w:tc>
          <w:tcPr>
            <w:tcW w:w="20" w:type="dxa"/>
            <w:vAlign w:val="bottom"/>
          </w:tcPr>
          <w:p>
            <w:pPr>
              <w:spacing w:after="0"/>
              <w:rPr>
                <w:sz w:val="15"/>
                <w:szCs w:val="15"/>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4"/>
                <w:szCs w:val="14"/>
                <w:color w:val="auto"/>
              </w:rPr>
              <w:t>US$(000)</w:t>
            </w:r>
          </w:p>
        </w:tc>
        <w:tc>
          <w:tcPr>
            <w:tcW w:w="1120" w:type="dxa"/>
            <w:vAlign w:val="bottom"/>
          </w:tcPr>
          <w:p>
            <w:pPr>
              <w:jc w:val="right"/>
              <w:ind w:right="212"/>
              <w:spacing w:after="0"/>
              <w:rPr>
                <w:sz w:val="20"/>
                <w:szCs w:val="20"/>
                <w:color w:val="auto"/>
              </w:rPr>
            </w:pPr>
            <w:r>
              <w:rPr>
                <w:rFonts w:ascii="Arial" w:cs="Arial" w:eastAsia="Arial" w:hAnsi="Arial"/>
                <w:sz w:val="14"/>
                <w:szCs w:val="14"/>
                <w:color w:val="auto"/>
              </w:rPr>
              <w:t>US$(000)</w:t>
            </w:r>
          </w:p>
        </w:tc>
        <w:tc>
          <w:tcPr>
            <w:tcW w:w="40" w:type="dxa"/>
            <w:vAlign w:val="bottom"/>
          </w:tcPr>
          <w:p>
            <w:pPr>
              <w:spacing w:after="0"/>
              <w:rPr>
                <w:sz w:val="15"/>
                <w:szCs w:val="15"/>
                <w:color w:val="auto"/>
              </w:rPr>
            </w:pPr>
          </w:p>
        </w:tc>
        <w:tc>
          <w:tcPr>
            <w:tcW w:w="1100" w:type="dxa"/>
            <w:vAlign w:val="bottom"/>
          </w:tcPr>
          <w:p>
            <w:pPr>
              <w:ind w:left="280"/>
              <w:spacing w:after="0"/>
              <w:rPr>
                <w:sz w:val="20"/>
                <w:szCs w:val="20"/>
                <w:color w:val="auto"/>
              </w:rPr>
            </w:pPr>
            <w:r>
              <w:rPr>
                <w:rFonts w:ascii="Arial" w:cs="Arial" w:eastAsia="Arial" w:hAnsi="Arial"/>
                <w:sz w:val="14"/>
                <w:szCs w:val="14"/>
                <w:color w:val="auto"/>
              </w:rPr>
              <w:t>US$(000)</w:t>
            </w:r>
          </w:p>
        </w:tc>
        <w:tc>
          <w:tcPr>
            <w:tcW w:w="40" w:type="dxa"/>
            <w:vAlign w:val="bottom"/>
          </w:tcPr>
          <w:p>
            <w:pPr>
              <w:spacing w:after="0"/>
              <w:rPr>
                <w:sz w:val="15"/>
                <w:szCs w:val="15"/>
                <w:color w:val="auto"/>
              </w:rPr>
            </w:pPr>
          </w:p>
        </w:tc>
        <w:tc>
          <w:tcPr>
            <w:tcW w:w="1120" w:type="dxa"/>
            <w:vAlign w:val="bottom"/>
            <w:gridSpan w:val="2"/>
          </w:tcPr>
          <w:p>
            <w:pPr>
              <w:ind w:left="280"/>
              <w:spacing w:after="0"/>
              <w:rPr>
                <w:sz w:val="20"/>
                <w:szCs w:val="20"/>
                <w:color w:val="auto"/>
              </w:rPr>
            </w:pPr>
            <w:r>
              <w:rPr>
                <w:rFonts w:ascii="Arial" w:cs="Arial" w:eastAsia="Arial" w:hAnsi="Arial"/>
                <w:sz w:val="14"/>
                <w:szCs w:val="14"/>
                <w:color w:val="auto"/>
              </w:rPr>
              <w:t>US$(000)</w:t>
            </w:r>
          </w:p>
        </w:tc>
        <w:tc>
          <w:tcPr>
            <w:tcW w:w="1120" w:type="dxa"/>
            <w:vAlign w:val="bottom"/>
          </w:tcPr>
          <w:p>
            <w:pPr>
              <w:jc w:val="right"/>
              <w:ind w:right="232"/>
              <w:spacing w:after="0"/>
              <w:rPr>
                <w:sz w:val="20"/>
                <w:szCs w:val="20"/>
                <w:color w:val="auto"/>
              </w:rPr>
            </w:pPr>
            <w:r>
              <w:rPr>
                <w:rFonts w:ascii="Arial" w:cs="Arial" w:eastAsia="Arial" w:hAnsi="Arial"/>
                <w:sz w:val="14"/>
                <w:szCs w:val="14"/>
                <w:color w:val="auto"/>
              </w:rPr>
              <w:t>US$(000)</w:t>
            </w:r>
          </w:p>
        </w:tc>
        <w:tc>
          <w:tcPr>
            <w:tcW w:w="0" w:type="dxa"/>
            <w:vAlign w:val="bottom"/>
          </w:tcPr>
          <w:p>
            <w:pPr>
              <w:spacing w:after="0"/>
              <w:rPr>
                <w:sz w:val="1"/>
                <w:szCs w:val="1"/>
                <w:color w:val="auto"/>
              </w:rPr>
            </w:pPr>
          </w:p>
        </w:tc>
      </w:tr>
      <w:tr>
        <w:trPr>
          <w:trHeight w:val="351"/>
        </w:trPr>
        <w:tc>
          <w:tcPr>
            <w:tcW w:w="3380" w:type="dxa"/>
            <w:vAlign w:val="bottom"/>
          </w:tcPr>
          <w:p>
            <w:pPr>
              <w:spacing w:after="0"/>
              <w:rPr>
                <w:sz w:val="20"/>
                <w:szCs w:val="20"/>
                <w:color w:val="auto"/>
              </w:rPr>
            </w:pPr>
            <w:r>
              <w:rPr>
                <w:rFonts w:ascii="Arial" w:cs="Arial" w:eastAsia="Arial" w:hAnsi="Arial"/>
                <w:sz w:val="14"/>
                <w:szCs w:val="14"/>
                <w:color w:val="auto"/>
              </w:rPr>
              <w:t>Cash dividends, note 14(d)</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3"/>
          </w:tcPr>
          <w:p>
            <w:pPr>
              <w:jc w:val="right"/>
              <w:ind w:right="20"/>
              <w:spacing w:after="0"/>
              <w:rPr>
                <w:sz w:val="20"/>
                <w:szCs w:val="20"/>
                <w:color w:val="auto"/>
              </w:rPr>
            </w:pPr>
            <w:r>
              <w:rPr>
                <w:rFonts w:ascii="Arial" w:cs="Arial" w:eastAsia="Arial" w:hAnsi="Arial"/>
                <w:sz w:val="14"/>
                <w:szCs w:val="14"/>
                <w:color w:val="auto"/>
              </w:rPr>
              <w:t>(23,922)</w:t>
            </w:r>
          </w:p>
        </w:tc>
        <w:tc>
          <w:tcPr>
            <w:tcW w:w="1120" w:type="dxa"/>
            <w:vAlign w:val="bottom"/>
          </w:tcPr>
          <w:p>
            <w:pPr>
              <w:jc w:val="right"/>
              <w:spacing w:after="0"/>
              <w:rPr>
                <w:sz w:val="20"/>
                <w:szCs w:val="20"/>
                <w:color w:val="auto"/>
              </w:rPr>
            </w:pPr>
            <w:r>
              <w:rPr>
                <w:rFonts w:ascii="Arial" w:cs="Arial" w:eastAsia="Arial" w:hAnsi="Arial"/>
                <w:sz w:val="14"/>
                <w:szCs w:val="14"/>
                <w:color w:val="auto"/>
              </w:rPr>
              <w:t>(23,922)</w:t>
            </w:r>
          </w:p>
        </w:tc>
        <w:tc>
          <w:tcPr>
            <w:tcW w:w="0" w:type="dxa"/>
            <w:vAlign w:val="bottom"/>
          </w:tcPr>
          <w:p>
            <w:pPr>
              <w:spacing w:after="0"/>
              <w:rPr>
                <w:sz w:val="1"/>
                <w:szCs w:val="1"/>
                <w:color w:val="auto"/>
              </w:rPr>
            </w:pPr>
          </w:p>
        </w:tc>
      </w:tr>
      <w:tr>
        <w:trPr>
          <w:trHeight w:val="152"/>
        </w:trPr>
        <w:tc>
          <w:tcPr>
            <w:tcW w:w="3380" w:type="dxa"/>
            <w:vAlign w:val="bottom"/>
          </w:tcPr>
          <w:p>
            <w:pPr>
              <w:spacing w:after="0" w:line="152" w:lineRule="exact"/>
              <w:rPr>
                <w:sz w:val="20"/>
                <w:szCs w:val="20"/>
                <w:color w:val="auto"/>
              </w:rPr>
            </w:pPr>
            <w:r>
              <w:rPr>
                <w:rFonts w:ascii="Arial" w:cs="Arial" w:eastAsia="Arial" w:hAnsi="Arial"/>
                <w:sz w:val="14"/>
                <w:szCs w:val="14"/>
                <w:color w:val="auto"/>
                <w:w w:val="89"/>
              </w:rPr>
              <w:t>Net unrealized gain from investments available-for-sale, note</w:t>
            </w: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380" w:type="dxa"/>
            <w:vAlign w:val="bottom"/>
          </w:tcPr>
          <w:p>
            <w:pPr>
              <w:spacing w:after="0"/>
              <w:rPr>
                <w:sz w:val="20"/>
                <w:szCs w:val="20"/>
                <w:color w:val="auto"/>
              </w:rPr>
            </w:pPr>
            <w:r>
              <w:rPr>
                <w:rFonts w:ascii="Arial" w:cs="Arial" w:eastAsia="Arial" w:hAnsi="Arial"/>
                <w:sz w:val="14"/>
                <w:szCs w:val="14"/>
                <w:color w:val="auto"/>
              </w:rPr>
              <w:t>6(b)</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18,844</w:t>
            </w:r>
          </w:p>
        </w:tc>
        <w:tc>
          <w:tcPr>
            <w:tcW w:w="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18,844</w:t>
            </w:r>
          </w:p>
        </w:tc>
        <w:tc>
          <w:tcPr>
            <w:tcW w:w="0" w:type="dxa"/>
            <w:vAlign w:val="bottom"/>
          </w:tcPr>
          <w:p>
            <w:pPr>
              <w:spacing w:after="0"/>
              <w:rPr>
                <w:sz w:val="1"/>
                <w:szCs w:val="1"/>
                <w:color w:val="auto"/>
              </w:rPr>
            </w:pPr>
          </w:p>
        </w:tc>
      </w:tr>
      <w:tr>
        <w:trPr>
          <w:trHeight w:val="152"/>
        </w:trPr>
        <w:tc>
          <w:tcPr>
            <w:tcW w:w="3380" w:type="dxa"/>
            <w:vAlign w:val="bottom"/>
          </w:tcPr>
          <w:p>
            <w:pPr>
              <w:spacing w:after="0" w:line="152" w:lineRule="exact"/>
              <w:rPr>
                <w:sz w:val="20"/>
                <w:szCs w:val="20"/>
                <w:color w:val="auto"/>
              </w:rPr>
            </w:pPr>
            <w:r>
              <w:rPr>
                <w:rFonts w:ascii="Arial" w:cs="Arial" w:eastAsia="Arial" w:hAnsi="Arial"/>
                <w:sz w:val="14"/>
                <w:szCs w:val="14"/>
                <w:color w:val="auto"/>
                <w:w w:val="96"/>
              </w:rPr>
              <w:t>Transfer of net realized loss and impairment losses from</w:t>
            </w: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line="149" w:lineRule="exact"/>
              <w:rPr>
                <w:sz w:val="20"/>
                <w:szCs w:val="20"/>
                <w:color w:val="auto"/>
              </w:rPr>
            </w:pPr>
            <w:r>
              <w:rPr>
                <w:rFonts w:ascii="Arial" w:cs="Arial" w:eastAsia="Arial" w:hAnsi="Arial"/>
                <w:sz w:val="14"/>
                <w:szCs w:val="14"/>
                <w:color w:val="auto"/>
                <w:w w:val="88"/>
              </w:rPr>
              <w:t>investments available-for-sale to the operations results, net of</w:t>
            </w: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380" w:type="dxa"/>
            <w:vAlign w:val="bottom"/>
          </w:tcPr>
          <w:p>
            <w:pPr>
              <w:spacing w:after="0"/>
              <w:rPr>
                <w:sz w:val="20"/>
                <w:szCs w:val="20"/>
                <w:color w:val="auto"/>
              </w:rPr>
            </w:pPr>
            <w:r>
              <w:rPr>
                <w:rFonts w:ascii="Arial" w:cs="Arial" w:eastAsia="Arial" w:hAnsi="Arial"/>
                <w:sz w:val="14"/>
                <w:szCs w:val="14"/>
                <w:color w:val="auto"/>
              </w:rPr>
              <w:t>realized gains, note 6(b)</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11,401</w:t>
            </w:r>
          </w:p>
        </w:tc>
        <w:tc>
          <w:tcPr>
            <w:tcW w:w="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11,401</w:t>
            </w:r>
          </w:p>
        </w:tc>
        <w:tc>
          <w:tcPr>
            <w:tcW w:w="0" w:type="dxa"/>
            <w:vAlign w:val="bottom"/>
          </w:tcPr>
          <w:p>
            <w:pPr>
              <w:spacing w:after="0"/>
              <w:rPr>
                <w:sz w:val="1"/>
                <w:szCs w:val="1"/>
                <w:color w:val="auto"/>
              </w:rPr>
            </w:pPr>
          </w:p>
        </w:tc>
      </w:tr>
      <w:tr>
        <w:trPr>
          <w:trHeight w:val="176"/>
        </w:trPr>
        <w:tc>
          <w:tcPr>
            <w:tcW w:w="3380" w:type="dxa"/>
            <w:vAlign w:val="bottom"/>
          </w:tcPr>
          <w:p>
            <w:pPr>
              <w:spacing w:after="0"/>
              <w:rPr>
                <w:sz w:val="20"/>
                <w:szCs w:val="20"/>
                <w:color w:val="auto"/>
              </w:rPr>
            </w:pPr>
            <w:r>
              <w:rPr>
                <w:rFonts w:ascii="Arial" w:cs="Arial" w:eastAsia="Arial" w:hAnsi="Arial"/>
                <w:sz w:val="14"/>
                <w:szCs w:val="14"/>
                <w:color w:val="auto"/>
              </w:rPr>
              <w:t>Transfer of retained earnings to reserve</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165,423</w:t>
            </w:r>
          </w:p>
        </w:tc>
        <w:tc>
          <w:tcPr>
            <w:tcW w:w="1160" w:type="dxa"/>
            <w:vAlign w:val="bottom"/>
            <w:gridSpan w:val="3"/>
          </w:tcPr>
          <w:p>
            <w:pPr>
              <w:jc w:val="right"/>
              <w:ind w:right="20"/>
              <w:spacing w:after="0"/>
              <w:rPr>
                <w:sz w:val="20"/>
                <w:szCs w:val="20"/>
                <w:color w:val="auto"/>
              </w:rPr>
            </w:pPr>
            <w:r>
              <w:rPr>
                <w:rFonts w:ascii="Arial" w:cs="Arial" w:eastAsia="Arial" w:hAnsi="Arial"/>
                <w:sz w:val="14"/>
                <w:szCs w:val="14"/>
                <w:color w:val="auto"/>
              </w:rPr>
              <w:t>(165,423)</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380" w:type="dxa"/>
            <w:vAlign w:val="bottom"/>
          </w:tcPr>
          <w:p>
            <w:pPr>
              <w:spacing w:after="0"/>
              <w:rPr>
                <w:sz w:val="20"/>
                <w:szCs w:val="20"/>
                <w:color w:val="auto"/>
              </w:rPr>
            </w:pPr>
            <w:r>
              <w:rPr>
                <w:rFonts w:ascii="Arial" w:cs="Arial" w:eastAsia="Arial" w:hAnsi="Arial"/>
                <w:sz w:val="14"/>
                <w:szCs w:val="14"/>
                <w:color w:val="auto"/>
              </w:rPr>
              <w:t>Net income</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80,607</w:t>
            </w:r>
          </w:p>
        </w:tc>
        <w:tc>
          <w:tcPr>
            <w:tcW w:w="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80,607</w:t>
            </w:r>
          </w:p>
        </w:tc>
        <w:tc>
          <w:tcPr>
            <w:tcW w:w="0" w:type="dxa"/>
            <w:vAlign w:val="bottom"/>
          </w:tcPr>
          <w:p>
            <w:pPr>
              <w:spacing w:after="0"/>
              <w:rPr>
                <w:sz w:val="1"/>
                <w:szCs w:val="1"/>
                <w:color w:val="auto"/>
              </w:rPr>
            </w:pPr>
          </w:p>
        </w:tc>
      </w:tr>
      <w:tr>
        <w:trPr>
          <w:trHeight w:val="298"/>
        </w:trPr>
        <w:tc>
          <w:tcPr>
            <w:tcW w:w="3380" w:type="dxa"/>
            <w:vAlign w:val="bottom"/>
            <w:vMerge w:val="restart"/>
          </w:tcPr>
          <w:p>
            <w:pPr>
              <w:spacing w:after="0"/>
              <w:rPr>
                <w:sz w:val="20"/>
                <w:szCs w:val="20"/>
                <w:color w:val="auto"/>
              </w:rPr>
            </w:pPr>
            <w:r>
              <w:rPr>
                <w:rFonts w:ascii="Arial" w:cs="Arial" w:eastAsia="Arial" w:hAnsi="Arial"/>
                <w:sz w:val="14"/>
                <w:szCs w:val="14"/>
                <w:b w:val="1"/>
                <w:bCs w:val="1"/>
                <w:color w:val="auto"/>
              </w:rPr>
              <w:t>Balances as of December 31, 2003</w:t>
            </w:r>
          </w:p>
        </w:tc>
        <w:tc>
          <w:tcPr>
            <w:tcW w:w="1120" w:type="dxa"/>
            <w:vAlign w:val="bottom"/>
            <w:tcBorders>
              <w:bottom w:val="single" w:sz="8" w:color="9A9A9A"/>
            </w:tcBorders>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3380" w:type="dxa"/>
            <w:vAlign w:val="bottom"/>
            <w:vMerge w:val="continue"/>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94,382</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471,912</w:t>
            </w:r>
          </w:p>
        </w:tc>
        <w:tc>
          <w:tcPr>
            <w:tcW w:w="1160" w:type="dxa"/>
            <w:vAlign w:val="bottom"/>
            <w:gridSpan w:val="3"/>
          </w:tcPr>
          <w:p>
            <w:pPr>
              <w:jc w:val="right"/>
              <w:ind w:right="20"/>
              <w:spacing w:after="0"/>
              <w:rPr>
                <w:sz w:val="20"/>
                <w:szCs w:val="20"/>
                <w:color w:val="auto"/>
              </w:rPr>
            </w:pPr>
            <w:r>
              <w:rPr>
                <w:rFonts w:ascii="Arial" w:cs="Arial" w:eastAsia="Arial" w:hAnsi="Arial"/>
                <w:sz w:val="14"/>
                <w:szCs w:val="14"/>
                <w:color w:val="auto"/>
              </w:rPr>
              <w:t>(73,177)</w:t>
            </w:r>
          </w:p>
        </w:tc>
        <w:tc>
          <w:tcPr>
            <w:tcW w:w="1120" w:type="dxa"/>
            <w:vAlign w:val="bottom"/>
          </w:tcPr>
          <w:p>
            <w:pPr>
              <w:jc w:val="right"/>
              <w:spacing w:after="0"/>
              <w:rPr>
                <w:sz w:val="20"/>
                <w:szCs w:val="20"/>
                <w:color w:val="auto"/>
              </w:rPr>
            </w:pPr>
            <w:r>
              <w:rPr>
                <w:rFonts w:ascii="Arial" w:cs="Arial" w:eastAsia="Arial" w:hAnsi="Arial"/>
                <w:sz w:val="14"/>
                <w:szCs w:val="14"/>
                <w:color w:val="auto"/>
              </w:rPr>
              <w:t>140,500</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269,527</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101,968</w:t>
            </w:r>
          </w:p>
        </w:tc>
        <w:tc>
          <w:tcPr>
            <w:tcW w:w="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910,730</w:t>
            </w:r>
          </w:p>
        </w:tc>
        <w:tc>
          <w:tcPr>
            <w:tcW w:w="0" w:type="dxa"/>
            <w:vAlign w:val="bottom"/>
          </w:tcPr>
          <w:p>
            <w:pPr>
              <w:spacing w:after="0"/>
              <w:rPr>
                <w:sz w:val="1"/>
                <w:szCs w:val="1"/>
                <w:color w:val="auto"/>
              </w:rPr>
            </w:pPr>
          </w:p>
        </w:tc>
      </w:tr>
      <w:tr>
        <w:trPr>
          <w:trHeight w:val="132"/>
        </w:trPr>
        <w:tc>
          <w:tcPr>
            <w:tcW w:w="3380" w:type="dxa"/>
            <w:vAlign w:val="bottom"/>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2839720</wp:posOffset>
            </wp:positionH>
            <wp:positionV relativeFrom="paragraph">
              <wp:posOffset>-305435</wp:posOffset>
            </wp:positionV>
            <wp:extent cx="34290" cy="342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3568700</wp:posOffset>
            </wp:positionH>
            <wp:positionV relativeFrom="paragraph">
              <wp:posOffset>-305435</wp:posOffset>
            </wp:positionV>
            <wp:extent cx="34290" cy="342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4297680</wp:posOffset>
            </wp:positionH>
            <wp:positionV relativeFrom="paragraph">
              <wp:posOffset>-305435</wp:posOffset>
            </wp:positionV>
            <wp:extent cx="34290" cy="342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5026660</wp:posOffset>
            </wp:positionH>
            <wp:positionV relativeFrom="paragraph">
              <wp:posOffset>-305435</wp:posOffset>
            </wp:positionV>
            <wp:extent cx="34290" cy="342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5747385</wp:posOffset>
            </wp:positionH>
            <wp:positionV relativeFrom="paragraph">
              <wp:posOffset>-305435</wp:posOffset>
            </wp:positionV>
            <wp:extent cx="34290" cy="342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6467475</wp:posOffset>
            </wp:positionH>
            <wp:positionV relativeFrom="paragraph">
              <wp:posOffset>-305435</wp:posOffset>
            </wp:positionV>
            <wp:extent cx="34290" cy="342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7187565</wp:posOffset>
            </wp:positionH>
            <wp:positionV relativeFrom="paragraph">
              <wp:posOffset>-305435</wp:posOffset>
            </wp:positionV>
            <wp:extent cx="34290" cy="342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-14605</wp:posOffset>
            </wp:positionV>
            <wp:extent cx="12700"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2147570</wp:posOffset>
            </wp:positionH>
            <wp:positionV relativeFrom="paragraph">
              <wp:posOffset>-14605</wp:posOffset>
            </wp:positionV>
            <wp:extent cx="1270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-14605</wp:posOffset>
            </wp:positionV>
            <wp:extent cx="12700"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-14605</wp:posOffset>
            </wp:positionV>
            <wp:extent cx="1270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-14605</wp:posOffset>
            </wp:positionV>
            <wp:extent cx="12700"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-14605</wp:posOffset>
            </wp:positionV>
            <wp:extent cx="1270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-14605</wp:posOffset>
            </wp:positionV>
            <wp:extent cx="12700"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-14605</wp:posOffset>
            </wp:positionV>
            <wp:extent cx="12700"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-14605</wp:posOffset>
            </wp:positionV>
            <wp:extent cx="12700"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-14605</wp:posOffset>
            </wp:positionV>
            <wp:extent cx="12700"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6478270</wp:posOffset>
            </wp:positionH>
            <wp:positionV relativeFrom="paragraph">
              <wp:posOffset>-14605</wp:posOffset>
            </wp:positionV>
            <wp:extent cx="12700"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5783580</wp:posOffset>
            </wp:positionH>
            <wp:positionV relativeFrom="paragraph">
              <wp:posOffset>-14605</wp:posOffset>
            </wp:positionV>
            <wp:extent cx="12700"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-14605</wp:posOffset>
            </wp:positionV>
            <wp:extent cx="12700"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-14605</wp:posOffset>
            </wp:positionV>
            <wp:extent cx="12700"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67310</wp:posOffset>
            </wp:positionV>
            <wp:extent cx="7259320" cy="342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ectPr>
          <w:pgSz w:w="11900" w:h="16838" w:orient="portrait"/>
          <w:cols w:equalWidth="0" w:num="1">
            <w:col w:w="11360"/>
          </w:cols>
          <w:pgMar w:left="280" w:top="141" w:right="25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28"/>
        </w:trPr>
        <w:tc>
          <w:tcPr>
            <w:tcW w:w="6280" w:type="dxa"/>
            <w:vAlign w:val="bottom"/>
          </w:tcPr>
          <w:p>
            <w:pPr>
              <w:spacing w:after="0"/>
              <w:rPr>
                <w:sz w:val="20"/>
                <w:szCs w:val="20"/>
                <w:color w:val="auto"/>
              </w:rPr>
            </w:pPr>
            <w:r>
              <w:rPr>
                <w:rFonts w:ascii="Arial" w:cs="Arial" w:eastAsia="Arial" w:hAnsi="Arial"/>
                <w:sz w:val="18"/>
                <w:szCs w:val="18"/>
                <w:b w:val="1"/>
                <w:bCs w:val="1"/>
                <w:color w:val="auto"/>
              </w:rPr>
              <w:t>Credicorp Ltd. and Subsidiaries</w:t>
            </w: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6280" w:type="dxa"/>
            <w:vAlign w:val="bottom"/>
          </w:tcPr>
          <w:p>
            <w:pPr>
              <w:spacing w:after="0"/>
              <w:rPr>
                <w:sz w:val="20"/>
                <w:szCs w:val="20"/>
                <w:color w:val="auto"/>
              </w:rPr>
            </w:pPr>
            <w:r>
              <w:rPr>
                <w:rFonts w:ascii="Arial" w:cs="Arial" w:eastAsia="Arial" w:hAnsi="Arial"/>
                <w:sz w:val="18"/>
                <w:szCs w:val="18"/>
                <w:b w:val="1"/>
                <w:bCs w:val="1"/>
                <w:color w:val="auto"/>
              </w:rPr>
              <w:t>Consolidated statements of cash flows</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280" w:type="dxa"/>
            <w:vAlign w:val="bottom"/>
          </w:tcPr>
          <w:p>
            <w:pPr>
              <w:spacing w:after="0"/>
              <w:rPr>
                <w:sz w:val="20"/>
                <w:szCs w:val="20"/>
                <w:color w:val="auto"/>
              </w:rPr>
            </w:pPr>
            <w:r>
              <w:rPr>
                <w:rFonts w:ascii="Arial" w:cs="Arial" w:eastAsia="Arial" w:hAnsi="Arial"/>
                <w:sz w:val="18"/>
                <w:szCs w:val="18"/>
                <w:color w:val="auto"/>
              </w:rPr>
              <w:t>For the years ended December 31, 2003, 2002 and 2001</w:t>
            </w: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6280" w:type="dxa"/>
            <w:vAlign w:val="bottom"/>
          </w:tcPr>
          <w:p>
            <w:pPr>
              <w:spacing w:after="0"/>
              <w:rPr>
                <w:sz w:val="24"/>
                <w:szCs w:val="24"/>
                <w:color w:val="auto"/>
              </w:rPr>
            </w:pPr>
          </w:p>
        </w:tc>
        <w:tc>
          <w:tcPr>
            <w:tcW w:w="1680" w:type="dxa"/>
            <w:vAlign w:val="bottom"/>
          </w:tcPr>
          <w:p>
            <w:pPr>
              <w:jc w:val="right"/>
              <w:ind w:right="592"/>
              <w:spacing w:after="0"/>
              <w:rPr>
                <w:sz w:val="20"/>
                <w:szCs w:val="20"/>
                <w:color w:val="auto"/>
              </w:rPr>
            </w:pPr>
            <w:r>
              <w:rPr>
                <w:rFonts w:ascii="Arial" w:cs="Arial" w:eastAsia="Arial" w:hAnsi="Arial"/>
                <w:sz w:val="18"/>
                <w:szCs w:val="18"/>
                <w:b w:val="1"/>
                <w:bCs w:val="1"/>
                <w:color w:val="auto"/>
              </w:rPr>
              <w:t>2003</w:t>
            </w:r>
          </w:p>
        </w:tc>
        <w:tc>
          <w:tcPr>
            <w:tcW w:w="1720" w:type="dxa"/>
            <w:vAlign w:val="bottom"/>
            <w:gridSpan w:val="2"/>
          </w:tcPr>
          <w:p>
            <w:pPr>
              <w:jc w:val="right"/>
              <w:ind w:right="612"/>
              <w:spacing w:after="0"/>
              <w:rPr>
                <w:sz w:val="20"/>
                <w:szCs w:val="20"/>
                <w:color w:val="auto"/>
              </w:rPr>
            </w:pPr>
            <w:r>
              <w:rPr>
                <w:rFonts w:ascii="Arial" w:cs="Arial" w:eastAsia="Arial" w:hAnsi="Arial"/>
                <w:sz w:val="18"/>
                <w:szCs w:val="18"/>
                <w:b w:val="1"/>
                <w:bCs w:val="1"/>
                <w:color w:val="auto"/>
              </w:rPr>
              <w:t>2002</w:t>
            </w:r>
          </w:p>
        </w:tc>
        <w:tc>
          <w:tcPr>
            <w:tcW w:w="20" w:type="dxa"/>
            <w:vAlign w:val="bottom"/>
          </w:tcPr>
          <w:p>
            <w:pPr>
              <w:spacing w:after="0"/>
              <w:rPr>
                <w:sz w:val="24"/>
                <w:szCs w:val="24"/>
                <w:color w:val="auto"/>
              </w:rPr>
            </w:pPr>
          </w:p>
        </w:tc>
        <w:tc>
          <w:tcPr>
            <w:tcW w:w="1700" w:type="dxa"/>
            <w:vAlign w:val="bottom"/>
          </w:tcPr>
          <w:p>
            <w:pPr>
              <w:jc w:val="right"/>
              <w:ind w:right="612"/>
              <w:spacing w:after="0"/>
              <w:rPr>
                <w:sz w:val="20"/>
                <w:szCs w:val="20"/>
                <w:color w:val="auto"/>
              </w:rPr>
            </w:pPr>
            <w:r>
              <w:rPr>
                <w:rFonts w:ascii="Arial" w:cs="Arial" w:eastAsia="Arial" w:hAnsi="Arial"/>
                <w:sz w:val="18"/>
                <w:szCs w:val="18"/>
                <w:b w:val="1"/>
                <w:bCs w:val="1"/>
                <w:color w:val="auto"/>
              </w:rPr>
              <w:t>2001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80" w:type="dxa"/>
            <w:vAlign w:val="bottom"/>
          </w:tcPr>
          <w:p>
            <w:pPr>
              <w:spacing w:after="0"/>
              <w:rPr>
                <w:sz w:val="21"/>
                <w:szCs w:val="21"/>
                <w:color w:val="auto"/>
              </w:rPr>
            </w:pPr>
          </w:p>
        </w:tc>
        <w:tc>
          <w:tcPr>
            <w:tcW w:w="1680" w:type="dxa"/>
            <w:vAlign w:val="bottom"/>
          </w:tcPr>
          <w:p>
            <w:pPr>
              <w:jc w:val="right"/>
              <w:ind w:right="412"/>
              <w:spacing w:after="0"/>
              <w:rPr>
                <w:sz w:val="20"/>
                <w:szCs w:val="20"/>
                <w:color w:val="auto"/>
              </w:rPr>
            </w:pPr>
            <w:r>
              <w:rPr>
                <w:rFonts w:ascii="Arial" w:cs="Arial" w:eastAsia="Arial" w:hAnsi="Arial"/>
                <w:sz w:val="18"/>
                <w:szCs w:val="18"/>
                <w:color w:val="auto"/>
              </w:rPr>
              <w:t>US$(000)</w:t>
            </w:r>
          </w:p>
        </w:tc>
        <w:tc>
          <w:tcPr>
            <w:tcW w:w="20" w:type="dxa"/>
            <w:vAlign w:val="bottom"/>
          </w:tcPr>
          <w:p>
            <w:pPr>
              <w:spacing w:after="0"/>
              <w:rPr>
                <w:sz w:val="21"/>
                <w:szCs w:val="21"/>
                <w:color w:val="auto"/>
              </w:rPr>
            </w:pPr>
          </w:p>
        </w:tc>
        <w:tc>
          <w:tcPr>
            <w:tcW w:w="1720" w:type="dxa"/>
            <w:vAlign w:val="bottom"/>
            <w:gridSpan w:val="2"/>
          </w:tcPr>
          <w:p>
            <w:pPr>
              <w:ind w:left="500"/>
              <w:spacing w:after="0"/>
              <w:rPr>
                <w:sz w:val="20"/>
                <w:szCs w:val="20"/>
                <w:color w:val="auto"/>
              </w:rPr>
            </w:pPr>
            <w:r>
              <w:rPr>
                <w:rFonts w:ascii="Arial" w:cs="Arial" w:eastAsia="Arial" w:hAnsi="Arial"/>
                <w:sz w:val="18"/>
                <w:szCs w:val="18"/>
                <w:color w:val="auto"/>
              </w:rPr>
              <w:t>US$(000)</w:t>
            </w:r>
          </w:p>
        </w:tc>
        <w:tc>
          <w:tcPr>
            <w:tcW w:w="1720" w:type="dxa"/>
            <w:vAlign w:val="bottom"/>
            <w:gridSpan w:val="2"/>
          </w:tcPr>
          <w:p>
            <w:pPr>
              <w:ind w:left="50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486"/>
        </w:trPr>
        <w:tc>
          <w:tcPr>
            <w:tcW w:w="628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680" w:type="dxa"/>
            <w:vAlign w:val="bottom"/>
          </w:tcPr>
          <w:p>
            <w:pPr>
              <w:jc w:val="right"/>
              <w:spacing w:after="0"/>
              <w:rPr>
                <w:sz w:val="20"/>
                <w:szCs w:val="20"/>
                <w:color w:val="auto"/>
              </w:rPr>
            </w:pPr>
            <w:r>
              <w:rPr>
                <w:rFonts w:ascii="Arial" w:cs="Arial" w:eastAsia="Arial" w:hAnsi="Arial"/>
                <w:sz w:val="18"/>
                <w:szCs w:val="18"/>
                <w:color w:val="auto"/>
              </w:rPr>
              <w:t>80,607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42,383</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54,513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Add (deduct)</w:t>
            </w: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Provision for credit losses</w:t>
            </w:r>
          </w:p>
        </w:tc>
        <w:tc>
          <w:tcPr>
            <w:tcW w:w="1680" w:type="dxa"/>
            <w:vAlign w:val="bottom"/>
          </w:tcPr>
          <w:p>
            <w:pPr>
              <w:jc w:val="right"/>
              <w:spacing w:after="0"/>
              <w:rPr>
                <w:sz w:val="20"/>
                <w:szCs w:val="20"/>
                <w:color w:val="auto"/>
              </w:rPr>
            </w:pPr>
            <w:r>
              <w:rPr>
                <w:rFonts w:ascii="Arial" w:cs="Arial" w:eastAsia="Arial" w:hAnsi="Arial"/>
                <w:sz w:val="18"/>
                <w:szCs w:val="18"/>
                <w:color w:val="auto"/>
              </w:rPr>
              <w:t>66,421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99,596</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119,422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680" w:type="dxa"/>
            <w:vAlign w:val="bottom"/>
          </w:tcPr>
          <w:p>
            <w:pPr>
              <w:jc w:val="right"/>
              <w:spacing w:after="0"/>
              <w:rPr>
                <w:sz w:val="20"/>
                <w:szCs w:val="20"/>
                <w:color w:val="auto"/>
              </w:rPr>
            </w:pPr>
            <w:r>
              <w:rPr>
                <w:rFonts w:ascii="Arial" w:cs="Arial" w:eastAsia="Arial" w:hAnsi="Arial"/>
                <w:sz w:val="18"/>
                <w:szCs w:val="18"/>
                <w:color w:val="auto"/>
              </w:rPr>
              <w:t>43,660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41,338</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43,355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Amortization of goodwill</w:t>
            </w:r>
          </w:p>
        </w:tc>
        <w:tc>
          <w:tcPr>
            <w:tcW w:w="1680" w:type="dxa"/>
            <w:vAlign w:val="bottom"/>
          </w:tcPr>
          <w:p>
            <w:pPr>
              <w:jc w:val="right"/>
              <w:spacing w:after="0"/>
              <w:rPr>
                <w:sz w:val="20"/>
                <w:szCs w:val="20"/>
                <w:color w:val="auto"/>
              </w:rPr>
            </w:pPr>
            <w:r>
              <w:rPr>
                <w:rFonts w:ascii="Arial" w:cs="Arial" w:eastAsia="Arial" w:hAnsi="Arial"/>
                <w:sz w:val="18"/>
                <w:szCs w:val="18"/>
                <w:color w:val="auto"/>
              </w:rPr>
              <w:t>4,223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3,033</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3,377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Provision for assets seized</w:t>
            </w:r>
          </w:p>
        </w:tc>
        <w:tc>
          <w:tcPr>
            <w:tcW w:w="1680" w:type="dxa"/>
            <w:vAlign w:val="bottom"/>
          </w:tcPr>
          <w:p>
            <w:pPr>
              <w:jc w:val="right"/>
              <w:spacing w:after="0"/>
              <w:rPr>
                <w:sz w:val="20"/>
                <w:szCs w:val="20"/>
                <w:color w:val="auto"/>
              </w:rPr>
            </w:pPr>
            <w:r>
              <w:rPr>
                <w:rFonts w:ascii="Arial" w:cs="Arial" w:eastAsia="Arial" w:hAnsi="Arial"/>
                <w:sz w:val="18"/>
                <w:szCs w:val="18"/>
                <w:color w:val="auto"/>
              </w:rPr>
              <w:t>13,588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15,094</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7,447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Minority interest</w:t>
            </w:r>
          </w:p>
        </w:tc>
        <w:tc>
          <w:tcPr>
            <w:tcW w:w="1680" w:type="dxa"/>
            <w:vAlign w:val="bottom"/>
          </w:tcPr>
          <w:p>
            <w:pPr>
              <w:jc w:val="right"/>
              <w:spacing w:after="0"/>
              <w:rPr>
                <w:sz w:val="20"/>
                <w:szCs w:val="20"/>
                <w:color w:val="auto"/>
              </w:rPr>
            </w:pPr>
            <w:r>
              <w:rPr>
                <w:rFonts w:ascii="Arial" w:cs="Arial" w:eastAsia="Arial" w:hAnsi="Arial"/>
                <w:sz w:val="18"/>
                <w:szCs w:val="18"/>
                <w:color w:val="auto"/>
              </w:rPr>
              <w:t>10,303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10,287</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15,839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Provision for sundry risks</w:t>
            </w:r>
          </w:p>
        </w:tc>
        <w:tc>
          <w:tcPr>
            <w:tcW w:w="1680" w:type="dxa"/>
            <w:vAlign w:val="bottom"/>
          </w:tcPr>
          <w:p>
            <w:pPr>
              <w:jc w:val="right"/>
              <w:spacing w:after="0"/>
              <w:rPr>
                <w:sz w:val="20"/>
                <w:szCs w:val="20"/>
                <w:color w:val="auto"/>
              </w:rPr>
            </w:pPr>
            <w:r>
              <w:rPr>
                <w:rFonts w:ascii="Arial" w:cs="Arial" w:eastAsia="Arial" w:hAnsi="Arial"/>
                <w:sz w:val="18"/>
                <w:szCs w:val="18"/>
                <w:color w:val="auto"/>
              </w:rPr>
              <w:t>2,022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4,649</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13,317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Deferred income tax</w:t>
            </w:r>
          </w:p>
        </w:tc>
        <w:tc>
          <w:tcPr>
            <w:tcW w:w="1680" w:type="dxa"/>
            <w:vAlign w:val="bottom"/>
          </w:tcPr>
          <w:p>
            <w:pPr>
              <w:jc w:val="right"/>
              <w:spacing w:after="0"/>
              <w:rPr>
                <w:sz w:val="20"/>
                <w:szCs w:val="20"/>
                <w:color w:val="auto"/>
              </w:rPr>
            </w:pPr>
            <w:r>
              <w:rPr>
                <w:rFonts w:ascii="Arial" w:cs="Arial" w:eastAsia="Arial" w:hAnsi="Arial"/>
                <w:sz w:val="18"/>
                <w:szCs w:val="18"/>
                <w:color w:val="auto"/>
              </w:rPr>
              <w:t>4,410</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(2,115)</w:t>
            </w:r>
          </w:p>
        </w:tc>
        <w:tc>
          <w:tcPr>
            <w:tcW w:w="1700" w:type="dxa"/>
            <w:vAlign w:val="bottom"/>
          </w:tcPr>
          <w:p>
            <w:pPr>
              <w:jc w:val="right"/>
              <w:spacing w:after="0"/>
              <w:rPr>
                <w:sz w:val="20"/>
                <w:szCs w:val="20"/>
                <w:color w:val="auto"/>
              </w:rPr>
            </w:pPr>
            <w:r>
              <w:rPr>
                <w:rFonts w:ascii="Arial" w:cs="Arial" w:eastAsia="Arial" w:hAnsi="Arial"/>
                <w:sz w:val="18"/>
                <w:szCs w:val="18"/>
                <w:color w:val="auto"/>
              </w:rPr>
              <w:t>1,522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Net loss (gain) on securities sale</w:t>
            </w:r>
          </w:p>
        </w:tc>
        <w:tc>
          <w:tcPr>
            <w:tcW w:w="1680" w:type="dxa"/>
            <w:vAlign w:val="bottom"/>
          </w:tcPr>
          <w:p>
            <w:pPr>
              <w:jc w:val="right"/>
              <w:spacing w:after="0"/>
              <w:rPr>
                <w:sz w:val="20"/>
                <w:szCs w:val="20"/>
                <w:color w:val="auto"/>
              </w:rPr>
            </w:pPr>
            <w:r>
              <w:rPr>
                <w:rFonts w:ascii="Arial" w:cs="Arial" w:eastAsia="Arial" w:hAnsi="Arial"/>
                <w:sz w:val="18"/>
                <w:szCs w:val="18"/>
                <w:color w:val="auto"/>
              </w:rPr>
              <w:t>(1,969)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1,097</w:t>
            </w:r>
          </w:p>
        </w:tc>
        <w:tc>
          <w:tcPr>
            <w:tcW w:w="20" w:type="dxa"/>
            <w:vAlign w:val="bottom"/>
          </w:tcPr>
          <w:p>
            <w:pPr>
              <w:spacing w:after="0"/>
              <w:rPr>
                <w:sz w:val="21"/>
                <w:szCs w:val="21"/>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(31,737)</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Translation loss</w:t>
            </w:r>
          </w:p>
        </w:tc>
        <w:tc>
          <w:tcPr>
            <w:tcW w:w="1680" w:type="dxa"/>
            <w:vAlign w:val="bottom"/>
          </w:tcPr>
          <w:p>
            <w:pPr>
              <w:jc w:val="right"/>
              <w:spacing w:after="0"/>
              <w:rPr>
                <w:sz w:val="20"/>
                <w:szCs w:val="20"/>
                <w:color w:val="auto"/>
              </w:rPr>
            </w:pPr>
            <w:r>
              <w:rPr>
                <w:rFonts w:ascii="Arial" w:cs="Arial" w:eastAsia="Arial" w:hAnsi="Arial"/>
                <w:sz w:val="18"/>
                <w:szCs w:val="18"/>
                <w:color w:val="auto"/>
              </w:rPr>
              <w:t>3,675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2,482</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2,575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Purchase of trading securities</w:t>
            </w:r>
          </w:p>
        </w:tc>
        <w:tc>
          <w:tcPr>
            <w:tcW w:w="1680" w:type="dxa"/>
            <w:vAlign w:val="bottom"/>
          </w:tcPr>
          <w:p>
            <w:pPr>
              <w:jc w:val="right"/>
              <w:spacing w:after="0"/>
              <w:rPr>
                <w:sz w:val="20"/>
                <w:szCs w:val="20"/>
                <w:color w:val="auto"/>
              </w:rPr>
            </w:pPr>
            <w:r>
              <w:rPr>
                <w:rFonts w:ascii="Arial" w:cs="Arial" w:eastAsia="Arial" w:hAnsi="Arial"/>
                <w:sz w:val="18"/>
                <w:szCs w:val="18"/>
                <w:color w:val="auto"/>
              </w:rPr>
              <w:t>(4,098,504)</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(4,154,437)</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(2,631,092)</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Sale of trading securities</w:t>
            </w:r>
          </w:p>
        </w:tc>
        <w:tc>
          <w:tcPr>
            <w:tcW w:w="1680" w:type="dxa"/>
            <w:vAlign w:val="bottom"/>
          </w:tcPr>
          <w:p>
            <w:pPr>
              <w:jc w:val="right"/>
              <w:spacing w:after="0"/>
              <w:rPr>
                <w:sz w:val="20"/>
                <w:szCs w:val="20"/>
                <w:color w:val="auto"/>
              </w:rPr>
            </w:pPr>
            <w:r>
              <w:rPr>
                <w:rFonts w:ascii="Arial" w:cs="Arial" w:eastAsia="Arial" w:hAnsi="Arial"/>
                <w:sz w:val="18"/>
                <w:szCs w:val="18"/>
                <w:color w:val="auto"/>
              </w:rPr>
              <w:t>4,605,458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4,106,170</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2,430,876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Changes in assets and liabilities:</w:t>
            </w: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Decrease (increase) in loans</w:t>
            </w:r>
          </w:p>
        </w:tc>
        <w:tc>
          <w:tcPr>
            <w:tcW w:w="1680" w:type="dxa"/>
            <w:vAlign w:val="bottom"/>
          </w:tcPr>
          <w:p>
            <w:pPr>
              <w:jc w:val="right"/>
              <w:spacing w:after="0"/>
              <w:rPr>
                <w:sz w:val="20"/>
                <w:szCs w:val="20"/>
                <w:color w:val="auto"/>
              </w:rPr>
            </w:pPr>
            <w:r>
              <w:rPr>
                <w:rFonts w:ascii="Arial" w:cs="Arial" w:eastAsia="Arial" w:hAnsi="Arial"/>
                <w:sz w:val="18"/>
                <w:szCs w:val="18"/>
                <w:color w:val="auto"/>
              </w:rPr>
              <w:t>172,392</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(114,347)</w:t>
            </w:r>
          </w:p>
        </w:tc>
        <w:tc>
          <w:tcPr>
            <w:tcW w:w="1700" w:type="dxa"/>
            <w:vAlign w:val="bottom"/>
          </w:tcPr>
          <w:p>
            <w:pPr>
              <w:jc w:val="right"/>
              <w:spacing w:after="0"/>
              <w:rPr>
                <w:sz w:val="20"/>
                <w:szCs w:val="20"/>
                <w:color w:val="auto"/>
              </w:rPr>
            </w:pPr>
            <w:r>
              <w:rPr>
                <w:rFonts w:ascii="Arial" w:cs="Arial" w:eastAsia="Arial" w:hAnsi="Arial"/>
                <w:sz w:val="18"/>
                <w:szCs w:val="18"/>
                <w:color w:val="auto"/>
              </w:rPr>
              <w:t>273,130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Decrease (increase) in other assets</w:t>
            </w:r>
          </w:p>
        </w:tc>
        <w:tc>
          <w:tcPr>
            <w:tcW w:w="1680" w:type="dxa"/>
            <w:vAlign w:val="bottom"/>
          </w:tcPr>
          <w:p>
            <w:pPr>
              <w:jc w:val="right"/>
              <w:spacing w:after="0"/>
              <w:rPr>
                <w:sz w:val="20"/>
                <w:szCs w:val="20"/>
                <w:color w:val="auto"/>
              </w:rPr>
            </w:pPr>
            <w:r>
              <w:rPr>
                <w:rFonts w:ascii="Arial" w:cs="Arial" w:eastAsia="Arial" w:hAnsi="Arial"/>
                <w:sz w:val="18"/>
                <w:szCs w:val="18"/>
                <w:color w:val="auto"/>
              </w:rPr>
              <w:t>(32,031)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36,457</w:t>
            </w:r>
          </w:p>
        </w:tc>
        <w:tc>
          <w:tcPr>
            <w:tcW w:w="20" w:type="dxa"/>
            <w:vAlign w:val="bottom"/>
          </w:tcPr>
          <w:p>
            <w:pPr>
              <w:spacing w:after="0"/>
              <w:rPr>
                <w:sz w:val="21"/>
                <w:szCs w:val="21"/>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(46,973)</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Increase (decrease) in deposits and obligations</w:t>
            </w:r>
          </w:p>
        </w:tc>
        <w:tc>
          <w:tcPr>
            <w:tcW w:w="1680" w:type="dxa"/>
            <w:vAlign w:val="bottom"/>
          </w:tcPr>
          <w:p>
            <w:pPr>
              <w:jc w:val="right"/>
              <w:spacing w:after="0"/>
              <w:rPr>
                <w:sz w:val="20"/>
                <w:szCs w:val="20"/>
                <w:color w:val="auto"/>
              </w:rPr>
            </w:pPr>
            <w:r>
              <w:rPr>
                <w:rFonts w:ascii="Arial" w:cs="Arial" w:eastAsia="Arial" w:hAnsi="Arial"/>
                <w:sz w:val="18"/>
                <w:szCs w:val="18"/>
                <w:color w:val="auto"/>
              </w:rPr>
              <w:t>(394,970)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155,798</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36,919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Decrease in due to banks and correspondents</w:t>
            </w:r>
          </w:p>
        </w:tc>
        <w:tc>
          <w:tcPr>
            <w:tcW w:w="1680" w:type="dxa"/>
            <w:vAlign w:val="bottom"/>
          </w:tcPr>
          <w:p>
            <w:pPr>
              <w:jc w:val="right"/>
              <w:spacing w:after="0"/>
              <w:rPr>
                <w:sz w:val="20"/>
                <w:szCs w:val="20"/>
                <w:color w:val="auto"/>
              </w:rPr>
            </w:pPr>
            <w:r>
              <w:rPr>
                <w:rFonts w:ascii="Arial" w:cs="Arial" w:eastAsia="Arial" w:hAnsi="Arial"/>
                <w:sz w:val="18"/>
                <w:szCs w:val="18"/>
                <w:color w:val="auto"/>
              </w:rPr>
              <w:t>(35,964)</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(65,988)</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(117,939)</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Increase (decrease) in other liabilities</w:t>
            </w:r>
          </w:p>
        </w:tc>
        <w:tc>
          <w:tcPr>
            <w:tcW w:w="1680" w:type="dxa"/>
            <w:vAlign w:val="bottom"/>
          </w:tcPr>
          <w:p>
            <w:pPr>
              <w:jc w:val="right"/>
              <w:spacing w:after="0"/>
              <w:rPr>
                <w:sz w:val="20"/>
                <w:szCs w:val="20"/>
                <w:color w:val="auto"/>
              </w:rPr>
            </w:pPr>
            <w:r>
              <w:rPr>
                <w:rFonts w:ascii="Arial" w:cs="Arial" w:eastAsia="Arial" w:hAnsi="Arial"/>
                <w:sz w:val="18"/>
                <w:szCs w:val="18"/>
                <w:color w:val="auto"/>
              </w:rPr>
              <w:t>62,994</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(28,326)</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(61,564)</w:t>
            </w:r>
          </w:p>
        </w:tc>
        <w:tc>
          <w:tcPr>
            <w:tcW w:w="0" w:type="dxa"/>
            <w:vAlign w:val="bottom"/>
          </w:tcPr>
          <w:p>
            <w:pPr>
              <w:spacing w:after="0"/>
              <w:rPr>
                <w:sz w:val="1"/>
                <w:szCs w:val="1"/>
                <w:color w:val="auto"/>
              </w:rPr>
            </w:pPr>
          </w:p>
        </w:tc>
      </w:tr>
      <w:tr>
        <w:trPr>
          <w:trHeight w:val="137"/>
        </w:trPr>
        <w:tc>
          <w:tcPr>
            <w:tcW w:w="62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6280" w:type="dxa"/>
            <w:vAlign w:val="bottom"/>
            <w:vMerge w:val="continue"/>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506,315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153,171</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112,987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62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99"/>
        </w:trPr>
        <w:tc>
          <w:tcPr>
            <w:tcW w:w="628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Acquisition of Banco Santander Central Hispano S.A. - Peru,</w:t>
            </w: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w w:val="95"/>
              </w:rPr>
              <w:t>Acquisition of Banco Santander Central Hispano S.A. - Peru, net of cash acquired</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140,782</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Cash received from sales of Banco Capital</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32,255</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Purchase of investments available-for-sale</w:t>
            </w:r>
          </w:p>
        </w:tc>
        <w:tc>
          <w:tcPr>
            <w:tcW w:w="1680" w:type="dxa"/>
            <w:vAlign w:val="bottom"/>
          </w:tcPr>
          <w:p>
            <w:pPr>
              <w:jc w:val="right"/>
              <w:spacing w:after="0"/>
              <w:rPr>
                <w:sz w:val="20"/>
                <w:szCs w:val="20"/>
                <w:color w:val="auto"/>
              </w:rPr>
            </w:pPr>
            <w:r>
              <w:rPr>
                <w:rFonts w:ascii="Arial" w:cs="Arial" w:eastAsia="Arial" w:hAnsi="Arial"/>
                <w:sz w:val="18"/>
                <w:szCs w:val="18"/>
                <w:color w:val="auto"/>
              </w:rPr>
              <w:t>(1,746,201)</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(322,656)</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(393,085)</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Sales of investments available-for-sale</w:t>
            </w:r>
          </w:p>
        </w:tc>
        <w:tc>
          <w:tcPr>
            <w:tcW w:w="1680" w:type="dxa"/>
            <w:vAlign w:val="bottom"/>
          </w:tcPr>
          <w:p>
            <w:pPr>
              <w:jc w:val="right"/>
              <w:spacing w:after="0"/>
              <w:rPr>
                <w:sz w:val="20"/>
                <w:szCs w:val="20"/>
                <w:color w:val="auto"/>
              </w:rPr>
            </w:pPr>
            <w:r>
              <w:rPr>
                <w:rFonts w:ascii="Arial" w:cs="Arial" w:eastAsia="Arial" w:hAnsi="Arial"/>
                <w:sz w:val="18"/>
                <w:szCs w:val="18"/>
                <w:color w:val="auto"/>
              </w:rPr>
              <w:t>771,597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340,100</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432,136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Purchase of property, furniture and equipment</w:t>
            </w:r>
          </w:p>
        </w:tc>
        <w:tc>
          <w:tcPr>
            <w:tcW w:w="1680" w:type="dxa"/>
            <w:vAlign w:val="bottom"/>
          </w:tcPr>
          <w:p>
            <w:pPr>
              <w:jc w:val="right"/>
              <w:spacing w:after="0"/>
              <w:rPr>
                <w:sz w:val="20"/>
                <w:szCs w:val="20"/>
                <w:color w:val="auto"/>
              </w:rPr>
            </w:pPr>
            <w:r>
              <w:rPr>
                <w:rFonts w:ascii="Arial" w:cs="Arial" w:eastAsia="Arial" w:hAnsi="Arial"/>
                <w:sz w:val="18"/>
                <w:szCs w:val="18"/>
                <w:color w:val="auto"/>
              </w:rPr>
              <w:t>(29,919)</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(22,864)</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(30,848)</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Sales of property, furniture and equipment</w:t>
            </w:r>
          </w:p>
        </w:tc>
        <w:tc>
          <w:tcPr>
            <w:tcW w:w="1680" w:type="dxa"/>
            <w:vAlign w:val="bottom"/>
          </w:tcPr>
          <w:p>
            <w:pPr>
              <w:jc w:val="right"/>
              <w:spacing w:after="0"/>
              <w:rPr>
                <w:sz w:val="20"/>
                <w:szCs w:val="20"/>
                <w:color w:val="auto"/>
              </w:rPr>
            </w:pPr>
            <w:r>
              <w:rPr>
                <w:rFonts w:ascii="Arial" w:cs="Arial" w:eastAsia="Arial" w:hAnsi="Arial"/>
                <w:sz w:val="18"/>
                <w:szCs w:val="18"/>
                <w:color w:val="auto"/>
              </w:rPr>
              <w:t>23,951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1,560</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3,278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7"/>
        </w:trPr>
        <w:tc>
          <w:tcPr>
            <w:tcW w:w="62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6280" w:type="dxa"/>
            <w:vAlign w:val="bottom"/>
            <w:vMerge w:val="continue"/>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(980,572)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169,177</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11,481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6280" w:type="dxa"/>
            <w:vAlign w:val="bottom"/>
            <w:vMerge w:val="restart"/>
          </w:tcPr>
          <w:p>
            <w:pPr>
              <w:ind w:left="5540"/>
              <w:spacing w:after="0"/>
              <w:rPr>
                <w:sz w:val="20"/>
                <w:szCs w:val="20"/>
                <w:color w:val="auto"/>
              </w:rPr>
            </w:pPr>
            <w:r>
              <w:rPr>
                <w:rFonts w:ascii="Arial" w:cs="Arial" w:eastAsia="Arial" w:hAnsi="Arial"/>
                <w:sz w:val="18"/>
                <w:szCs w:val="18"/>
                <w:color w:val="auto"/>
              </w:rPr>
              <w:t>F-10</w:t>
            </w: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99"/>
        </w:trPr>
        <w:tc>
          <w:tcPr>
            <w:tcW w:w="628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628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5034915</wp:posOffset>
            </wp:positionH>
            <wp:positionV relativeFrom="paragraph">
              <wp:posOffset>-2696210</wp:posOffset>
            </wp:positionV>
            <wp:extent cx="34290" cy="342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-2696210</wp:posOffset>
            </wp:positionV>
            <wp:extent cx="34290" cy="342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-2696210</wp:posOffset>
            </wp:positionV>
            <wp:extent cx="34290" cy="342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-2370455</wp:posOffset>
            </wp:positionV>
            <wp:extent cx="34290" cy="342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-2370455</wp:posOffset>
            </wp:positionV>
            <wp:extent cx="34290" cy="342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-2370455</wp:posOffset>
            </wp:positionV>
            <wp:extent cx="34290" cy="342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-809625</wp:posOffset>
            </wp:positionV>
            <wp:extent cx="34290" cy="342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-809625</wp:posOffset>
            </wp:positionV>
            <wp:extent cx="34290" cy="342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-809625</wp:posOffset>
            </wp:positionV>
            <wp:extent cx="34290" cy="342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-483870</wp:posOffset>
            </wp:positionV>
            <wp:extent cx="34290" cy="342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-483870</wp:posOffset>
            </wp:positionV>
            <wp:extent cx="34290" cy="342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-483870</wp:posOffset>
            </wp:positionV>
            <wp:extent cx="34290" cy="342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8" w:name="page139"/>
    <w:bookmarkEnd w:id="138"/>
    <w:tbl>
      <w:tblPr>
        <w:tblLayout w:type="fixed"/>
        <w:tblInd w:w="40" w:type="dxa"/>
        <w:tblCellMar>
          <w:top w:w="0" w:type="dxa"/>
          <w:left w:w="0" w:type="dxa"/>
          <w:bottom w:w="0" w:type="dxa"/>
          <w:right w:w="0" w:type="dxa"/>
        </w:tblCellMar>
      </w:tblPr>
      <w:tr>
        <w:trPr>
          <w:trHeight w:val="228"/>
        </w:trPr>
        <w:tc>
          <w:tcPr>
            <w:tcW w:w="6240" w:type="dxa"/>
            <w:vAlign w:val="bottom"/>
          </w:tcPr>
          <w:p>
            <w:pPr>
              <w:spacing w:after="0"/>
              <w:rPr>
                <w:sz w:val="19"/>
                <w:szCs w:val="19"/>
                <w:color w:val="auto"/>
              </w:rPr>
            </w:pPr>
          </w:p>
        </w:tc>
        <w:tc>
          <w:tcPr>
            <w:tcW w:w="1680" w:type="dxa"/>
            <w:vAlign w:val="bottom"/>
          </w:tcPr>
          <w:p>
            <w:pPr>
              <w:jc w:val="right"/>
              <w:ind w:right="592"/>
              <w:spacing w:after="0"/>
              <w:rPr>
                <w:sz w:val="20"/>
                <w:szCs w:val="20"/>
                <w:color w:val="auto"/>
              </w:rPr>
            </w:pPr>
            <w:r>
              <w:rPr>
                <w:rFonts w:ascii="Arial" w:cs="Arial" w:eastAsia="Arial" w:hAnsi="Arial"/>
                <w:sz w:val="18"/>
                <w:szCs w:val="18"/>
                <w:b w:val="1"/>
                <w:bCs w:val="1"/>
                <w:color w:val="auto"/>
              </w:rPr>
              <w:t>2003</w:t>
            </w:r>
          </w:p>
        </w:tc>
        <w:tc>
          <w:tcPr>
            <w:tcW w:w="1720" w:type="dxa"/>
            <w:vAlign w:val="bottom"/>
            <w:gridSpan w:val="2"/>
          </w:tcPr>
          <w:p>
            <w:pPr>
              <w:jc w:val="right"/>
              <w:ind w:right="612"/>
              <w:spacing w:after="0"/>
              <w:rPr>
                <w:sz w:val="20"/>
                <w:szCs w:val="20"/>
                <w:color w:val="auto"/>
              </w:rPr>
            </w:pPr>
            <w:r>
              <w:rPr>
                <w:rFonts w:ascii="Arial" w:cs="Arial" w:eastAsia="Arial" w:hAnsi="Arial"/>
                <w:sz w:val="18"/>
                <w:szCs w:val="18"/>
                <w:b w:val="1"/>
                <w:bCs w:val="1"/>
                <w:color w:val="auto"/>
              </w:rPr>
              <w:t>2002</w:t>
            </w:r>
          </w:p>
        </w:tc>
        <w:tc>
          <w:tcPr>
            <w:tcW w:w="20" w:type="dxa"/>
            <w:vAlign w:val="bottom"/>
          </w:tcPr>
          <w:p>
            <w:pPr>
              <w:spacing w:after="0"/>
              <w:rPr>
                <w:sz w:val="19"/>
                <w:szCs w:val="19"/>
                <w:color w:val="auto"/>
              </w:rPr>
            </w:pPr>
          </w:p>
        </w:tc>
        <w:tc>
          <w:tcPr>
            <w:tcW w:w="1700" w:type="dxa"/>
            <w:vAlign w:val="bottom"/>
          </w:tcPr>
          <w:p>
            <w:pPr>
              <w:jc w:val="right"/>
              <w:ind w:right="612"/>
              <w:spacing w:after="0"/>
              <w:rPr>
                <w:sz w:val="20"/>
                <w:szCs w:val="20"/>
                <w:color w:val="auto"/>
              </w:rPr>
            </w:pPr>
            <w:r>
              <w:rPr>
                <w:rFonts w:ascii="Arial" w:cs="Arial" w:eastAsia="Arial" w:hAnsi="Arial"/>
                <w:sz w:val="18"/>
                <w:szCs w:val="18"/>
                <w:b w:val="1"/>
                <w:bCs w:val="1"/>
                <w:color w:val="auto"/>
              </w:rPr>
              <w:t>2001</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1"/>
                <w:szCs w:val="21"/>
                <w:color w:val="auto"/>
              </w:rPr>
            </w:pPr>
          </w:p>
        </w:tc>
        <w:tc>
          <w:tcPr>
            <w:tcW w:w="1680" w:type="dxa"/>
            <w:vAlign w:val="bottom"/>
          </w:tcPr>
          <w:p>
            <w:pPr>
              <w:jc w:val="right"/>
              <w:ind w:right="412"/>
              <w:spacing w:after="0"/>
              <w:rPr>
                <w:sz w:val="20"/>
                <w:szCs w:val="20"/>
                <w:color w:val="auto"/>
              </w:rPr>
            </w:pPr>
            <w:r>
              <w:rPr>
                <w:rFonts w:ascii="Arial" w:cs="Arial" w:eastAsia="Arial" w:hAnsi="Arial"/>
                <w:sz w:val="18"/>
                <w:szCs w:val="18"/>
                <w:color w:val="auto"/>
              </w:rPr>
              <w:t>US$(000)</w:t>
            </w:r>
          </w:p>
        </w:tc>
        <w:tc>
          <w:tcPr>
            <w:tcW w:w="20" w:type="dxa"/>
            <w:vAlign w:val="bottom"/>
          </w:tcPr>
          <w:p>
            <w:pPr>
              <w:spacing w:after="0"/>
              <w:rPr>
                <w:sz w:val="21"/>
                <w:szCs w:val="21"/>
                <w:color w:val="auto"/>
              </w:rPr>
            </w:pPr>
          </w:p>
        </w:tc>
        <w:tc>
          <w:tcPr>
            <w:tcW w:w="1720" w:type="dxa"/>
            <w:vAlign w:val="bottom"/>
            <w:gridSpan w:val="2"/>
          </w:tcPr>
          <w:p>
            <w:pPr>
              <w:ind w:left="500"/>
              <w:spacing w:after="0"/>
              <w:rPr>
                <w:sz w:val="20"/>
                <w:szCs w:val="20"/>
                <w:color w:val="auto"/>
              </w:rPr>
            </w:pPr>
            <w:r>
              <w:rPr>
                <w:rFonts w:ascii="Arial" w:cs="Arial" w:eastAsia="Arial" w:hAnsi="Arial"/>
                <w:sz w:val="18"/>
                <w:szCs w:val="18"/>
                <w:color w:val="auto"/>
              </w:rPr>
              <w:t>US$(000)</w:t>
            </w:r>
          </w:p>
        </w:tc>
        <w:tc>
          <w:tcPr>
            <w:tcW w:w="1700" w:type="dxa"/>
            <w:vAlign w:val="bottom"/>
          </w:tcPr>
          <w:p>
            <w:pPr>
              <w:jc w:val="right"/>
              <w:ind w:right="412"/>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486"/>
        </w:trPr>
        <w:tc>
          <w:tcPr>
            <w:tcW w:w="62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Decrease (increase) in bonds issued</w:t>
            </w:r>
          </w:p>
        </w:tc>
        <w:tc>
          <w:tcPr>
            <w:tcW w:w="1680" w:type="dxa"/>
            <w:vAlign w:val="bottom"/>
          </w:tcPr>
          <w:p>
            <w:pPr>
              <w:jc w:val="right"/>
              <w:spacing w:after="0"/>
              <w:rPr>
                <w:sz w:val="20"/>
                <w:szCs w:val="20"/>
                <w:color w:val="auto"/>
              </w:rPr>
            </w:pPr>
            <w:r>
              <w:rPr>
                <w:rFonts w:ascii="Arial" w:cs="Arial" w:eastAsia="Arial" w:hAnsi="Arial"/>
                <w:sz w:val="18"/>
                <w:szCs w:val="18"/>
                <w:color w:val="auto"/>
              </w:rPr>
              <w:t>(67,806)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1,445</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33,040</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Sales (purchase) of treasury stocks</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2,908</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(9,344)</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Cash dividends</w:t>
            </w:r>
          </w:p>
        </w:tc>
        <w:tc>
          <w:tcPr>
            <w:tcW w:w="1680" w:type="dxa"/>
            <w:vAlign w:val="bottom"/>
          </w:tcPr>
          <w:p>
            <w:pPr>
              <w:jc w:val="right"/>
              <w:spacing w:after="0"/>
              <w:rPr>
                <w:sz w:val="20"/>
                <w:szCs w:val="20"/>
                <w:color w:val="auto"/>
              </w:rPr>
            </w:pPr>
            <w:r>
              <w:rPr>
                <w:rFonts w:ascii="Arial" w:cs="Arial" w:eastAsia="Arial" w:hAnsi="Arial"/>
                <w:sz w:val="18"/>
                <w:szCs w:val="18"/>
                <w:color w:val="auto"/>
              </w:rPr>
              <w:t>(23,922)</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(31,881)</w:t>
            </w:r>
          </w:p>
        </w:tc>
        <w:tc>
          <w:tcPr>
            <w:tcW w:w="1700" w:type="dxa"/>
            <w:vAlign w:val="bottom"/>
          </w:tcPr>
          <w:p>
            <w:pPr>
              <w:jc w:val="right"/>
              <w:spacing w:after="0"/>
              <w:rPr>
                <w:sz w:val="20"/>
                <w:szCs w:val="20"/>
                <w:color w:val="auto"/>
              </w:rPr>
            </w:pPr>
            <w:r>
              <w:rPr>
                <w:rFonts w:ascii="Arial" w:cs="Arial" w:eastAsia="Arial" w:hAnsi="Arial"/>
                <w:sz w:val="18"/>
                <w:szCs w:val="18"/>
                <w:color w:val="auto"/>
              </w:rPr>
              <w:t>(8,014)</w:t>
            </w:r>
          </w:p>
        </w:tc>
        <w:tc>
          <w:tcPr>
            <w:tcW w:w="0" w:type="dxa"/>
            <w:vAlign w:val="bottom"/>
          </w:tcPr>
          <w:p>
            <w:pPr>
              <w:spacing w:after="0"/>
              <w:rPr>
                <w:sz w:val="1"/>
                <w:szCs w:val="1"/>
                <w:color w:val="auto"/>
              </w:rPr>
            </w:pPr>
          </w:p>
        </w:tc>
      </w:tr>
      <w:tr>
        <w:trPr>
          <w:trHeight w:val="137"/>
        </w:trPr>
        <w:tc>
          <w:tcPr>
            <w:tcW w:w="6240" w:type="dxa"/>
            <w:vAlign w:val="bottom"/>
            <w:vMerge w:val="restart"/>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6240" w:type="dxa"/>
            <w:vAlign w:val="bottom"/>
            <w:vMerge w:val="continue"/>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(91,728)</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(27,528)</w:t>
            </w:r>
          </w:p>
        </w:tc>
        <w:tc>
          <w:tcPr>
            <w:tcW w:w="1700" w:type="dxa"/>
            <w:vAlign w:val="bottom"/>
          </w:tcPr>
          <w:p>
            <w:pPr>
              <w:jc w:val="right"/>
              <w:spacing w:after="0"/>
              <w:rPr>
                <w:sz w:val="20"/>
                <w:szCs w:val="20"/>
                <w:color w:val="auto"/>
              </w:rPr>
            </w:pPr>
            <w:r>
              <w:rPr>
                <w:rFonts w:ascii="Arial" w:cs="Arial" w:eastAsia="Arial" w:hAnsi="Arial"/>
                <w:sz w:val="18"/>
                <w:szCs w:val="18"/>
                <w:color w:val="auto"/>
              </w:rPr>
              <w:t>15,682</w:t>
            </w:r>
          </w:p>
        </w:tc>
        <w:tc>
          <w:tcPr>
            <w:tcW w:w="0" w:type="dxa"/>
            <w:vAlign w:val="bottom"/>
          </w:tcPr>
          <w:p>
            <w:pPr>
              <w:spacing w:after="0"/>
              <w:rPr>
                <w:sz w:val="1"/>
                <w:szCs w:val="1"/>
                <w:color w:val="auto"/>
              </w:rPr>
            </w:pPr>
          </w:p>
        </w:tc>
      </w:tr>
      <w:tr>
        <w:trPr>
          <w:trHeight w:val="137"/>
        </w:trPr>
        <w:tc>
          <w:tcPr>
            <w:tcW w:w="62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6240" w:type="dxa"/>
            <w:vAlign w:val="bottom"/>
          </w:tcPr>
          <w:p>
            <w:pPr>
              <w:spacing w:after="0"/>
              <w:rPr>
                <w:sz w:val="20"/>
                <w:szCs w:val="20"/>
                <w:color w:val="auto"/>
              </w:rPr>
            </w:pPr>
            <w:r>
              <w:rPr>
                <w:rFonts w:ascii="Arial" w:cs="Arial" w:eastAsia="Arial" w:hAnsi="Arial"/>
                <w:sz w:val="18"/>
                <w:szCs w:val="18"/>
                <w:color w:val="auto"/>
              </w:rPr>
              <w:t>Translation (loss) gain on cash and cash equivalents</w:t>
            </w:r>
          </w:p>
        </w:tc>
        <w:tc>
          <w:tcPr>
            <w:tcW w:w="1680" w:type="dxa"/>
            <w:vAlign w:val="bottom"/>
          </w:tcPr>
          <w:p>
            <w:pPr>
              <w:jc w:val="right"/>
              <w:spacing w:after="0"/>
              <w:rPr>
                <w:sz w:val="20"/>
                <w:szCs w:val="20"/>
                <w:color w:val="auto"/>
              </w:rPr>
            </w:pPr>
            <w:r>
              <w:rPr>
                <w:rFonts w:ascii="Arial" w:cs="Arial" w:eastAsia="Arial" w:hAnsi="Arial"/>
                <w:sz w:val="18"/>
                <w:szCs w:val="18"/>
                <w:color w:val="auto"/>
              </w:rPr>
              <w:t>(3,675)</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(9,882)</w:t>
            </w:r>
          </w:p>
        </w:tc>
        <w:tc>
          <w:tcPr>
            <w:tcW w:w="1700" w:type="dxa"/>
            <w:vAlign w:val="bottom"/>
          </w:tcPr>
          <w:p>
            <w:pPr>
              <w:jc w:val="right"/>
              <w:spacing w:after="0"/>
              <w:rPr>
                <w:sz w:val="20"/>
                <w:szCs w:val="20"/>
                <w:color w:val="auto"/>
              </w:rPr>
            </w:pPr>
            <w:r>
              <w:rPr>
                <w:rFonts w:ascii="Arial" w:cs="Arial" w:eastAsia="Arial" w:hAnsi="Arial"/>
                <w:sz w:val="18"/>
                <w:szCs w:val="18"/>
                <w:color w:val="auto"/>
              </w:rPr>
              <w:t>4,725</w:t>
            </w:r>
          </w:p>
        </w:tc>
        <w:tc>
          <w:tcPr>
            <w:tcW w:w="0" w:type="dxa"/>
            <w:vAlign w:val="bottom"/>
          </w:tcPr>
          <w:p>
            <w:pPr>
              <w:spacing w:after="0"/>
              <w:rPr>
                <w:sz w:val="1"/>
                <w:szCs w:val="1"/>
                <w:color w:val="auto"/>
              </w:rPr>
            </w:pPr>
          </w:p>
        </w:tc>
      </w:tr>
      <w:tr>
        <w:trPr>
          <w:trHeight w:val="137"/>
        </w:trPr>
        <w:tc>
          <w:tcPr>
            <w:tcW w:w="6240" w:type="dxa"/>
            <w:vAlign w:val="bottom"/>
            <w:vMerge w:val="restart"/>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599"/>
        </w:trPr>
        <w:tc>
          <w:tcPr>
            <w:tcW w:w="6240" w:type="dxa"/>
            <w:vAlign w:val="bottom"/>
            <w:vMerge w:val="continue"/>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(569,660)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284,938</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144,875</w:t>
            </w:r>
          </w:p>
        </w:tc>
        <w:tc>
          <w:tcPr>
            <w:tcW w:w="0" w:type="dxa"/>
            <w:vAlign w:val="bottom"/>
          </w:tcPr>
          <w:p>
            <w:pPr>
              <w:spacing w:after="0"/>
              <w:rPr>
                <w:sz w:val="1"/>
                <w:szCs w:val="1"/>
                <w:color w:val="auto"/>
              </w:rPr>
            </w:pPr>
          </w:p>
        </w:tc>
      </w:tr>
      <w:tr>
        <w:trPr>
          <w:trHeight w:val="486"/>
        </w:trPr>
        <w:tc>
          <w:tcPr>
            <w:tcW w:w="6240" w:type="dxa"/>
            <w:vAlign w:val="bottom"/>
          </w:tcPr>
          <w:p>
            <w:pPr>
              <w:spacing w:after="0"/>
              <w:rPr>
                <w:sz w:val="20"/>
                <w:szCs w:val="20"/>
                <w:color w:val="auto"/>
              </w:rPr>
            </w:pPr>
            <w:r>
              <w:rPr>
                <w:rFonts w:ascii="Arial" w:cs="Arial" w:eastAsia="Arial" w:hAnsi="Arial"/>
                <w:sz w:val="18"/>
                <w:szCs w:val="18"/>
                <w:b w:val="1"/>
                <w:bCs w:val="1"/>
                <w:color w:val="auto"/>
              </w:rPr>
              <w:t>Cash and cash equivalents at the beginning of the year</w:t>
            </w:r>
          </w:p>
        </w:tc>
        <w:tc>
          <w:tcPr>
            <w:tcW w:w="1680" w:type="dxa"/>
            <w:vAlign w:val="bottom"/>
          </w:tcPr>
          <w:p>
            <w:pPr>
              <w:jc w:val="right"/>
              <w:spacing w:after="0"/>
              <w:rPr>
                <w:sz w:val="20"/>
                <w:szCs w:val="20"/>
                <w:color w:val="auto"/>
              </w:rPr>
            </w:pPr>
            <w:r>
              <w:rPr>
                <w:rFonts w:ascii="Arial" w:cs="Arial" w:eastAsia="Arial" w:hAnsi="Arial"/>
                <w:sz w:val="18"/>
                <w:szCs w:val="18"/>
                <w:color w:val="auto"/>
              </w:rPr>
              <w:t>2,182,390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1,897,452</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1,752,577</w:t>
            </w:r>
          </w:p>
        </w:tc>
        <w:tc>
          <w:tcPr>
            <w:tcW w:w="0" w:type="dxa"/>
            <w:vAlign w:val="bottom"/>
          </w:tcPr>
          <w:p>
            <w:pPr>
              <w:spacing w:after="0"/>
              <w:rPr>
                <w:sz w:val="1"/>
                <w:szCs w:val="1"/>
                <w:color w:val="auto"/>
              </w:rPr>
            </w:pPr>
          </w:p>
        </w:tc>
      </w:tr>
      <w:tr>
        <w:trPr>
          <w:trHeight w:val="137"/>
        </w:trPr>
        <w:tc>
          <w:tcPr>
            <w:tcW w:w="6240" w:type="dxa"/>
            <w:vAlign w:val="bottom"/>
            <w:vMerge w:val="restart"/>
          </w:tcPr>
          <w:p>
            <w:pPr>
              <w:spacing w:after="0"/>
              <w:rPr>
                <w:sz w:val="20"/>
                <w:szCs w:val="20"/>
                <w:color w:val="auto"/>
              </w:rPr>
            </w:pPr>
            <w:r>
              <w:rPr>
                <w:rFonts w:ascii="Arial" w:cs="Arial" w:eastAsia="Arial" w:hAnsi="Arial"/>
                <w:sz w:val="18"/>
                <w:szCs w:val="18"/>
                <w:b w:val="1"/>
                <w:bCs w:val="1"/>
                <w:color w:val="auto"/>
              </w:rPr>
              <w:t>Cash and cash equivalents at the end of the year</w:t>
            </w: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599"/>
        </w:trPr>
        <w:tc>
          <w:tcPr>
            <w:tcW w:w="6240" w:type="dxa"/>
            <w:vAlign w:val="bottom"/>
            <w:vMerge w:val="continue"/>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1,612,730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2,182,390</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1,897,452</w:t>
            </w:r>
          </w:p>
        </w:tc>
        <w:tc>
          <w:tcPr>
            <w:tcW w:w="0" w:type="dxa"/>
            <w:vAlign w:val="bottom"/>
          </w:tcPr>
          <w:p>
            <w:pPr>
              <w:spacing w:after="0"/>
              <w:rPr>
                <w:sz w:val="1"/>
                <w:szCs w:val="1"/>
                <w:color w:val="auto"/>
              </w:rPr>
            </w:pPr>
          </w:p>
        </w:tc>
      </w:tr>
      <w:tr>
        <w:trPr>
          <w:trHeight w:val="147"/>
        </w:trPr>
        <w:tc>
          <w:tcPr>
            <w:tcW w:w="6240" w:type="dxa"/>
            <w:vAlign w:val="bottom"/>
            <w:vMerge w:val="restart"/>
          </w:tcPr>
          <w:p>
            <w:pPr>
              <w:spacing w:after="0"/>
              <w:rPr>
                <w:sz w:val="20"/>
                <w:szCs w:val="20"/>
                <w:color w:val="auto"/>
              </w:rPr>
            </w:pPr>
            <w:r>
              <w:rPr>
                <w:rFonts w:ascii="Arial" w:cs="Arial" w:eastAsia="Arial" w:hAnsi="Arial"/>
                <w:sz w:val="18"/>
                <w:szCs w:val="18"/>
                <w:b w:val="1"/>
                <w:bCs w:val="1"/>
                <w:color w:val="auto"/>
              </w:rPr>
              <w:t>Supplementary cash flows information:</w:t>
            </w:r>
          </w:p>
        </w:tc>
        <w:tc>
          <w:tcPr>
            <w:tcW w:w="16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89"/>
        </w:trPr>
        <w:tc>
          <w:tcPr>
            <w:tcW w:w="624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b w:val="1"/>
                <w:bCs w:val="1"/>
                <w:color w:val="auto"/>
              </w:rPr>
              <w:t>Cash paid during the year for</w:t>
            </w: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Interest</w:t>
            </w:r>
          </w:p>
        </w:tc>
        <w:tc>
          <w:tcPr>
            <w:tcW w:w="1680" w:type="dxa"/>
            <w:vAlign w:val="bottom"/>
          </w:tcPr>
          <w:p>
            <w:pPr>
              <w:jc w:val="right"/>
              <w:spacing w:after="0"/>
              <w:rPr>
                <w:sz w:val="20"/>
                <w:szCs w:val="20"/>
                <w:color w:val="auto"/>
              </w:rPr>
            </w:pPr>
            <w:r>
              <w:rPr>
                <w:rFonts w:ascii="Arial" w:cs="Arial" w:eastAsia="Arial" w:hAnsi="Arial"/>
                <w:sz w:val="18"/>
                <w:szCs w:val="18"/>
                <w:color w:val="auto"/>
              </w:rPr>
              <w:t>146,972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101,185</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327,459</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Income taxes</w:t>
            </w:r>
          </w:p>
        </w:tc>
        <w:tc>
          <w:tcPr>
            <w:tcW w:w="1680" w:type="dxa"/>
            <w:vAlign w:val="bottom"/>
          </w:tcPr>
          <w:p>
            <w:pPr>
              <w:jc w:val="right"/>
              <w:spacing w:after="0"/>
              <w:rPr>
                <w:sz w:val="20"/>
                <w:szCs w:val="20"/>
                <w:color w:val="auto"/>
              </w:rPr>
            </w:pPr>
            <w:r>
              <w:rPr>
                <w:rFonts w:ascii="Arial" w:cs="Arial" w:eastAsia="Arial" w:hAnsi="Arial"/>
                <w:sz w:val="18"/>
                <w:szCs w:val="18"/>
                <w:color w:val="auto"/>
              </w:rPr>
              <w:t>59,064</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3,487</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3,699</w:t>
            </w:r>
          </w:p>
        </w:tc>
        <w:tc>
          <w:tcPr>
            <w:tcW w:w="0" w:type="dxa"/>
            <w:vAlign w:val="bottom"/>
          </w:tcPr>
          <w:p>
            <w:pPr>
              <w:spacing w:after="0"/>
              <w:rPr>
                <w:sz w:val="1"/>
                <w:szCs w:val="1"/>
                <w:color w:val="auto"/>
              </w:rPr>
            </w:pPr>
          </w:p>
        </w:tc>
      </w:tr>
      <w:tr>
        <w:trPr>
          <w:trHeight w:val="486"/>
        </w:trPr>
        <w:tc>
          <w:tcPr>
            <w:tcW w:w="6240" w:type="dxa"/>
            <w:vAlign w:val="bottom"/>
          </w:tcPr>
          <w:p>
            <w:pPr>
              <w:spacing w:after="0"/>
              <w:rPr>
                <w:sz w:val="20"/>
                <w:szCs w:val="20"/>
                <w:color w:val="auto"/>
              </w:rPr>
            </w:pPr>
            <w:r>
              <w:rPr>
                <w:rFonts w:ascii="Arial" w:cs="Arial" w:eastAsia="Arial" w:hAnsi="Arial"/>
                <w:sz w:val="18"/>
                <w:szCs w:val="18"/>
                <w:b w:val="1"/>
                <w:bCs w:val="1"/>
                <w:color w:val="auto"/>
              </w:rPr>
              <w:t>Supplementary schedule of non-cash financing activities:</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Dividends pending payments</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15,894</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Other accounts receivable from sale of Banco Capital</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32,255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5034915</wp:posOffset>
            </wp:positionH>
            <wp:positionV relativeFrom="paragraph">
              <wp:posOffset>-3406775</wp:posOffset>
            </wp:positionV>
            <wp:extent cx="34290" cy="342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-3406775</wp:posOffset>
            </wp:positionV>
            <wp:extent cx="34290" cy="342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-3406775</wp:posOffset>
            </wp:positionV>
            <wp:extent cx="34290" cy="342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-3081020</wp:posOffset>
            </wp:positionV>
            <wp:extent cx="34290" cy="342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-3081020</wp:posOffset>
            </wp:positionV>
            <wp:extent cx="34290" cy="342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-3081020</wp:posOffset>
            </wp:positionV>
            <wp:extent cx="34290" cy="342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-2755265</wp:posOffset>
            </wp:positionV>
            <wp:extent cx="34290" cy="342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-2755265</wp:posOffset>
            </wp:positionV>
            <wp:extent cx="34290" cy="342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-2755265</wp:posOffset>
            </wp:positionV>
            <wp:extent cx="34290" cy="342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-1965960</wp:posOffset>
            </wp:positionV>
            <wp:extent cx="34290" cy="342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-1965960</wp:posOffset>
            </wp:positionV>
            <wp:extent cx="34290" cy="342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-1965960</wp:posOffset>
            </wp:positionV>
            <wp:extent cx="34290" cy="342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-1468755</wp:posOffset>
            </wp:positionV>
            <wp:extent cx="12700"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-1468755</wp:posOffset>
            </wp:positionV>
            <wp:extent cx="12700"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-1468755</wp:posOffset>
            </wp:positionV>
            <wp:extent cx="12700"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-1468755</wp:posOffset>
            </wp:positionV>
            <wp:extent cx="12700"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-1468755</wp:posOffset>
            </wp:positionV>
            <wp:extent cx="12700" cy="88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-1468755</wp:posOffset>
            </wp:positionV>
            <wp:extent cx="12700"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59320" cy="342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ectPr>
          <w:pgSz w:w="11900" w:h="16838" w:orient="portrait"/>
          <w:cols w:equalWidth="0" w:num="1">
            <w:col w:w="11400"/>
          </w:cols>
          <w:pgMar w:left="240" w:top="152" w:right="25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2003 and 2002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Operations</w:t>
      </w:r>
    </w:p>
    <w:p>
      <w:pPr>
        <w:spacing w:after="0" w:line="231"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Credicorp Ltd. (hereinafter “Credicorp” or “Group”) is a limited liability company incorporated in Bermuda in 1995 to act as a holding company and to coordinate the policy and administration of its subsidiaries. It is also engaged in investing activities.</w:t>
      </w:r>
    </w:p>
    <w:p>
      <w:pPr>
        <w:spacing w:after="0" w:line="18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Credicorp Ltd., through its banking and nonbanking subsidiaries, provide a complete range of financial services and products throughout Peru and in selected international markets. At December 31, 2003 and 2002, the major subsidiary of the Group is Banco de Crédito del Perú – BCP (hereinafter “BCP” or the Bank), a Peruvian universal bank.</w:t>
      </w:r>
    </w:p>
    <w:p>
      <w:pPr>
        <w:spacing w:after="0" w:line="19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address of Credicorp’s main office is Calle Centenario Nº156, La Molina, Lima, Perú. The Group employed approximately 9,318 employees as of December 31, 2003.</w:t>
      </w:r>
    </w:p>
    <w:p>
      <w:pPr>
        <w:spacing w:after="0" w:line="18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consolidated financial statements as of and for the year ended December 31, 2002 have been approved in the General Shareholders’ Meeting dated March 28, 2003. The accompanying consolidated financial statements as of and for the year ended December 31, 2003, will be submitted for approval at the Board of Directors and the General Shareholders’ Meeting that will occur within the period established by law. In Management’s opinion, the accompanying consolidated financial statements will be approved without modifications.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Business developments</w:t>
      </w:r>
    </w:p>
    <w:p>
      <w:pPr>
        <w:spacing w:after="0" w:line="231" w:lineRule="exact"/>
        <w:rPr>
          <w:sz w:val="20"/>
          <w:szCs w:val="20"/>
          <w:color w:val="auto"/>
        </w:rPr>
      </w:pPr>
    </w:p>
    <w:p>
      <w:pPr>
        <w:ind w:right="400" w:firstLine="8"/>
        <w:spacing w:after="0" w:line="268" w:lineRule="auto"/>
        <w:tabs>
          <w:tab w:leader="none" w:pos="239"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Acquisition of Solución Financiera de Credito del Perú S.A. - In March 2003, BCP acquired a 45 percent interest in its subsidiary Solución Financiera de Crédito del Perú S.A. (hereafter “Financiera”), thus increasing its participation to 100 percent of its capital stock.</w:t>
      </w:r>
    </w:p>
    <w:p>
      <w:pPr>
        <w:spacing w:after="0" w:line="18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amount paid for the aforementioned purchase amounted approximately to US$17.1 million, generating goodwill for approximately US$8 million, see note 10(c).</w:t>
      </w:r>
    </w:p>
    <w:p>
      <w:pPr>
        <w:spacing w:after="0" w:line="186" w:lineRule="exact"/>
        <w:rPr>
          <w:sz w:val="20"/>
          <w:szCs w:val="20"/>
          <w:color w:val="auto"/>
        </w:rPr>
      </w:pPr>
    </w:p>
    <w:p>
      <w:pPr>
        <w:ind w:right="180" w:firstLine="8"/>
        <w:spacing w:after="0" w:line="306" w:lineRule="auto"/>
        <w:tabs>
          <w:tab w:leader="none" w:pos="249" w:val="left"/>
        </w:tabs>
        <w:numPr>
          <w:ilvl w:val="0"/>
          <w:numId w:val="37"/>
        </w:numPr>
        <w:rPr>
          <w:rFonts w:ascii="Arial" w:cs="Arial" w:eastAsia="Arial" w:hAnsi="Arial"/>
          <w:sz w:val="16"/>
          <w:szCs w:val="16"/>
          <w:color w:val="auto"/>
        </w:rPr>
      </w:pPr>
      <w:r>
        <w:rPr>
          <w:rFonts w:ascii="Arial" w:cs="Arial" w:eastAsia="Arial" w:hAnsi="Arial"/>
          <w:sz w:val="16"/>
          <w:szCs w:val="16"/>
          <w:color w:val="auto"/>
        </w:rPr>
        <w:t>Acquisition of Banco Santander Central Hispano S.A. - Peru - In December 2002, through a Tender Offer (TO), BCP acquired 99.94 percent of Banco Santander Central Hispano S.A. - Perú (hereafter “BSCH - Peru”). According to Law 26702, BCP had a period no longer than 6 months to absorb this financial entity. In this respect, the BCP’s General Shareholders’ Meeting held on December 30, 2002, approved this transaction with effective date February 28, 2003.</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59320" cy="342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40" w:name="page141"/>
    <w:bookmarkEnd w:id="140"/>
    <w:p>
      <w:pPr>
        <w:jc w:val="both"/>
        <w:ind w:right="300"/>
        <w:spacing w:after="0" w:line="306" w:lineRule="auto"/>
        <w:rPr>
          <w:sz w:val="20"/>
          <w:szCs w:val="20"/>
          <w:color w:val="auto"/>
        </w:rPr>
      </w:pPr>
      <w:r>
        <w:rPr>
          <w:rFonts w:ascii="Arial" w:cs="Arial" w:eastAsia="Arial" w:hAnsi="Arial"/>
          <w:sz w:val="16"/>
          <w:szCs w:val="16"/>
          <w:color w:val="auto"/>
        </w:rPr>
        <w:t>The acquisition of BSCH - Peru and its subsidiaries has been recorded under the purchase accounting method, reflecting their assets and liabilities at their fair values at the date of acquisition. For practical reasons, the acquisition of BSCH - Peru and its subsidiaries has been considered as if this had been realized on November 30, 2002. The fair values of the identifiable assets and liabilities of such financial entity were as follows:</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910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486"/>
        </w:trPr>
        <w:tc>
          <w:tcPr>
            <w:tcW w:w="9100" w:type="dxa"/>
            <w:vAlign w:val="bottom"/>
          </w:tcPr>
          <w:p>
            <w:pPr>
              <w:spacing w:after="0"/>
              <w:rPr>
                <w:sz w:val="20"/>
                <w:szCs w:val="20"/>
                <w:color w:val="auto"/>
              </w:rPr>
            </w:pPr>
            <w:r>
              <w:rPr>
                <w:rFonts w:ascii="Arial" w:cs="Arial" w:eastAsia="Arial" w:hAnsi="Arial"/>
                <w:sz w:val="18"/>
                <w:szCs w:val="18"/>
                <w:color w:val="auto"/>
              </w:rPr>
              <w:t>Cash acquired</w:t>
            </w:r>
          </w:p>
        </w:tc>
        <w:tc>
          <w:tcPr>
            <w:tcW w:w="2260" w:type="dxa"/>
            <w:vAlign w:val="bottom"/>
          </w:tcPr>
          <w:p>
            <w:pPr>
              <w:jc w:val="right"/>
              <w:spacing w:after="0"/>
              <w:rPr>
                <w:sz w:val="20"/>
                <w:szCs w:val="20"/>
                <w:color w:val="auto"/>
              </w:rPr>
            </w:pPr>
            <w:r>
              <w:rPr>
                <w:rFonts w:ascii="Arial" w:cs="Arial" w:eastAsia="Arial" w:hAnsi="Arial"/>
                <w:sz w:val="18"/>
                <w:szCs w:val="18"/>
                <w:color w:val="auto"/>
              </w:rPr>
              <w:t>190,782</w:t>
            </w:r>
          </w:p>
        </w:tc>
        <w:tc>
          <w:tcPr>
            <w:tcW w:w="0" w:type="dxa"/>
            <w:vAlign w:val="bottom"/>
          </w:tcPr>
          <w:p>
            <w:pPr>
              <w:spacing w:after="0"/>
              <w:rPr>
                <w:sz w:val="1"/>
                <w:szCs w:val="1"/>
                <w:color w:val="auto"/>
              </w:rPr>
            </w:pPr>
          </w:p>
        </w:tc>
      </w:tr>
      <w:tr>
        <w:trPr>
          <w:trHeight w:val="243"/>
        </w:trPr>
        <w:tc>
          <w:tcPr>
            <w:tcW w:w="9100" w:type="dxa"/>
            <w:vAlign w:val="bottom"/>
          </w:tcPr>
          <w:p>
            <w:pPr>
              <w:spacing w:after="0"/>
              <w:rPr>
                <w:sz w:val="20"/>
                <w:szCs w:val="20"/>
                <w:color w:val="auto"/>
              </w:rPr>
            </w:pPr>
            <w:r>
              <w:rPr>
                <w:rFonts w:ascii="Arial" w:cs="Arial" w:eastAsia="Arial" w:hAnsi="Arial"/>
                <w:sz w:val="18"/>
                <w:szCs w:val="18"/>
                <w:color w:val="auto"/>
              </w:rPr>
              <w:t>Loans, net</w:t>
            </w:r>
          </w:p>
        </w:tc>
        <w:tc>
          <w:tcPr>
            <w:tcW w:w="2260" w:type="dxa"/>
            <w:vAlign w:val="bottom"/>
          </w:tcPr>
          <w:p>
            <w:pPr>
              <w:jc w:val="right"/>
              <w:spacing w:after="0"/>
              <w:rPr>
                <w:sz w:val="20"/>
                <w:szCs w:val="20"/>
                <w:color w:val="auto"/>
              </w:rPr>
            </w:pPr>
            <w:r>
              <w:rPr>
                <w:rFonts w:ascii="Arial" w:cs="Arial" w:eastAsia="Arial" w:hAnsi="Arial"/>
                <w:sz w:val="18"/>
                <w:szCs w:val="18"/>
                <w:color w:val="auto"/>
              </w:rPr>
              <w:t>658,835</w:t>
            </w:r>
          </w:p>
        </w:tc>
        <w:tc>
          <w:tcPr>
            <w:tcW w:w="0" w:type="dxa"/>
            <w:vAlign w:val="bottom"/>
          </w:tcPr>
          <w:p>
            <w:pPr>
              <w:spacing w:after="0"/>
              <w:rPr>
                <w:sz w:val="1"/>
                <w:szCs w:val="1"/>
                <w:color w:val="auto"/>
              </w:rPr>
            </w:pPr>
          </w:p>
        </w:tc>
      </w:tr>
      <w:tr>
        <w:trPr>
          <w:trHeight w:val="243"/>
        </w:trPr>
        <w:tc>
          <w:tcPr>
            <w:tcW w:w="9100" w:type="dxa"/>
            <w:vAlign w:val="bottom"/>
          </w:tcPr>
          <w:p>
            <w:pPr>
              <w:spacing w:after="0"/>
              <w:rPr>
                <w:sz w:val="20"/>
                <w:szCs w:val="20"/>
                <w:color w:val="auto"/>
              </w:rPr>
            </w:pPr>
            <w:r>
              <w:rPr>
                <w:rFonts w:ascii="Arial" w:cs="Arial" w:eastAsia="Arial" w:hAnsi="Arial"/>
                <w:sz w:val="18"/>
                <w:szCs w:val="18"/>
                <w:color w:val="auto"/>
              </w:rPr>
              <w:t>Other assets</w:t>
            </w:r>
          </w:p>
        </w:tc>
        <w:tc>
          <w:tcPr>
            <w:tcW w:w="2260" w:type="dxa"/>
            <w:vAlign w:val="bottom"/>
          </w:tcPr>
          <w:p>
            <w:pPr>
              <w:jc w:val="right"/>
              <w:spacing w:after="0"/>
              <w:rPr>
                <w:sz w:val="20"/>
                <w:szCs w:val="20"/>
                <w:color w:val="auto"/>
              </w:rPr>
            </w:pPr>
            <w:r>
              <w:rPr>
                <w:rFonts w:ascii="Arial" w:cs="Arial" w:eastAsia="Arial" w:hAnsi="Arial"/>
                <w:sz w:val="18"/>
                <w:szCs w:val="18"/>
                <w:color w:val="auto"/>
              </w:rPr>
              <w:t>158,370</w:t>
            </w:r>
          </w:p>
        </w:tc>
        <w:tc>
          <w:tcPr>
            <w:tcW w:w="0" w:type="dxa"/>
            <w:vAlign w:val="bottom"/>
          </w:tcPr>
          <w:p>
            <w:pPr>
              <w:spacing w:after="0"/>
              <w:rPr>
                <w:sz w:val="1"/>
                <w:szCs w:val="1"/>
                <w:color w:val="auto"/>
              </w:rPr>
            </w:pPr>
          </w:p>
        </w:tc>
      </w:tr>
      <w:tr>
        <w:trPr>
          <w:trHeight w:val="243"/>
        </w:trPr>
        <w:tc>
          <w:tcPr>
            <w:tcW w:w="9100" w:type="dxa"/>
            <w:vAlign w:val="bottom"/>
          </w:tcPr>
          <w:p>
            <w:pPr>
              <w:spacing w:after="0"/>
              <w:rPr>
                <w:sz w:val="20"/>
                <w:szCs w:val="20"/>
                <w:color w:val="auto"/>
              </w:rPr>
            </w:pPr>
            <w:r>
              <w:rPr>
                <w:rFonts w:ascii="Arial" w:cs="Arial" w:eastAsia="Arial" w:hAnsi="Arial"/>
                <w:sz w:val="18"/>
                <w:szCs w:val="18"/>
                <w:color w:val="auto"/>
              </w:rPr>
              <w:t>Total liabilities</w:t>
            </w:r>
          </w:p>
        </w:tc>
        <w:tc>
          <w:tcPr>
            <w:tcW w:w="2260" w:type="dxa"/>
            <w:vAlign w:val="bottom"/>
          </w:tcPr>
          <w:p>
            <w:pPr>
              <w:jc w:val="right"/>
              <w:spacing w:after="0"/>
              <w:rPr>
                <w:sz w:val="20"/>
                <w:szCs w:val="20"/>
                <w:color w:val="auto"/>
              </w:rPr>
            </w:pPr>
            <w:r>
              <w:rPr>
                <w:rFonts w:ascii="Arial" w:cs="Arial" w:eastAsia="Arial" w:hAnsi="Arial"/>
                <w:sz w:val="18"/>
                <w:szCs w:val="18"/>
                <w:color w:val="auto"/>
              </w:rPr>
              <w:t>(957,987)</w:t>
            </w:r>
          </w:p>
        </w:tc>
        <w:tc>
          <w:tcPr>
            <w:tcW w:w="0" w:type="dxa"/>
            <w:vAlign w:val="bottom"/>
          </w:tcPr>
          <w:p>
            <w:pPr>
              <w:spacing w:after="0"/>
              <w:rPr>
                <w:sz w:val="1"/>
                <w:szCs w:val="1"/>
                <w:color w:val="auto"/>
              </w:rPr>
            </w:pPr>
          </w:p>
        </w:tc>
      </w:tr>
      <w:tr>
        <w:trPr>
          <w:trHeight w:val="137"/>
        </w:trPr>
        <w:tc>
          <w:tcPr>
            <w:tcW w:w="9100" w:type="dxa"/>
            <w:vAlign w:val="bottom"/>
            <w:vMerge w:val="restart"/>
          </w:tcPr>
          <w:p>
            <w:pPr>
              <w:spacing w:after="0"/>
              <w:rPr>
                <w:sz w:val="20"/>
                <w:szCs w:val="20"/>
                <w:color w:val="auto"/>
              </w:rPr>
            </w:pPr>
            <w:r>
              <w:rPr>
                <w:rFonts w:ascii="Arial" w:cs="Arial" w:eastAsia="Arial" w:hAnsi="Arial"/>
                <w:sz w:val="18"/>
                <w:szCs w:val="18"/>
                <w:b w:val="1"/>
                <w:bCs w:val="1"/>
                <w:color w:val="auto"/>
              </w:rPr>
              <w:t>Cash paid for the acquisition</w:t>
            </w:r>
          </w:p>
        </w:tc>
        <w:tc>
          <w:tcPr>
            <w:tcW w:w="22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599"/>
        </w:trPr>
        <w:tc>
          <w:tcPr>
            <w:tcW w:w="9100" w:type="dxa"/>
            <w:vAlign w:val="bottom"/>
            <w:vMerge w:val="continue"/>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147"/>
        </w:trPr>
        <w:tc>
          <w:tcPr>
            <w:tcW w:w="9100" w:type="dxa"/>
            <w:vAlign w:val="bottom"/>
          </w:tcPr>
          <w:p>
            <w:pPr>
              <w:spacing w:after="0"/>
              <w:rPr>
                <w:sz w:val="12"/>
                <w:szCs w:val="12"/>
                <w:color w:val="auto"/>
              </w:rPr>
            </w:pPr>
          </w:p>
        </w:tc>
        <w:tc>
          <w:tcPr>
            <w:tcW w:w="2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-511810</wp:posOffset>
            </wp:positionV>
            <wp:extent cx="34290" cy="342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-14605</wp:posOffset>
            </wp:positionV>
            <wp:extent cx="12700"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-14605</wp:posOffset>
            </wp:positionV>
            <wp:extent cx="12700"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2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unaudited pro-forma combined results of the Group, as if BSCH - Perú had been acquired at the beginning of the years 2002 and 2001, are estimated to be as follows:</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6400" w:type="dxa"/>
            <w:vAlign w:val="bottom"/>
          </w:tcPr>
          <w:p>
            <w:pPr>
              <w:spacing w:after="0"/>
              <w:rPr>
                <w:sz w:val="19"/>
                <w:szCs w:val="19"/>
                <w:color w:val="auto"/>
              </w:rPr>
            </w:pPr>
          </w:p>
        </w:tc>
        <w:tc>
          <w:tcPr>
            <w:tcW w:w="3480" w:type="dxa"/>
            <w:vAlign w:val="bottom"/>
          </w:tcPr>
          <w:p>
            <w:pPr>
              <w:jc w:val="right"/>
              <w:ind w:right="852"/>
              <w:spacing w:after="0"/>
              <w:rPr>
                <w:sz w:val="20"/>
                <w:szCs w:val="20"/>
                <w:color w:val="auto"/>
              </w:rPr>
            </w:pPr>
            <w:r>
              <w:rPr>
                <w:rFonts w:ascii="Arial" w:cs="Arial" w:eastAsia="Arial" w:hAnsi="Arial"/>
                <w:sz w:val="18"/>
                <w:szCs w:val="18"/>
                <w:b w:val="1"/>
                <w:bCs w:val="1"/>
                <w:color w:val="auto"/>
              </w:rPr>
              <w:t>2002</w:t>
            </w:r>
          </w:p>
        </w:tc>
        <w:tc>
          <w:tcPr>
            <w:tcW w:w="1420" w:type="dxa"/>
            <w:vAlign w:val="bottom"/>
          </w:tcPr>
          <w:p>
            <w:pPr>
              <w:jc w:val="right"/>
              <w:ind w:right="552"/>
              <w:spacing w:after="0"/>
              <w:rPr>
                <w:sz w:val="20"/>
                <w:szCs w:val="20"/>
                <w:color w:val="auto"/>
              </w:rPr>
            </w:pPr>
            <w:r>
              <w:rPr>
                <w:rFonts w:ascii="Arial" w:cs="Arial" w:eastAsia="Arial" w:hAnsi="Arial"/>
                <w:sz w:val="18"/>
                <w:szCs w:val="18"/>
                <w:b w:val="1"/>
                <w:bCs w:val="1"/>
                <w:color w:val="auto"/>
              </w:rPr>
              <w:t>2001</w:t>
            </w:r>
          </w:p>
        </w:tc>
      </w:tr>
      <w:tr>
        <w:trPr>
          <w:trHeight w:val="243"/>
        </w:trPr>
        <w:tc>
          <w:tcPr>
            <w:tcW w:w="6400" w:type="dxa"/>
            <w:vAlign w:val="bottom"/>
          </w:tcPr>
          <w:p>
            <w:pPr>
              <w:spacing w:after="0"/>
              <w:rPr>
                <w:sz w:val="21"/>
                <w:szCs w:val="21"/>
                <w:color w:val="auto"/>
              </w:rPr>
            </w:pPr>
          </w:p>
        </w:tc>
        <w:tc>
          <w:tcPr>
            <w:tcW w:w="3480" w:type="dxa"/>
            <w:vAlign w:val="bottom"/>
          </w:tcPr>
          <w:p>
            <w:pPr>
              <w:jc w:val="right"/>
              <w:ind w:right="652"/>
              <w:spacing w:after="0"/>
              <w:rPr>
                <w:sz w:val="20"/>
                <w:szCs w:val="20"/>
                <w:color w:val="auto"/>
              </w:rPr>
            </w:pPr>
            <w:r>
              <w:rPr>
                <w:rFonts w:ascii="Arial" w:cs="Arial" w:eastAsia="Arial" w:hAnsi="Arial"/>
                <w:sz w:val="18"/>
                <w:szCs w:val="18"/>
                <w:color w:val="auto"/>
              </w:rPr>
              <w:t>US$(000)</w:t>
            </w:r>
          </w:p>
        </w:tc>
        <w:tc>
          <w:tcPr>
            <w:tcW w:w="1420" w:type="dxa"/>
            <w:vAlign w:val="bottom"/>
          </w:tcPr>
          <w:p>
            <w:pPr>
              <w:jc w:val="right"/>
              <w:ind w:right="352"/>
              <w:spacing w:after="0"/>
              <w:rPr>
                <w:sz w:val="20"/>
                <w:szCs w:val="20"/>
                <w:color w:val="auto"/>
              </w:rPr>
            </w:pPr>
            <w:r>
              <w:rPr>
                <w:rFonts w:ascii="Arial" w:cs="Arial" w:eastAsia="Arial" w:hAnsi="Arial"/>
                <w:sz w:val="18"/>
                <w:szCs w:val="18"/>
                <w:color w:val="auto"/>
              </w:rPr>
              <w:t>US$(000)</w:t>
            </w:r>
          </w:p>
        </w:tc>
      </w:tr>
      <w:tr>
        <w:trPr>
          <w:trHeight w:val="486"/>
        </w:trPr>
        <w:tc>
          <w:tcPr>
            <w:tcW w:w="6400" w:type="dxa"/>
            <w:vAlign w:val="bottom"/>
          </w:tcPr>
          <w:p>
            <w:pPr>
              <w:spacing w:after="0"/>
              <w:rPr>
                <w:sz w:val="20"/>
                <w:szCs w:val="20"/>
                <w:color w:val="auto"/>
              </w:rPr>
            </w:pPr>
            <w:r>
              <w:rPr>
                <w:rFonts w:ascii="Arial" w:cs="Arial" w:eastAsia="Arial" w:hAnsi="Arial"/>
                <w:sz w:val="18"/>
                <w:szCs w:val="18"/>
                <w:color w:val="auto"/>
              </w:rPr>
              <w:t>Net interest income</w:t>
            </w:r>
          </w:p>
        </w:tc>
        <w:tc>
          <w:tcPr>
            <w:tcW w:w="3480" w:type="dxa"/>
            <w:vAlign w:val="bottom"/>
          </w:tcPr>
          <w:p>
            <w:pPr>
              <w:jc w:val="right"/>
              <w:ind w:right="192"/>
              <w:spacing w:after="0"/>
              <w:rPr>
                <w:sz w:val="20"/>
                <w:szCs w:val="20"/>
                <w:color w:val="auto"/>
              </w:rPr>
            </w:pPr>
            <w:r>
              <w:rPr>
                <w:rFonts w:ascii="Arial" w:cs="Arial" w:eastAsia="Arial" w:hAnsi="Arial"/>
                <w:sz w:val="18"/>
                <w:szCs w:val="18"/>
                <w:color w:val="auto"/>
              </w:rPr>
              <w:t>413,163</w:t>
            </w:r>
          </w:p>
        </w:tc>
        <w:tc>
          <w:tcPr>
            <w:tcW w:w="1420" w:type="dxa"/>
            <w:vAlign w:val="bottom"/>
          </w:tcPr>
          <w:p>
            <w:pPr>
              <w:jc w:val="right"/>
              <w:spacing w:after="0"/>
              <w:rPr>
                <w:sz w:val="20"/>
                <w:szCs w:val="20"/>
                <w:color w:val="auto"/>
              </w:rPr>
            </w:pPr>
            <w:r>
              <w:rPr>
                <w:rFonts w:ascii="Arial" w:cs="Arial" w:eastAsia="Arial" w:hAnsi="Arial"/>
                <w:sz w:val="18"/>
                <w:szCs w:val="18"/>
                <w:color w:val="auto"/>
              </w:rPr>
              <w:t>450,455</w:t>
            </w:r>
          </w:p>
        </w:tc>
      </w:tr>
      <w:tr>
        <w:trPr>
          <w:trHeight w:val="243"/>
        </w:trPr>
        <w:tc>
          <w:tcPr>
            <w:tcW w:w="6400" w:type="dxa"/>
            <w:vAlign w:val="bottom"/>
          </w:tcPr>
          <w:p>
            <w:pPr>
              <w:spacing w:after="0"/>
              <w:rPr>
                <w:sz w:val="20"/>
                <w:szCs w:val="20"/>
                <w:color w:val="auto"/>
              </w:rPr>
            </w:pPr>
            <w:r>
              <w:rPr>
                <w:rFonts w:ascii="Arial" w:cs="Arial" w:eastAsia="Arial" w:hAnsi="Arial"/>
                <w:sz w:val="18"/>
                <w:szCs w:val="18"/>
                <w:color w:val="auto"/>
              </w:rPr>
              <w:t>Net interest income after provision for loan losses</w:t>
            </w:r>
          </w:p>
        </w:tc>
        <w:tc>
          <w:tcPr>
            <w:tcW w:w="3480" w:type="dxa"/>
            <w:vAlign w:val="bottom"/>
          </w:tcPr>
          <w:p>
            <w:pPr>
              <w:jc w:val="right"/>
              <w:ind w:right="192"/>
              <w:spacing w:after="0"/>
              <w:rPr>
                <w:sz w:val="20"/>
                <w:szCs w:val="20"/>
                <w:color w:val="auto"/>
              </w:rPr>
            </w:pPr>
            <w:r>
              <w:rPr>
                <w:rFonts w:ascii="Arial" w:cs="Arial" w:eastAsia="Arial" w:hAnsi="Arial"/>
                <w:sz w:val="18"/>
                <w:szCs w:val="18"/>
                <w:color w:val="auto"/>
              </w:rPr>
              <w:t>305,628</w:t>
            </w:r>
          </w:p>
        </w:tc>
        <w:tc>
          <w:tcPr>
            <w:tcW w:w="1420" w:type="dxa"/>
            <w:vAlign w:val="bottom"/>
          </w:tcPr>
          <w:p>
            <w:pPr>
              <w:jc w:val="right"/>
              <w:spacing w:after="0"/>
              <w:rPr>
                <w:sz w:val="20"/>
                <w:szCs w:val="20"/>
                <w:color w:val="auto"/>
              </w:rPr>
            </w:pPr>
            <w:r>
              <w:rPr>
                <w:rFonts w:ascii="Arial" w:cs="Arial" w:eastAsia="Arial" w:hAnsi="Arial"/>
                <w:sz w:val="18"/>
                <w:szCs w:val="18"/>
                <w:color w:val="auto"/>
              </w:rPr>
              <w:t>311,566</w:t>
            </w:r>
          </w:p>
        </w:tc>
      </w:tr>
      <w:tr>
        <w:trPr>
          <w:trHeight w:val="243"/>
        </w:trPr>
        <w:tc>
          <w:tcPr>
            <w:tcW w:w="6400" w:type="dxa"/>
            <w:vAlign w:val="bottom"/>
          </w:tcPr>
          <w:p>
            <w:pPr>
              <w:spacing w:after="0"/>
              <w:rPr>
                <w:sz w:val="20"/>
                <w:szCs w:val="20"/>
                <w:color w:val="auto"/>
              </w:rPr>
            </w:pPr>
            <w:r>
              <w:rPr>
                <w:rFonts w:ascii="Arial" w:cs="Arial" w:eastAsia="Arial" w:hAnsi="Arial"/>
                <w:sz w:val="18"/>
                <w:szCs w:val="18"/>
                <w:color w:val="auto"/>
              </w:rPr>
              <w:t>Net income</w:t>
            </w:r>
          </w:p>
        </w:tc>
        <w:tc>
          <w:tcPr>
            <w:tcW w:w="3480" w:type="dxa"/>
            <w:vAlign w:val="bottom"/>
          </w:tcPr>
          <w:p>
            <w:pPr>
              <w:jc w:val="right"/>
              <w:ind w:right="192"/>
              <w:spacing w:after="0"/>
              <w:rPr>
                <w:sz w:val="20"/>
                <w:szCs w:val="20"/>
                <w:color w:val="auto"/>
              </w:rPr>
            </w:pPr>
            <w:r>
              <w:rPr>
                <w:rFonts w:ascii="Arial" w:cs="Arial" w:eastAsia="Arial" w:hAnsi="Arial"/>
                <w:sz w:val="18"/>
                <w:szCs w:val="18"/>
                <w:color w:val="auto"/>
              </w:rPr>
              <w:t>46,843</w:t>
            </w:r>
          </w:p>
        </w:tc>
        <w:tc>
          <w:tcPr>
            <w:tcW w:w="1420" w:type="dxa"/>
            <w:vAlign w:val="bottom"/>
          </w:tcPr>
          <w:p>
            <w:pPr>
              <w:jc w:val="right"/>
              <w:spacing w:after="0"/>
              <w:rPr>
                <w:sz w:val="20"/>
                <w:szCs w:val="20"/>
                <w:color w:val="auto"/>
              </w:rPr>
            </w:pPr>
            <w:r>
              <w:rPr>
                <w:rFonts w:ascii="Arial" w:cs="Arial" w:eastAsia="Arial" w:hAnsi="Arial"/>
                <w:sz w:val="18"/>
                <w:szCs w:val="18"/>
                <w:color w:val="auto"/>
              </w:rPr>
              <w:t>55,352</w:t>
            </w:r>
          </w:p>
        </w:tc>
      </w:tr>
      <w:tr>
        <w:trPr>
          <w:trHeight w:val="243"/>
        </w:trPr>
        <w:tc>
          <w:tcPr>
            <w:tcW w:w="6400" w:type="dxa"/>
            <w:vAlign w:val="bottom"/>
          </w:tcPr>
          <w:p>
            <w:pPr>
              <w:spacing w:after="0"/>
              <w:rPr>
                <w:sz w:val="20"/>
                <w:szCs w:val="20"/>
                <w:color w:val="auto"/>
              </w:rPr>
            </w:pPr>
            <w:r>
              <w:rPr>
                <w:rFonts w:ascii="Arial" w:cs="Arial" w:eastAsia="Arial" w:hAnsi="Arial"/>
                <w:sz w:val="18"/>
                <w:szCs w:val="18"/>
                <w:color w:val="auto"/>
              </w:rPr>
              <w:t>Basic and diluted earnings per share (in United States dollars)</w:t>
            </w:r>
          </w:p>
        </w:tc>
        <w:tc>
          <w:tcPr>
            <w:tcW w:w="3480" w:type="dxa"/>
            <w:vAlign w:val="bottom"/>
          </w:tcPr>
          <w:p>
            <w:pPr>
              <w:jc w:val="right"/>
              <w:ind w:right="192"/>
              <w:spacing w:after="0"/>
              <w:rPr>
                <w:sz w:val="20"/>
                <w:szCs w:val="20"/>
                <w:color w:val="auto"/>
              </w:rPr>
            </w:pPr>
            <w:r>
              <w:rPr>
                <w:rFonts w:ascii="Arial" w:cs="Arial" w:eastAsia="Arial" w:hAnsi="Arial"/>
                <w:sz w:val="18"/>
                <w:szCs w:val="18"/>
                <w:color w:val="auto"/>
              </w:rPr>
              <w:t>0.59</w:t>
            </w:r>
          </w:p>
        </w:tc>
        <w:tc>
          <w:tcPr>
            <w:tcW w:w="1420" w:type="dxa"/>
            <w:vAlign w:val="bottom"/>
          </w:tcPr>
          <w:p>
            <w:pPr>
              <w:jc w:val="right"/>
              <w:spacing w:after="0"/>
              <w:rPr>
                <w:sz w:val="20"/>
                <w:szCs w:val="20"/>
                <w:color w:val="auto"/>
              </w:rPr>
            </w:pPr>
            <w:r>
              <w:rPr>
                <w:rFonts w:ascii="Arial" w:cs="Arial" w:eastAsia="Arial" w:hAnsi="Arial"/>
                <w:sz w:val="18"/>
                <w:szCs w:val="18"/>
                <w:color w:val="auto"/>
              </w:rPr>
              <w:t>0.70</w:t>
            </w:r>
          </w:p>
        </w:tc>
      </w:tr>
    </w:tbl>
    <w:p>
      <w:pPr>
        <w:spacing w:after="0" w:line="237"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color w:val="auto"/>
        </w:rPr>
        <w:t>This pro-forma information is presented for comparative purposes only and does not intend to be indicative of the results that would have resulted had the acquisition occurred at the beginning of the periods presented, nor are they necessarily indicative of future consolidated results.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59320" cy="342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ectPr>
          <w:pgSz w:w="11900" w:h="16838" w:orient="portrait"/>
          <w:cols w:equalWidth="0" w:num="1">
            <w:col w:w="11400"/>
          </w:cols>
          <w:pgMar w:left="240" w:top="347" w:right="25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color w:val="auto"/>
        </w:rPr>
        <w:t>3.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Significant accounting principles and practices used in the preparation of Credicorp’s consolidated financial statements are described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Basis of presentation and use of estimates -</w:t>
      </w:r>
    </w:p>
    <w:p>
      <w:pPr>
        <w:spacing w:after="0" w:line="1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consolidated financial statements have been prepared in accordance with International Financial Reporting Standards - IFRS. These consolidated financial statements are prepared under the historical cost convention, except where otherwise stated.</w:t>
      </w:r>
    </w:p>
    <w:p>
      <w:pPr>
        <w:spacing w:after="0" w:line="19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preparation of the consolidated financial statements requires management to make estimates and assumptions that affect the reported amounts of assets and liabilities, revenues and expenses and disclosure of significant events in notes to the consolidated financial statements. Actual results could differ from those estimates. The most significant estimates comprised in the accompanying consolidated financial statements are related to the computation of the allowance for credit losses, the measurement of financial instruments, the provision corresponding to the technical reserves for claims and premiums, the depreciation of property, furniture and equipment, the amortization of intangible assets and goodwill, the reserves for assets seized through legal actions and the valuation of derivatives. The accounting criteria used for each of these items are described below.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(b) Principles of consolidation -</w:t>
      </w:r>
    </w:p>
    <w:p>
      <w:pPr>
        <w:spacing w:after="0" w:line="1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Subsidiaries are consolidated from the date on which effective control is transferred to the Group and are no longer consolidated from the date of disposal. The consolidated financial statements incorporate the assets, liabilities, revenues and expenses of Credicorp and its subsidiaries. All inter-company transactions, balances and unrealized surpluses and deficits between Group companies have been eliminated. Where necessary, the accounting policies used by subsidiaries have been changed to ensure consistency with IFRS.</w:t>
      </w:r>
    </w:p>
    <w:p>
      <w:pPr>
        <w:spacing w:after="0" w:line="200" w:lineRule="exact"/>
        <w:rPr>
          <w:sz w:val="20"/>
          <w:szCs w:val="20"/>
          <w:color w:val="auto"/>
        </w:rPr>
      </w:pPr>
    </w:p>
    <w:p>
      <w:pPr>
        <w:spacing w:after="0" w:line="2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59320" cy="342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ectPr>
          <w:pgSz w:w="11900" w:h="16838" w:orient="portrait"/>
          <w:cols w:equalWidth="0" w:num="1">
            <w:col w:w="11220"/>
          </w:cols>
          <w:pgMar w:left="240" w:top="341" w:right="439" w:bottom="1440" w:gutter="0" w:footer="0" w:header="0"/>
        </w:sectPr>
      </w:pPr>
    </w:p>
    <w:bookmarkStart w:id="142" w:name="page143"/>
    <w:bookmarkEnd w:id="142"/>
    <w:p>
      <w:pPr>
        <w:ind w:right="20"/>
        <w:spacing w:after="0" w:line="259" w:lineRule="auto"/>
        <w:rPr>
          <w:sz w:val="20"/>
          <w:szCs w:val="20"/>
          <w:color w:val="auto"/>
        </w:rPr>
      </w:pPr>
      <w:r>
        <w:rPr>
          <w:rFonts w:ascii="Arial" w:cs="Arial" w:eastAsia="Arial" w:hAnsi="Arial"/>
          <w:sz w:val="18"/>
          <w:szCs w:val="18"/>
          <w:color w:val="auto"/>
        </w:rPr>
        <w:t>The companies that comprise the Group as of December 31, 2003 and 2002, with an indication of the percentage of participation owned directly and indirectly by Credicorp as of those dates, as well as other relevant information, based on information obtained before the eliminations to be considered for consolidation purposes are as follows:</w:t>
      </w:r>
    </w:p>
    <w:p>
      <w:pPr>
        <w:spacing w:after="0" w:line="244" w:lineRule="exact"/>
        <w:rPr>
          <w:sz w:val="20"/>
          <w:szCs w:val="20"/>
          <w:color w:val="auto"/>
        </w:rPr>
      </w:pPr>
    </w:p>
    <w:tbl>
      <w:tblPr>
        <w:tblLayout w:type="fixed"/>
        <w:tblInd w:w="60" w:type="dxa"/>
        <w:tblCellMar>
          <w:top w:w="0" w:type="dxa"/>
          <w:left w:w="0" w:type="dxa"/>
          <w:bottom w:w="0" w:type="dxa"/>
          <w:right w:w="0" w:type="dxa"/>
        </w:tblCellMar>
      </w:tblPr>
      <w:tr>
        <w:trPr>
          <w:trHeight w:val="174"/>
        </w:trPr>
        <w:tc>
          <w:tcPr>
            <w:tcW w:w="2260" w:type="dxa"/>
            <w:vAlign w:val="bottom"/>
          </w:tcPr>
          <w:p>
            <w:pPr>
              <w:spacing w:after="0"/>
              <w:rPr>
                <w:sz w:val="20"/>
                <w:szCs w:val="20"/>
                <w:color w:val="auto"/>
              </w:rPr>
            </w:pPr>
            <w:r>
              <w:rPr>
                <w:rFonts w:ascii="Arial" w:cs="Arial" w:eastAsia="Arial" w:hAnsi="Arial"/>
                <w:sz w:val="14"/>
                <w:szCs w:val="14"/>
                <w:b w:val="1"/>
                <w:bCs w:val="1"/>
                <w:color w:val="auto"/>
              </w:rPr>
              <w:t>Entity</w:t>
            </w:r>
          </w:p>
        </w:tc>
        <w:tc>
          <w:tcPr>
            <w:tcW w:w="176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w w:val="90"/>
              </w:rPr>
              <w:t>Percentage of participation</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Assets</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tcPr>
          <w:p>
            <w:pPr>
              <w:jc w:val="right"/>
              <w:ind w:right="512"/>
              <w:spacing w:after="0"/>
              <w:rPr>
                <w:sz w:val="20"/>
                <w:szCs w:val="20"/>
                <w:color w:val="auto"/>
              </w:rPr>
            </w:pPr>
            <w:r>
              <w:rPr>
                <w:rFonts w:ascii="Arial" w:cs="Arial" w:eastAsia="Arial" w:hAnsi="Arial"/>
                <w:sz w:val="14"/>
                <w:szCs w:val="14"/>
                <w:b w:val="1"/>
                <w:bCs w:val="1"/>
                <w:color w:val="auto"/>
              </w:rPr>
              <w:t>Liabilities</w:t>
            </w:r>
          </w:p>
        </w:tc>
        <w:tc>
          <w:tcPr>
            <w:tcW w:w="80" w:type="dxa"/>
            <w:vAlign w:val="bottom"/>
          </w:tcPr>
          <w:p>
            <w:pPr>
              <w:spacing w:after="0"/>
              <w:rPr>
                <w:sz w:val="15"/>
                <w:szCs w:val="15"/>
                <w:color w:val="auto"/>
              </w:rPr>
            </w:pPr>
          </w:p>
        </w:tc>
        <w:tc>
          <w:tcPr>
            <w:tcW w:w="174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Shareholders’ equity</w:t>
            </w:r>
          </w:p>
        </w:tc>
        <w:tc>
          <w:tcPr>
            <w:tcW w:w="80" w:type="dxa"/>
            <w:vAlign w:val="bottom"/>
          </w:tcPr>
          <w:p>
            <w:pPr>
              <w:spacing w:after="0"/>
              <w:rPr>
                <w:sz w:val="15"/>
                <w:szCs w:val="15"/>
                <w:color w:val="auto"/>
              </w:rPr>
            </w:pPr>
          </w:p>
        </w:tc>
        <w:tc>
          <w:tcPr>
            <w:tcW w:w="1720" w:type="dxa"/>
            <w:vAlign w:val="bottom"/>
            <w:gridSpan w:val="2"/>
          </w:tcPr>
          <w:p>
            <w:pPr>
              <w:jc w:val="right"/>
              <w:ind w:right="292"/>
              <w:spacing w:after="0"/>
              <w:rPr>
                <w:sz w:val="20"/>
                <w:szCs w:val="20"/>
                <w:color w:val="auto"/>
              </w:rPr>
            </w:pPr>
            <w:r>
              <w:rPr>
                <w:rFonts w:ascii="Arial" w:cs="Arial" w:eastAsia="Arial" w:hAnsi="Arial"/>
                <w:sz w:val="14"/>
                <w:szCs w:val="14"/>
                <w:b w:val="1"/>
                <w:bCs w:val="1"/>
                <w:color w:val="auto"/>
              </w:rPr>
              <w:t>Net income (loss)</w:t>
            </w:r>
          </w:p>
        </w:tc>
      </w:tr>
      <w:tr>
        <w:trPr>
          <w:trHeight w:val="176"/>
        </w:trPr>
        <w:tc>
          <w:tcPr>
            <w:tcW w:w="2260" w:type="dxa"/>
            <w:vAlign w:val="bottom"/>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r>
      <w:tr>
        <w:trPr>
          <w:trHeight w:val="358"/>
        </w:trPr>
        <w:tc>
          <w:tcPr>
            <w:tcW w:w="2260" w:type="dxa"/>
            <w:vAlign w:val="bottom"/>
          </w:tcPr>
          <w:p>
            <w:pPr>
              <w:spacing w:after="0"/>
              <w:rPr>
                <w:sz w:val="24"/>
                <w:szCs w:val="24"/>
                <w:color w:val="auto"/>
              </w:rPr>
            </w:pPr>
          </w:p>
        </w:tc>
        <w:tc>
          <w:tcPr>
            <w:tcW w:w="1000" w:type="dxa"/>
            <w:vAlign w:val="bottom"/>
          </w:tcPr>
          <w:p>
            <w:pPr>
              <w:jc w:val="right"/>
              <w:ind w:right="392"/>
              <w:spacing w:after="0"/>
              <w:rPr>
                <w:sz w:val="20"/>
                <w:szCs w:val="20"/>
                <w:color w:val="auto"/>
              </w:rPr>
            </w:pPr>
            <w:r>
              <w:rPr>
                <w:rFonts w:ascii="Arial" w:cs="Arial" w:eastAsia="Arial" w:hAnsi="Arial"/>
                <w:sz w:val="14"/>
                <w:szCs w:val="14"/>
                <w:b w:val="1"/>
                <w:bCs w:val="1"/>
                <w:color w:val="auto"/>
              </w:rPr>
              <w:t>2003</w:t>
            </w:r>
          </w:p>
        </w:tc>
        <w:tc>
          <w:tcPr>
            <w:tcW w:w="760" w:type="dxa"/>
            <w:vAlign w:val="bottom"/>
          </w:tcPr>
          <w:p>
            <w:pPr>
              <w:jc w:val="right"/>
              <w:ind w:right="232"/>
              <w:spacing w:after="0"/>
              <w:rPr>
                <w:sz w:val="20"/>
                <w:szCs w:val="20"/>
                <w:color w:val="auto"/>
              </w:rPr>
            </w:pPr>
            <w:r>
              <w:rPr>
                <w:rFonts w:ascii="Arial" w:cs="Arial" w:eastAsia="Arial" w:hAnsi="Arial"/>
                <w:sz w:val="14"/>
                <w:szCs w:val="14"/>
                <w:b w:val="1"/>
                <w:bCs w:val="1"/>
                <w:color w:val="auto"/>
              </w:rPr>
              <w:t>2002</w:t>
            </w:r>
          </w:p>
        </w:tc>
        <w:tc>
          <w:tcPr>
            <w:tcW w:w="1140" w:type="dxa"/>
            <w:vAlign w:val="bottom"/>
            <w:gridSpan w:val="2"/>
          </w:tcPr>
          <w:p>
            <w:pPr>
              <w:jc w:val="right"/>
              <w:ind w:right="452"/>
              <w:spacing w:after="0"/>
              <w:rPr>
                <w:sz w:val="20"/>
                <w:szCs w:val="20"/>
                <w:color w:val="auto"/>
              </w:rPr>
            </w:pPr>
            <w:r>
              <w:rPr>
                <w:rFonts w:ascii="Arial" w:cs="Arial" w:eastAsia="Arial" w:hAnsi="Arial"/>
                <w:sz w:val="14"/>
                <w:szCs w:val="14"/>
                <w:b w:val="1"/>
                <w:bCs w:val="1"/>
                <w:color w:val="auto"/>
              </w:rPr>
              <w:t>2003</w:t>
            </w:r>
          </w:p>
        </w:tc>
        <w:tc>
          <w:tcPr>
            <w:tcW w:w="680" w:type="dxa"/>
            <w:vAlign w:val="bottom"/>
          </w:tcPr>
          <w:p>
            <w:pPr>
              <w:jc w:val="right"/>
              <w:ind w:right="232"/>
              <w:spacing w:after="0"/>
              <w:rPr>
                <w:sz w:val="20"/>
                <w:szCs w:val="20"/>
                <w:color w:val="auto"/>
              </w:rPr>
            </w:pPr>
            <w:r>
              <w:rPr>
                <w:rFonts w:ascii="Arial" w:cs="Arial" w:eastAsia="Arial" w:hAnsi="Arial"/>
                <w:sz w:val="14"/>
                <w:szCs w:val="14"/>
                <w:b w:val="1"/>
                <w:bCs w:val="1"/>
                <w:color w:val="auto"/>
              </w:rPr>
              <w:t>2002</w:t>
            </w:r>
          </w:p>
        </w:tc>
        <w:tc>
          <w:tcPr>
            <w:tcW w:w="1020" w:type="dxa"/>
            <w:vAlign w:val="bottom"/>
            <w:gridSpan w:val="2"/>
          </w:tcPr>
          <w:p>
            <w:pPr>
              <w:jc w:val="right"/>
              <w:ind w:right="332"/>
              <w:spacing w:after="0"/>
              <w:rPr>
                <w:sz w:val="20"/>
                <w:szCs w:val="20"/>
                <w:color w:val="auto"/>
              </w:rPr>
            </w:pPr>
            <w:r>
              <w:rPr>
                <w:rFonts w:ascii="Arial" w:cs="Arial" w:eastAsia="Arial" w:hAnsi="Arial"/>
                <w:sz w:val="14"/>
                <w:szCs w:val="14"/>
                <w:b w:val="1"/>
                <w:bCs w:val="1"/>
                <w:color w:val="auto"/>
              </w:rPr>
              <w:t>2003</w:t>
            </w:r>
          </w:p>
        </w:tc>
        <w:tc>
          <w:tcPr>
            <w:tcW w:w="820" w:type="dxa"/>
            <w:vAlign w:val="bottom"/>
          </w:tcPr>
          <w:p>
            <w:pPr>
              <w:jc w:val="right"/>
              <w:ind w:right="232"/>
              <w:spacing w:after="0"/>
              <w:rPr>
                <w:sz w:val="20"/>
                <w:szCs w:val="20"/>
                <w:color w:val="auto"/>
              </w:rPr>
            </w:pPr>
            <w:r>
              <w:rPr>
                <w:rFonts w:ascii="Arial" w:cs="Arial" w:eastAsia="Arial" w:hAnsi="Arial"/>
                <w:sz w:val="14"/>
                <w:szCs w:val="14"/>
                <w:b w:val="1"/>
                <w:bCs w:val="1"/>
                <w:color w:val="auto"/>
              </w:rPr>
              <w:t>2002</w:t>
            </w:r>
          </w:p>
        </w:tc>
        <w:tc>
          <w:tcPr>
            <w:tcW w:w="1000" w:type="dxa"/>
            <w:vAlign w:val="bottom"/>
            <w:gridSpan w:val="2"/>
          </w:tcPr>
          <w:p>
            <w:pPr>
              <w:ind w:left="340"/>
              <w:spacing w:after="0"/>
              <w:rPr>
                <w:sz w:val="20"/>
                <w:szCs w:val="20"/>
                <w:color w:val="auto"/>
              </w:rPr>
            </w:pPr>
            <w:r>
              <w:rPr>
                <w:rFonts w:ascii="Arial" w:cs="Arial" w:eastAsia="Arial" w:hAnsi="Arial"/>
                <w:sz w:val="14"/>
                <w:szCs w:val="14"/>
                <w:b w:val="1"/>
                <w:bCs w:val="1"/>
                <w:color w:val="auto"/>
              </w:rPr>
              <w:t>2003</w:t>
            </w:r>
          </w:p>
        </w:tc>
        <w:tc>
          <w:tcPr>
            <w:tcW w:w="820" w:type="dxa"/>
            <w:vAlign w:val="bottom"/>
          </w:tcPr>
          <w:p>
            <w:pPr>
              <w:jc w:val="right"/>
              <w:ind w:right="232"/>
              <w:spacing w:after="0"/>
              <w:rPr>
                <w:sz w:val="20"/>
                <w:szCs w:val="20"/>
                <w:color w:val="auto"/>
              </w:rPr>
            </w:pPr>
            <w:r>
              <w:rPr>
                <w:rFonts w:ascii="Arial" w:cs="Arial" w:eastAsia="Arial" w:hAnsi="Arial"/>
                <w:sz w:val="14"/>
                <w:szCs w:val="14"/>
                <w:b w:val="1"/>
                <w:bCs w:val="1"/>
                <w:color w:val="auto"/>
              </w:rPr>
              <w:t>2002</w:t>
            </w:r>
          </w:p>
        </w:tc>
        <w:tc>
          <w:tcPr>
            <w:tcW w:w="1000" w:type="dxa"/>
            <w:vAlign w:val="bottom"/>
            <w:gridSpan w:val="2"/>
          </w:tcPr>
          <w:p>
            <w:pPr>
              <w:jc w:val="right"/>
              <w:ind w:right="332"/>
              <w:spacing w:after="0"/>
              <w:rPr>
                <w:sz w:val="20"/>
                <w:szCs w:val="20"/>
                <w:color w:val="auto"/>
              </w:rPr>
            </w:pPr>
            <w:r>
              <w:rPr>
                <w:rFonts w:ascii="Arial" w:cs="Arial" w:eastAsia="Arial" w:hAnsi="Arial"/>
                <w:sz w:val="14"/>
                <w:szCs w:val="14"/>
                <w:b w:val="1"/>
                <w:bCs w:val="1"/>
                <w:color w:val="auto"/>
              </w:rPr>
              <w:t>2003</w:t>
            </w:r>
          </w:p>
        </w:tc>
        <w:tc>
          <w:tcPr>
            <w:tcW w:w="800" w:type="dxa"/>
            <w:vAlign w:val="bottom"/>
          </w:tcPr>
          <w:p>
            <w:pPr>
              <w:jc w:val="right"/>
              <w:ind w:right="212"/>
              <w:spacing w:after="0"/>
              <w:rPr>
                <w:sz w:val="20"/>
                <w:szCs w:val="20"/>
                <w:color w:val="auto"/>
              </w:rPr>
            </w:pPr>
            <w:r>
              <w:rPr>
                <w:rFonts w:ascii="Arial" w:cs="Arial" w:eastAsia="Arial" w:hAnsi="Arial"/>
                <w:sz w:val="14"/>
                <w:szCs w:val="14"/>
                <w:b w:val="1"/>
                <w:bCs w:val="1"/>
                <w:color w:val="auto"/>
              </w:rPr>
              <w:t>2002</w:t>
            </w:r>
          </w:p>
        </w:tc>
      </w:tr>
      <w:tr>
        <w:trPr>
          <w:trHeight w:val="230"/>
        </w:trPr>
        <w:tc>
          <w:tcPr>
            <w:tcW w:w="2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ind w:right="312"/>
              <w:spacing w:after="0"/>
              <w:rPr>
                <w:sz w:val="20"/>
                <w:szCs w:val="20"/>
                <w:color w:val="auto"/>
              </w:rPr>
            </w:pPr>
            <w:r>
              <w:rPr>
                <w:rFonts w:ascii="Arial" w:cs="Arial" w:eastAsia="Arial" w:hAnsi="Arial"/>
                <w:sz w:val="14"/>
                <w:szCs w:val="14"/>
                <w:color w:val="auto"/>
              </w:rPr>
              <w:t>US$(000)</w:t>
            </w:r>
          </w:p>
        </w:tc>
        <w:tc>
          <w:tcPr>
            <w:tcW w:w="680" w:type="dxa"/>
            <w:vAlign w:val="bottom"/>
          </w:tcPr>
          <w:p>
            <w:pPr>
              <w:jc w:val="right"/>
              <w:ind w:right="72"/>
              <w:spacing w:after="0"/>
              <w:rPr>
                <w:sz w:val="20"/>
                <w:szCs w:val="20"/>
                <w:color w:val="auto"/>
              </w:rPr>
            </w:pPr>
            <w:r>
              <w:rPr>
                <w:rFonts w:ascii="Arial" w:cs="Arial" w:eastAsia="Arial" w:hAnsi="Arial"/>
                <w:sz w:val="14"/>
                <w:szCs w:val="14"/>
                <w:color w:val="auto"/>
                <w:w w:val="86"/>
              </w:rPr>
              <w:t>US$(000)</w:t>
            </w:r>
          </w:p>
        </w:tc>
        <w:tc>
          <w:tcPr>
            <w:tcW w:w="100" w:type="dxa"/>
            <w:vAlign w:val="bottom"/>
          </w:tcPr>
          <w:p>
            <w:pPr>
              <w:spacing w:after="0"/>
              <w:rPr>
                <w:sz w:val="19"/>
                <w:szCs w:val="19"/>
                <w:color w:val="auto"/>
              </w:rPr>
            </w:pPr>
          </w:p>
        </w:tc>
        <w:tc>
          <w:tcPr>
            <w:tcW w:w="920" w:type="dxa"/>
            <w:vAlign w:val="bottom"/>
          </w:tcPr>
          <w:p>
            <w:pPr>
              <w:jc w:val="right"/>
              <w:ind w:right="172"/>
              <w:spacing w:after="0"/>
              <w:rPr>
                <w:sz w:val="20"/>
                <w:szCs w:val="20"/>
                <w:color w:val="auto"/>
              </w:rPr>
            </w:pPr>
            <w:r>
              <w:rPr>
                <w:rFonts w:ascii="Arial" w:cs="Arial" w:eastAsia="Arial" w:hAnsi="Arial"/>
                <w:sz w:val="14"/>
                <w:szCs w:val="14"/>
                <w:color w:val="auto"/>
              </w:rPr>
              <w:t>US$(000)</w:t>
            </w: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US$(000)</w:t>
            </w:r>
          </w:p>
        </w:tc>
        <w:tc>
          <w:tcPr>
            <w:tcW w:w="80" w:type="dxa"/>
            <w:vAlign w:val="bottom"/>
          </w:tcPr>
          <w:p>
            <w:pPr>
              <w:spacing w:after="0"/>
              <w:rPr>
                <w:sz w:val="19"/>
                <w:szCs w:val="19"/>
                <w:color w:val="auto"/>
              </w:rPr>
            </w:pPr>
          </w:p>
        </w:tc>
        <w:tc>
          <w:tcPr>
            <w:tcW w:w="920" w:type="dxa"/>
            <w:vAlign w:val="bottom"/>
          </w:tcPr>
          <w:p>
            <w:pPr>
              <w:jc w:val="right"/>
              <w:ind w:right="172"/>
              <w:spacing w:after="0"/>
              <w:rPr>
                <w:sz w:val="20"/>
                <w:szCs w:val="20"/>
                <w:color w:val="auto"/>
              </w:rPr>
            </w:pPr>
            <w:r>
              <w:rPr>
                <w:rFonts w:ascii="Arial" w:cs="Arial" w:eastAsia="Arial" w:hAnsi="Arial"/>
                <w:sz w:val="14"/>
                <w:szCs w:val="14"/>
                <w:color w:val="auto"/>
              </w:rPr>
              <w:t>US$(000)</w:t>
            </w: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US$(000)</w:t>
            </w:r>
          </w:p>
        </w:tc>
        <w:tc>
          <w:tcPr>
            <w:tcW w:w="80" w:type="dxa"/>
            <w:vAlign w:val="bottom"/>
          </w:tcPr>
          <w:p>
            <w:pPr>
              <w:spacing w:after="0"/>
              <w:rPr>
                <w:sz w:val="19"/>
                <w:szCs w:val="19"/>
                <w:color w:val="auto"/>
              </w:rPr>
            </w:pPr>
          </w:p>
        </w:tc>
        <w:tc>
          <w:tcPr>
            <w:tcW w:w="920" w:type="dxa"/>
            <w:vAlign w:val="bottom"/>
          </w:tcPr>
          <w:p>
            <w:pPr>
              <w:jc w:val="right"/>
              <w:ind w:right="172"/>
              <w:spacing w:after="0"/>
              <w:rPr>
                <w:sz w:val="20"/>
                <w:szCs w:val="20"/>
                <w:color w:val="auto"/>
              </w:rPr>
            </w:pPr>
            <w:r>
              <w:rPr>
                <w:rFonts w:ascii="Arial" w:cs="Arial" w:eastAsia="Arial" w:hAnsi="Arial"/>
                <w:sz w:val="14"/>
                <w:szCs w:val="14"/>
                <w:color w:val="auto"/>
              </w:rPr>
              <w:t>US$(000)</w:t>
            </w:r>
          </w:p>
        </w:tc>
        <w:tc>
          <w:tcPr>
            <w:tcW w:w="800" w:type="dxa"/>
            <w:vAlign w:val="bottom"/>
          </w:tcPr>
          <w:p>
            <w:pPr>
              <w:jc w:val="right"/>
              <w:ind w:right="72"/>
              <w:spacing w:after="0"/>
              <w:rPr>
                <w:sz w:val="20"/>
                <w:szCs w:val="20"/>
                <w:color w:val="auto"/>
              </w:rPr>
            </w:pPr>
            <w:r>
              <w:rPr>
                <w:rFonts w:ascii="Arial" w:cs="Arial" w:eastAsia="Arial" w:hAnsi="Arial"/>
                <w:sz w:val="14"/>
                <w:szCs w:val="14"/>
                <w:color w:val="auto"/>
              </w:rPr>
              <w:t>US$(000)</w:t>
            </w:r>
          </w:p>
        </w:tc>
      </w:tr>
      <w:tr>
        <w:trPr>
          <w:trHeight w:val="459"/>
        </w:trPr>
        <w:tc>
          <w:tcPr>
            <w:tcW w:w="2260" w:type="dxa"/>
            <w:vAlign w:val="bottom"/>
          </w:tcPr>
          <w:p>
            <w:pPr>
              <w:spacing w:after="0"/>
              <w:rPr>
                <w:sz w:val="20"/>
                <w:szCs w:val="20"/>
                <w:color w:val="auto"/>
              </w:rPr>
            </w:pPr>
            <w:r>
              <w:rPr>
                <w:rFonts w:ascii="Arial" w:cs="Arial" w:eastAsia="Arial" w:hAnsi="Arial"/>
                <w:sz w:val="14"/>
                <w:szCs w:val="14"/>
                <w:color w:val="auto"/>
              </w:rPr>
              <w:t>Banco de Crédito del Perú - BCP (i)</w:t>
            </w:r>
          </w:p>
        </w:tc>
        <w:tc>
          <w:tcPr>
            <w:tcW w:w="1000" w:type="dxa"/>
            <w:vAlign w:val="bottom"/>
          </w:tcPr>
          <w:p>
            <w:pPr>
              <w:jc w:val="right"/>
              <w:ind w:right="132"/>
              <w:spacing w:after="0"/>
              <w:rPr>
                <w:sz w:val="20"/>
                <w:szCs w:val="20"/>
                <w:color w:val="auto"/>
              </w:rPr>
            </w:pPr>
            <w:r>
              <w:rPr>
                <w:rFonts w:ascii="Arial" w:cs="Arial" w:eastAsia="Arial" w:hAnsi="Arial"/>
                <w:sz w:val="14"/>
                <w:szCs w:val="14"/>
                <w:color w:val="auto"/>
              </w:rPr>
              <w:t>96.98</w:t>
            </w:r>
          </w:p>
        </w:tc>
        <w:tc>
          <w:tcPr>
            <w:tcW w:w="760" w:type="dxa"/>
            <w:vAlign w:val="bottom"/>
          </w:tcPr>
          <w:p>
            <w:pPr>
              <w:jc w:val="right"/>
              <w:spacing w:after="0"/>
              <w:rPr>
                <w:sz w:val="20"/>
                <w:szCs w:val="20"/>
                <w:color w:val="auto"/>
              </w:rPr>
            </w:pPr>
            <w:r>
              <w:rPr>
                <w:rFonts w:ascii="Arial" w:cs="Arial" w:eastAsia="Arial" w:hAnsi="Arial"/>
                <w:sz w:val="14"/>
                <w:szCs w:val="14"/>
                <w:color w:val="auto"/>
              </w:rPr>
              <w:t>96.98</w:t>
            </w:r>
          </w:p>
        </w:tc>
        <w:tc>
          <w:tcPr>
            <w:tcW w:w="1140" w:type="dxa"/>
            <w:vAlign w:val="bottom"/>
            <w:gridSpan w:val="2"/>
          </w:tcPr>
          <w:p>
            <w:pPr>
              <w:jc w:val="right"/>
              <w:ind w:right="192"/>
              <w:spacing w:after="0"/>
              <w:rPr>
                <w:sz w:val="20"/>
                <w:szCs w:val="20"/>
                <w:color w:val="auto"/>
              </w:rPr>
            </w:pPr>
            <w:r>
              <w:rPr>
                <w:rFonts w:ascii="Arial" w:cs="Arial" w:eastAsia="Arial" w:hAnsi="Arial"/>
                <w:sz w:val="14"/>
                <w:szCs w:val="14"/>
                <w:color w:val="auto"/>
              </w:rPr>
              <w:t>6,687,581</w:t>
            </w:r>
          </w:p>
        </w:tc>
        <w:tc>
          <w:tcPr>
            <w:tcW w:w="680" w:type="dxa"/>
            <w:vAlign w:val="bottom"/>
          </w:tcPr>
          <w:p>
            <w:pPr>
              <w:jc w:val="right"/>
              <w:spacing w:after="0"/>
              <w:rPr>
                <w:sz w:val="20"/>
                <w:szCs w:val="20"/>
                <w:color w:val="auto"/>
              </w:rPr>
            </w:pPr>
            <w:r>
              <w:rPr>
                <w:rFonts w:ascii="Arial" w:cs="Arial" w:eastAsia="Arial" w:hAnsi="Arial"/>
                <w:sz w:val="14"/>
                <w:szCs w:val="14"/>
                <w:color w:val="auto"/>
              </w:rPr>
              <w:t>7,312,169</w:t>
            </w:r>
          </w:p>
        </w:tc>
        <w:tc>
          <w:tcPr>
            <w:tcW w:w="1020" w:type="dxa"/>
            <w:vAlign w:val="bottom"/>
            <w:gridSpan w:val="2"/>
          </w:tcPr>
          <w:p>
            <w:pPr>
              <w:jc w:val="right"/>
              <w:ind w:right="52"/>
              <w:spacing w:after="0"/>
              <w:rPr>
                <w:sz w:val="20"/>
                <w:szCs w:val="20"/>
                <w:color w:val="auto"/>
              </w:rPr>
            </w:pPr>
            <w:r>
              <w:rPr>
                <w:rFonts w:ascii="Arial" w:cs="Arial" w:eastAsia="Arial" w:hAnsi="Arial"/>
                <w:sz w:val="14"/>
                <w:szCs w:val="14"/>
                <w:color w:val="auto"/>
              </w:rPr>
              <w:t>6,042,445</w:t>
            </w:r>
          </w:p>
        </w:tc>
        <w:tc>
          <w:tcPr>
            <w:tcW w:w="820" w:type="dxa"/>
            <w:vAlign w:val="bottom"/>
          </w:tcPr>
          <w:p>
            <w:pPr>
              <w:jc w:val="right"/>
              <w:spacing w:after="0"/>
              <w:rPr>
                <w:sz w:val="20"/>
                <w:szCs w:val="20"/>
                <w:color w:val="auto"/>
              </w:rPr>
            </w:pPr>
            <w:r>
              <w:rPr>
                <w:rFonts w:ascii="Arial" w:cs="Arial" w:eastAsia="Arial" w:hAnsi="Arial"/>
                <w:sz w:val="14"/>
                <w:szCs w:val="14"/>
                <w:color w:val="auto"/>
              </w:rPr>
              <w:t>6,731,278</w:t>
            </w:r>
          </w:p>
        </w:tc>
        <w:tc>
          <w:tcPr>
            <w:tcW w:w="1000" w:type="dxa"/>
            <w:vAlign w:val="bottom"/>
            <w:gridSpan w:val="2"/>
          </w:tcPr>
          <w:p>
            <w:pPr>
              <w:jc w:val="right"/>
              <w:ind w:right="52"/>
              <w:spacing w:after="0"/>
              <w:rPr>
                <w:sz w:val="20"/>
                <w:szCs w:val="20"/>
                <w:color w:val="auto"/>
              </w:rPr>
            </w:pPr>
            <w:r>
              <w:rPr>
                <w:rFonts w:ascii="Arial" w:cs="Arial" w:eastAsia="Arial" w:hAnsi="Arial"/>
                <w:sz w:val="14"/>
                <w:szCs w:val="14"/>
                <w:color w:val="auto"/>
              </w:rPr>
              <w:t>645,136</w:t>
            </w:r>
          </w:p>
        </w:tc>
        <w:tc>
          <w:tcPr>
            <w:tcW w:w="820" w:type="dxa"/>
            <w:vAlign w:val="bottom"/>
          </w:tcPr>
          <w:p>
            <w:pPr>
              <w:jc w:val="right"/>
              <w:spacing w:after="0"/>
              <w:rPr>
                <w:sz w:val="20"/>
                <w:szCs w:val="20"/>
                <w:color w:val="auto"/>
              </w:rPr>
            </w:pPr>
            <w:r>
              <w:rPr>
                <w:rFonts w:ascii="Arial" w:cs="Arial" w:eastAsia="Arial" w:hAnsi="Arial"/>
                <w:sz w:val="14"/>
                <w:szCs w:val="14"/>
                <w:color w:val="auto"/>
              </w:rPr>
              <w:t>580,891</w:t>
            </w:r>
          </w:p>
        </w:tc>
        <w:tc>
          <w:tcPr>
            <w:tcW w:w="1000" w:type="dxa"/>
            <w:vAlign w:val="bottom"/>
            <w:gridSpan w:val="2"/>
          </w:tcPr>
          <w:p>
            <w:pPr>
              <w:jc w:val="right"/>
              <w:ind w:right="72"/>
              <w:spacing w:after="0"/>
              <w:rPr>
                <w:sz w:val="20"/>
                <w:szCs w:val="20"/>
                <w:color w:val="auto"/>
              </w:rPr>
            </w:pPr>
            <w:r>
              <w:rPr>
                <w:rFonts w:ascii="Arial" w:cs="Arial" w:eastAsia="Arial" w:hAnsi="Arial"/>
                <w:sz w:val="14"/>
                <w:szCs w:val="14"/>
                <w:color w:val="auto"/>
              </w:rPr>
              <w:t>97,218</w:t>
            </w:r>
          </w:p>
        </w:tc>
        <w:tc>
          <w:tcPr>
            <w:tcW w:w="800" w:type="dxa"/>
            <w:vAlign w:val="bottom"/>
          </w:tcPr>
          <w:p>
            <w:pPr>
              <w:jc w:val="right"/>
              <w:spacing w:after="0"/>
              <w:rPr>
                <w:sz w:val="20"/>
                <w:szCs w:val="20"/>
                <w:color w:val="auto"/>
              </w:rPr>
            </w:pPr>
            <w:r>
              <w:rPr>
                <w:rFonts w:ascii="Arial" w:cs="Arial" w:eastAsia="Arial" w:hAnsi="Arial"/>
                <w:sz w:val="14"/>
                <w:szCs w:val="14"/>
                <w:color w:val="auto"/>
              </w:rPr>
              <w:t>64,640</w:t>
            </w:r>
          </w:p>
        </w:tc>
      </w:tr>
      <w:tr>
        <w:trPr>
          <w:trHeight w:val="206"/>
        </w:trPr>
        <w:tc>
          <w:tcPr>
            <w:tcW w:w="2260" w:type="dxa"/>
            <w:vAlign w:val="bottom"/>
          </w:tcPr>
          <w:p>
            <w:pPr>
              <w:spacing w:after="0"/>
              <w:rPr>
                <w:sz w:val="20"/>
                <w:szCs w:val="20"/>
                <w:color w:val="auto"/>
              </w:rPr>
            </w:pPr>
            <w:r>
              <w:rPr>
                <w:rFonts w:ascii="Arial" w:cs="Arial" w:eastAsia="Arial" w:hAnsi="Arial"/>
                <w:sz w:val="14"/>
                <w:szCs w:val="14"/>
                <w:color w:val="auto"/>
                <w:w w:val="97"/>
              </w:rPr>
              <w:t>Atlantic Security Holding Corporation</w:t>
            </w:r>
          </w:p>
        </w:tc>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72"/>
        </w:trPr>
        <w:tc>
          <w:tcPr>
            <w:tcW w:w="2260" w:type="dxa"/>
            <w:vAlign w:val="bottom"/>
          </w:tcPr>
          <w:p>
            <w:pPr>
              <w:spacing w:after="0"/>
              <w:rPr>
                <w:sz w:val="20"/>
                <w:szCs w:val="20"/>
                <w:color w:val="auto"/>
              </w:rPr>
            </w:pPr>
            <w:r>
              <w:rPr>
                <w:rFonts w:ascii="Arial" w:cs="Arial" w:eastAsia="Arial" w:hAnsi="Arial"/>
                <w:sz w:val="14"/>
                <w:szCs w:val="14"/>
                <w:color w:val="auto"/>
              </w:rPr>
              <w:t>(ii)</w:t>
            </w:r>
          </w:p>
        </w:tc>
        <w:tc>
          <w:tcPr>
            <w:tcW w:w="1000" w:type="dxa"/>
            <w:vAlign w:val="bottom"/>
          </w:tcPr>
          <w:p>
            <w:pPr>
              <w:jc w:val="right"/>
              <w:ind w:right="132"/>
              <w:spacing w:after="0"/>
              <w:rPr>
                <w:sz w:val="20"/>
                <w:szCs w:val="20"/>
                <w:color w:val="auto"/>
              </w:rPr>
            </w:pPr>
            <w:r>
              <w:rPr>
                <w:rFonts w:ascii="Arial" w:cs="Arial" w:eastAsia="Arial" w:hAnsi="Arial"/>
                <w:sz w:val="14"/>
                <w:szCs w:val="14"/>
                <w:color w:val="auto"/>
              </w:rPr>
              <w:t>100.00</w:t>
            </w:r>
          </w:p>
        </w:tc>
        <w:tc>
          <w:tcPr>
            <w:tcW w:w="760" w:type="dxa"/>
            <w:vAlign w:val="bottom"/>
          </w:tcPr>
          <w:p>
            <w:pPr>
              <w:jc w:val="right"/>
              <w:spacing w:after="0"/>
              <w:rPr>
                <w:sz w:val="20"/>
                <w:szCs w:val="20"/>
                <w:color w:val="auto"/>
              </w:rPr>
            </w:pPr>
            <w:r>
              <w:rPr>
                <w:rFonts w:ascii="Arial" w:cs="Arial" w:eastAsia="Arial" w:hAnsi="Arial"/>
                <w:sz w:val="14"/>
                <w:szCs w:val="14"/>
                <w:color w:val="auto"/>
              </w:rPr>
              <w:t>100.00</w:t>
            </w:r>
          </w:p>
        </w:tc>
        <w:tc>
          <w:tcPr>
            <w:tcW w:w="1140" w:type="dxa"/>
            <w:vAlign w:val="bottom"/>
            <w:gridSpan w:val="2"/>
          </w:tcPr>
          <w:p>
            <w:pPr>
              <w:jc w:val="right"/>
              <w:ind w:right="192"/>
              <w:spacing w:after="0"/>
              <w:rPr>
                <w:sz w:val="20"/>
                <w:szCs w:val="20"/>
                <w:color w:val="auto"/>
              </w:rPr>
            </w:pPr>
            <w:r>
              <w:rPr>
                <w:rFonts w:ascii="Arial" w:cs="Arial" w:eastAsia="Arial" w:hAnsi="Arial"/>
                <w:sz w:val="14"/>
                <w:szCs w:val="14"/>
                <w:color w:val="auto"/>
              </w:rPr>
              <w:t>776,323</w:t>
            </w:r>
          </w:p>
        </w:tc>
        <w:tc>
          <w:tcPr>
            <w:tcW w:w="680" w:type="dxa"/>
            <w:vAlign w:val="bottom"/>
          </w:tcPr>
          <w:p>
            <w:pPr>
              <w:jc w:val="right"/>
              <w:spacing w:after="0"/>
              <w:rPr>
                <w:sz w:val="20"/>
                <w:szCs w:val="20"/>
                <w:color w:val="auto"/>
              </w:rPr>
            </w:pPr>
            <w:r>
              <w:rPr>
                <w:rFonts w:ascii="Arial" w:cs="Arial" w:eastAsia="Arial" w:hAnsi="Arial"/>
                <w:sz w:val="14"/>
                <w:szCs w:val="14"/>
                <w:color w:val="auto"/>
              </w:rPr>
              <w:t>660,588</w:t>
            </w:r>
          </w:p>
        </w:tc>
        <w:tc>
          <w:tcPr>
            <w:tcW w:w="1020" w:type="dxa"/>
            <w:vAlign w:val="bottom"/>
            <w:gridSpan w:val="2"/>
          </w:tcPr>
          <w:p>
            <w:pPr>
              <w:jc w:val="right"/>
              <w:ind w:right="52"/>
              <w:spacing w:after="0"/>
              <w:rPr>
                <w:sz w:val="20"/>
                <w:szCs w:val="20"/>
                <w:color w:val="auto"/>
              </w:rPr>
            </w:pPr>
            <w:r>
              <w:rPr>
                <w:rFonts w:ascii="Arial" w:cs="Arial" w:eastAsia="Arial" w:hAnsi="Arial"/>
                <w:sz w:val="14"/>
                <w:szCs w:val="14"/>
                <w:color w:val="auto"/>
              </w:rPr>
              <w:t>663,454</w:t>
            </w:r>
          </w:p>
        </w:tc>
        <w:tc>
          <w:tcPr>
            <w:tcW w:w="820" w:type="dxa"/>
            <w:vAlign w:val="bottom"/>
          </w:tcPr>
          <w:p>
            <w:pPr>
              <w:jc w:val="right"/>
              <w:spacing w:after="0"/>
              <w:rPr>
                <w:sz w:val="20"/>
                <w:szCs w:val="20"/>
                <w:color w:val="auto"/>
              </w:rPr>
            </w:pPr>
            <w:r>
              <w:rPr>
                <w:rFonts w:ascii="Arial" w:cs="Arial" w:eastAsia="Arial" w:hAnsi="Arial"/>
                <w:sz w:val="14"/>
                <w:szCs w:val="14"/>
                <w:color w:val="auto"/>
              </w:rPr>
              <w:t>556,261</w:t>
            </w:r>
          </w:p>
        </w:tc>
        <w:tc>
          <w:tcPr>
            <w:tcW w:w="1000" w:type="dxa"/>
            <w:vAlign w:val="bottom"/>
            <w:gridSpan w:val="2"/>
          </w:tcPr>
          <w:p>
            <w:pPr>
              <w:jc w:val="right"/>
              <w:ind w:right="52"/>
              <w:spacing w:after="0"/>
              <w:rPr>
                <w:sz w:val="20"/>
                <w:szCs w:val="20"/>
                <w:color w:val="auto"/>
              </w:rPr>
            </w:pPr>
            <w:r>
              <w:rPr>
                <w:rFonts w:ascii="Arial" w:cs="Arial" w:eastAsia="Arial" w:hAnsi="Arial"/>
                <w:sz w:val="14"/>
                <w:szCs w:val="14"/>
                <w:color w:val="auto"/>
              </w:rPr>
              <w:t>112,869</w:t>
            </w:r>
          </w:p>
        </w:tc>
        <w:tc>
          <w:tcPr>
            <w:tcW w:w="820" w:type="dxa"/>
            <w:vAlign w:val="bottom"/>
          </w:tcPr>
          <w:p>
            <w:pPr>
              <w:jc w:val="right"/>
              <w:spacing w:after="0"/>
              <w:rPr>
                <w:sz w:val="20"/>
                <w:szCs w:val="20"/>
                <w:color w:val="auto"/>
              </w:rPr>
            </w:pPr>
            <w:r>
              <w:rPr>
                <w:rFonts w:ascii="Arial" w:cs="Arial" w:eastAsia="Arial" w:hAnsi="Arial"/>
                <w:sz w:val="14"/>
                <w:szCs w:val="14"/>
                <w:color w:val="auto"/>
              </w:rPr>
              <w:t>104,327</w:t>
            </w:r>
          </w:p>
        </w:tc>
        <w:tc>
          <w:tcPr>
            <w:tcW w:w="1000" w:type="dxa"/>
            <w:vAlign w:val="bottom"/>
            <w:gridSpan w:val="2"/>
          </w:tcPr>
          <w:p>
            <w:pPr>
              <w:jc w:val="right"/>
              <w:ind w:right="72"/>
              <w:spacing w:after="0"/>
              <w:rPr>
                <w:sz w:val="20"/>
                <w:szCs w:val="20"/>
                <w:color w:val="auto"/>
              </w:rPr>
            </w:pPr>
            <w:r>
              <w:rPr>
                <w:rFonts w:ascii="Arial" w:cs="Arial" w:eastAsia="Arial" w:hAnsi="Arial"/>
                <w:sz w:val="14"/>
                <w:szCs w:val="14"/>
                <w:color w:val="auto"/>
              </w:rPr>
              <w:t>10,928</w:t>
            </w:r>
          </w:p>
        </w:tc>
        <w:tc>
          <w:tcPr>
            <w:tcW w:w="800" w:type="dxa"/>
            <w:vAlign w:val="bottom"/>
          </w:tcPr>
          <w:p>
            <w:pPr>
              <w:jc w:val="right"/>
              <w:spacing w:after="0"/>
              <w:rPr>
                <w:sz w:val="20"/>
                <w:szCs w:val="20"/>
                <w:color w:val="auto"/>
              </w:rPr>
            </w:pPr>
            <w:r>
              <w:rPr>
                <w:rFonts w:ascii="Arial" w:cs="Arial" w:eastAsia="Arial" w:hAnsi="Arial"/>
                <w:sz w:val="14"/>
                <w:szCs w:val="14"/>
                <w:color w:val="auto"/>
              </w:rPr>
              <w:t>5,768</w:t>
            </w:r>
          </w:p>
        </w:tc>
      </w:tr>
      <w:tr>
        <w:trPr>
          <w:trHeight w:val="206"/>
        </w:trPr>
        <w:tc>
          <w:tcPr>
            <w:tcW w:w="2260" w:type="dxa"/>
            <w:vAlign w:val="bottom"/>
          </w:tcPr>
          <w:p>
            <w:pPr>
              <w:spacing w:after="0"/>
              <w:rPr>
                <w:sz w:val="20"/>
                <w:szCs w:val="20"/>
                <w:color w:val="auto"/>
              </w:rPr>
            </w:pPr>
            <w:r>
              <w:rPr>
                <w:rFonts w:ascii="Arial" w:cs="Arial" w:eastAsia="Arial" w:hAnsi="Arial"/>
                <w:sz w:val="14"/>
                <w:szCs w:val="14"/>
                <w:color w:val="auto"/>
                <w:w w:val="92"/>
              </w:rPr>
              <w:t>Pacífico - Peruano Suiza Compañía de</w:t>
            </w:r>
          </w:p>
        </w:tc>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72"/>
        </w:trPr>
        <w:tc>
          <w:tcPr>
            <w:tcW w:w="2260" w:type="dxa"/>
            <w:vAlign w:val="bottom"/>
          </w:tcPr>
          <w:p>
            <w:pPr>
              <w:spacing w:after="0"/>
              <w:rPr>
                <w:sz w:val="20"/>
                <w:szCs w:val="20"/>
                <w:color w:val="auto"/>
              </w:rPr>
            </w:pPr>
            <w:r>
              <w:rPr>
                <w:rFonts w:ascii="Arial" w:cs="Arial" w:eastAsia="Arial" w:hAnsi="Arial"/>
                <w:sz w:val="14"/>
                <w:szCs w:val="14"/>
                <w:color w:val="auto"/>
              </w:rPr>
              <w:t>Seguros y Reaseguros (iii)</w:t>
            </w:r>
          </w:p>
        </w:tc>
        <w:tc>
          <w:tcPr>
            <w:tcW w:w="1000" w:type="dxa"/>
            <w:vAlign w:val="bottom"/>
          </w:tcPr>
          <w:p>
            <w:pPr>
              <w:jc w:val="right"/>
              <w:ind w:right="132"/>
              <w:spacing w:after="0"/>
              <w:rPr>
                <w:sz w:val="20"/>
                <w:szCs w:val="20"/>
                <w:color w:val="auto"/>
              </w:rPr>
            </w:pPr>
            <w:r>
              <w:rPr>
                <w:rFonts w:ascii="Arial" w:cs="Arial" w:eastAsia="Arial" w:hAnsi="Arial"/>
                <w:sz w:val="14"/>
                <w:szCs w:val="14"/>
                <w:color w:val="auto"/>
              </w:rPr>
              <w:t>75.83</w:t>
            </w:r>
          </w:p>
        </w:tc>
        <w:tc>
          <w:tcPr>
            <w:tcW w:w="760" w:type="dxa"/>
            <w:vAlign w:val="bottom"/>
          </w:tcPr>
          <w:p>
            <w:pPr>
              <w:jc w:val="right"/>
              <w:spacing w:after="0"/>
              <w:rPr>
                <w:sz w:val="20"/>
                <w:szCs w:val="20"/>
                <w:color w:val="auto"/>
              </w:rPr>
            </w:pPr>
            <w:r>
              <w:rPr>
                <w:rFonts w:ascii="Arial" w:cs="Arial" w:eastAsia="Arial" w:hAnsi="Arial"/>
                <w:sz w:val="14"/>
                <w:szCs w:val="14"/>
                <w:color w:val="auto"/>
              </w:rPr>
              <w:t>75.83</w:t>
            </w:r>
          </w:p>
        </w:tc>
        <w:tc>
          <w:tcPr>
            <w:tcW w:w="1140" w:type="dxa"/>
            <w:vAlign w:val="bottom"/>
            <w:gridSpan w:val="2"/>
          </w:tcPr>
          <w:p>
            <w:pPr>
              <w:jc w:val="right"/>
              <w:ind w:right="192"/>
              <w:spacing w:after="0"/>
              <w:rPr>
                <w:sz w:val="20"/>
                <w:szCs w:val="20"/>
                <w:color w:val="auto"/>
              </w:rPr>
            </w:pPr>
            <w:r>
              <w:rPr>
                <w:rFonts w:ascii="Arial" w:cs="Arial" w:eastAsia="Arial" w:hAnsi="Arial"/>
                <w:sz w:val="14"/>
                <w:szCs w:val="14"/>
                <w:color w:val="auto"/>
              </w:rPr>
              <w:t>587,237</w:t>
            </w:r>
          </w:p>
        </w:tc>
        <w:tc>
          <w:tcPr>
            <w:tcW w:w="680" w:type="dxa"/>
            <w:vAlign w:val="bottom"/>
          </w:tcPr>
          <w:p>
            <w:pPr>
              <w:jc w:val="right"/>
              <w:spacing w:after="0"/>
              <w:rPr>
                <w:sz w:val="20"/>
                <w:szCs w:val="20"/>
                <w:color w:val="auto"/>
              </w:rPr>
            </w:pPr>
            <w:r>
              <w:rPr>
                <w:rFonts w:ascii="Arial" w:cs="Arial" w:eastAsia="Arial" w:hAnsi="Arial"/>
                <w:sz w:val="14"/>
                <w:szCs w:val="14"/>
                <w:color w:val="auto"/>
              </w:rPr>
              <w:t>480,570</w:t>
            </w:r>
          </w:p>
        </w:tc>
        <w:tc>
          <w:tcPr>
            <w:tcW w:w="1020" w:type="dxa"/>
            <w:vAlign w:val="bottom"/>
            <w:gridSpan w:val="2"/>
          </w:tcPr>
          <w:p>
            <w:pPr>
              <w:jc w:val="right"/>
              <w:ind w:right="52"/>
              <w:spacing w:after="0"/>
              <w:rPr>
                <w:sz w:val="20"/>
                <w:szCs w:val="20"/>
                <w:color w:val="auto"/>
              </w:rPr>
            </w:pPr>
            <w:r>
              <w:rPr>
                <w:rFonts w:ascii="Arial" w:cs="Arial" w:eastAsia="Arial" w:hAnsi="Arial"/>
                <w:sz w:val="14"/>
                <w:szCs w:val="14"/>
                <w:color w:val="auto"/>
              </w:rPr>
              <w:t>438,620</w:t>
            </w:r>
          </w:p>
        </w:tc>
        <w:tc>
          <w:tcPr>
            <w:tcW w:w="820" w:type="dxa"/>
            <w:vAlign w:val="bottom"/>
          </w:tcPr>
          <w:p>
            <w:pPr>
              <w:jc w:val="right"/>
              <w:spacing w:after="0"/>
              <w:rPr>
                <w:sz w:val="20"/>
                <w:szCs w:val="20"/>
                <w:color w:val="auto"/>
              </w:rPr>
            </w:pPr>
            <w:r>
              <w:rPr>
                <w:rFonts w:ascii="Arial" w:cs="Arial" w:eastAsia="Arial" w:hAnsi="Arial"/>
                <w:sz w:val="14"/>
                <w:szCs w:val="14"/>
                <w:color w:val="auto"/>
              </w:rPr>
              <w:t>332,437</w:t>
            </w:r>
          </w:p>
        </w:tc>
        <w:tc>
          <w:tcPr>
            <w:tcW w:w="1000" w:type="dxa"/>
            <w:vAlign w:val="bottom"/>
            <w:gridSpan w:val="2"/>
          </w:tcPr>
          <w:p>
            <w:pPr>
              <w:jc w:val="right"/>
              <w:ind w:right="52"/>
              <w:spacing w:after="0"/>
              <w:rPr>
                <w:sz w:val="20"/>
                <w:szCs w:val="20"/>
                <w:color w:val="auto"/>
              </w:rPr>
            </w:pPr>
            <w:r>
              <w:rPr>
                <w:rFonts w:ascii="Arial" w:cs="Arial" w:eastAsia="Arial" w:hAnsi="Arial"/>
                <w:sz w:val="14"/>
                <w:szCs w:val="14"/>
                <w:color w:val="auto"/>
              </w:rPr>
              <w:t>148,617</w:t>
            </w:r>
          </w:p>
        </w:tc>
        <w:tc>
          <w:tcPr>
            <w:tcW w:w="820" w:type="dxa"/>
            <w:vAlign w:val="bottom"/>
          </w:tcPr>
          <w:p>
            <w:pPr>
              <w:jc w:val="right"/>
              <w:spacing w:after="0"/>
              <w:rPr>
                <w:sz w:val="20"/>
                <w:szCs w:val="20"/>
                <w:color w:val="auto"/>
              </w:rPr>
            </w:pPr>
            <w:r>
              <w:rPr>
                <w:rFonts w:ascii="Arial" w:cs="Arial" w:eastAsia="Arial" w:hAnsi="Arial"/>
                <w:sz w:val="14"/>
                <w:szCs w:val="14"/>
                <w:color w:val="auto"/>
              </w:rPr>
              <w:t>148,133</w:t>
            </w:r>
          </w:p>
        </w:tc>
        <w:tc>
          <w:tcPr>
            <w:tcW w:w="1000" w:type="dxa"/>
            <w:vAlign w:val="bottom"/>
            <w:gridSpan w:val="2"/>
          </w:tcPr>
          <w:p>
            <w:pPr>
              <w:jc w:val="right"/>
              <w:ind w:right="72"/>
              <w:spacing w:after="0"/>
              <w:rPr>
                <w:sz w:val="20"/>
                <w:szCs w:val="20"/>
                <w:color w:val="auto"/>
              </w:rPr>
            </w:pPr>
            <w:r>
              <w:rPr>
                <w:rFonts w:ascii="Arial" w:cs="Arial" w:eastAsia="Arial" w:hAnsi="Arial"/>
                <w:sz w:val="14"/>
                <w:szCs w:val="14"/>
                <w:color w:val="auto"/>
              </w:rPr>
              <w:t>9,218</w:t>
            </w:r>
          </w:p>
        </w:tc>
        <w:tc>
          <w:tcPr>
            <w:tcW w:w="800" w:type="dxa"/>
            <w:vAlign w:val="bottom"/>
          </w:tcPr>
          <w:p>
            <w:pPr>
              <w:jc w:val="right"/>
              <w:spacing w:after="0"/>
              <w:rPr>
                <w:sz w:val="20"/>
                <w:szCs w:val="20"/>
                <w:color w:val="auto"/>
              </w:rPr>
            </w:pPr>
            <w:r>
              <w:rPr>
                <w:rFonts w:ascii="Arial" w:cs="Arial" w:eastAsia="Arial" w:hAnsi="Arial"/>
                <w:sz w:val="14"/>
                <w:szCs w:val="14"/>
                <w:color w:val="auto"/>
              </w:rPr>
              <w:t>10,111</w:t>
            </w:r>
          </w:p>
        </w:tc>
      </w:tr>
      <w:tr>
        <w:trPr>
          <w:trHeight w:val="230"/>
        </w:trPr>
        <w:tc>
          <w:tcPr>
            <w:tcW w:w="2260" w:type="dxa"/>
            <w:vAlign w:val="bottom"/>
          </w:tcPr>
          <w:p>
            <w:pPr>
              <w:spacing w:after="0"/>
              <w:rPr>
                <w:sz w:val="20"/>
                <w:szCs w:val="20"/>
                <w:color w:val="auto"/>
              </w:rPr>
            </w:pPr>
            <w:r>
              <w:rPr>
                <w:rFonts w:ascii="Arial" w:cs="Arial" w:eastAsia="Arial" w:hAnsi="Arial"/>
                <w:sz w:val="14"/>
                <w:szCs w:val="14"/>
                <w:color w:val="auto"/>
                <w:w w:val="97"/>
              </w:rPr>
              <w:t>Inversiones Crédito del Perú S.A. (iv)</w:t>
            </w:r>
          </w:p>
        </w:tc>
        <w:tc>
          <w:tcPr>
            <w:tcW w:w="1000" w:type="dxa"/>
            <w:vAlign w:val="bottom"/>
          </w:tcPr>
          <w:p>
            <w:pPr>
              <w:jc w:val="right"/>
              <w:ind w:right="132"/>
              <w:spacing w:after="0"/>
              <w:rPr>
                <w:sz w:val="20"/>
                <w:szCs w:val="20"/>
                <w:color w:val="auto"/>
              </w:rPr>
            </w:pPr>
            <w:r>
              <w:rPr>
                <w:rFonts w:ascii="Arial" w:cs="Arial" w:eastAsia="Arial" w:hAnsi="Arial"/>
                <w:sz w:val="14"/>
                <w:szCs w:val="14"/>
                <w:color w:val="auto"/>
              </w:rPr>
              <w:t>99.99</w:t>
            </w:r>
          </w:p>
        </w:tc>
        <w:tc>
          <w:tcPr>
            <w:tcW w:w="760" w:type="dxa"/>
            <w:vAlign w:val="bottom"/>
          </w:tcPr>
          <w:p>
            <w:pPr>
              <w:jc w:val="right"/>
              <w:spacing w:after="0"/>
              <w:rPr>
                <w:sz w:val="20"/>
                <w:szCs w:val="20"/>
                <w:color w:val="auto"/>
              </w:rPr>
            </w:pPr>
            <w:r>
              <w:rPr>
                <w:rFonts w:ascii="Arial" w:cs="Arial" w:eastAsia="Arial" w:hAnsi="Arial"/>
                <w:sz w:val="14"/>
                <w:szCs w:val="14"/>
                <w:color w:val="auto"/>
              </w:rPr>
              <w:t>99.99</w:t>
            </w:r>
          </w:p>
        </w:tc>
        <w:tc>
          <w:tcPr>
            <w:tcW w:w="1140" w:type="dxa"/>
            <w:vAlign w:val="bottom"/>
            <w:gridSpan w:val="2"/>
          </w:tcPr>
          <w:p>
            <w:pPr>
              <w:jc w:val="right"/>
              <w:ind w:right="192"/>
              <w:spacing w:after="0"/>
              <w:rPr>
                <w:sz w:val="20"/>
                <w:szCs w:val="20"/>
                <w:color w:val="auto"/>
              </w:rPr>
            </w:pPr>
            <w:r>
              <w:rPr>
                <w:rFonts w:ascii="Arial" w:cs="Arial" w:eastAsia="Arial" w:hAnsi="Arial"/>
                <w:sz w:val="14"/>
                <w:szCs w:val="14"/>
                <w:color w:val="auto"/>
              </w:rPr>
              <w:t>72,135</w:t>
            </w:r>
          </w:p>
        </w:tc>
        <w:tc>
          <w:tcPr>
            <w:tcW w:w="680" w:type="dxa"/>
            <w:vAlign w:val="bottom"/>
          </w:tcPr>
          <w:p>
            <w:pPr>
              <w:jc w:val="right"/>
              <w:spacing w:after="0"/>
              <w:rPr>
                <w:sz w:val="20"/>
                <w:szCs w:val="20"/>
                <w:color w:val="auto"/>
              </w:rPr>
            </w:pPr>
            <w:r>
              <w:rPr>
                <w:rFonts w:ascii="Arial" w:cs="Arial" w:eastAsia="Arial" w:hAnsi="Arial"/>
                <w:sz w:val="14"/>
                <w:szCs w:val="14"/>
                <w:color w:val="auto"/>
              </w:rPr>
              <w:t>50,011</w:t>
            </w:r>
          </w:p>
        </w:tc>
        <w:tc>
          <w:tcPr>
            <w:tcW w:w="1020" w:type="dxa"/>
            <w:vAlign w:val="bottom"/>
            <w:gridSpan w:val="2"/>
          </w:tcPr>
          <w:p>
            <w:pPr>
              <w:jc w:val="right"/>
              <w:ind w:right="52"/>
              <w:spacing w:after="0"/>
              <w:rPr>
                <w:sz w:val="20"/>
                <w:szCs w:val="20"/>
                <w:color w:val="auto"/>
              </w:rPr>
            </w:pPr>
            <w:r>
              <w:rPr>
                <w:rFonts w:ascii="Arial" w:cs="Arial" w:eastAsia="Arial" w:hAnsi="Arial"/>
                <w:sz w:val="14"/>
                <w:szCs w:val="14"/>
                <w:color w:val="auto"/>
              </w:rPr>
              <w:t>26,800</w:t>
            </w:r>
          </w:p>
        </w:tc>
        <w:tc>
          <w:tcPr>
            <w:tcW w:w="820" w:type="dxa"/>
            <w:vAlign w:val="bottom"/>
          </w:tcPr>
          <w:p>
            <w:pPr>
              <w:jc w:val="right"/>
              <w:spacing w:after="0"/>
              <w:rPr>
                <w:sz w:val="20"/>
                <w:szCs w:val="20"/>
                <w:color w:val="auto"/>
              </w:rPr>
            </w:pPr>
            <w:r>
              <w:rPr>
                <w:rFonts w:ascii="Arial" w:cs="Arial" w:eastAsia="Arial" w:hAnsi="Arial"/>
                <w:sz w:val="14"/>
                <w:szCs w:val="14"/>
                <w:color w:val="auto"/>
              </w:rPr>
              <w:t>29,375</w:t>
            </w:r>
          </w:p>
        </w:tc>
        <w:tc>
          <w:tcPr>
            <w:tcW w:w="1000" w:type="dxa"/>
            <w:vAlign w:val="bottom"/>
            <w:gridSpan w:val="2"/>
          </w:tcPr>
          <w:p>
            <w:pPr>
              <w:jc w:val="right"/>
              <w:ind w:right="52"/>
              <w:spacing w:after="0"/>
              <w:rPr>
                <w:sz w:val="20"/>
                <w:szCs w:val="20"/>
                <w:color w:val="auto"/>
              </w:rPr>
            </w:pPr>
            <w:r>
              <w:rPr>
                <w:rFonts w:ascii="Arial" w:cs="Arial" w:eastAsia="Arial" w:hAnsi="Arial"/>
                <w:sz w:val="14"/>
                <w:szCs w:val="14"/>
                <w:color w:val="auto"/>
              </w:rPr>
              <w:t>45,335</w:t>
            </w:r>
          </w:p>
        </w:tc>
        <w:tc>
          <w:tcPr>
            <w:tcW w:w="820" w:type="dxa"/>
            <w:vAlign w:val="bottom"/>
          </w:tcPr>
          <w:p>
            <w:pPr>
              <w:jc w:val="right"/>
              <w:spacing w:after="0"/>
              <w:rPr>
                <w:sz w:val="20"/>
                <w:szCs w:val="20"/>
                <w:color w:val="auto"/>
              </w:rPr>
            </w:pPr>
            <w:r>
              <w:rPr>
                <w:rFonts w:ascii="Arial" w:cs="Arial" w:eastAsia="Arial" w:hAnsi="Arial"/>
                <w:sz w:val="14"/>
                <w:szCs w:val="14"/>
                <w:color w:val="auto"/>
              </w:rPr>
              <w:t>20,636</w:t>
            </w:r>
          </w:p>
        </w:tc>
        <w:tc>
          <w:tcPr>
            <w:tcW w:w="1000" w:type="dxa"/>
            <w:vAlign w:val="bottom"/>
            <w:gridSpan w:val="2"/>
          </w:tcPr>
          <w:p>
            <w:pPr>
              <w:jc w:val="right"/>
              <w:ind w:right="72"/>
              <w:spacing w:after="0"/>
              <w:rPr>
                <w:sz w:val="20"/>
                <w:szCs w:val="20"/>
                <w:color w:val="auto"/>
              </w:rPr>
            </w:pPr>
            <w:r>
              <w:rPr>
                <w:rFonts w:ascii="Arial" w:cs="Arial" w:eastAsia="Arial" w:hAnsi="Arial"/>
                <w:sz w:val="14"/>
                <w:szCs w:val="14"/>
                <w:color w:val="auto"/>
              </w:rPr>
              <w:t>2,988</w:t>
            </w:r>
          </w:p>
        </w:tc>
        <w:tc>
          <w:tcPr>
            <w:tcW w:w="800" w:type="dxa"/>
            <w:vAlign w:val="bottom"/>
          </w:tcPr>
          <w:p>
            <w:pPr>
              <w:jc w:val="right"/>
              <w:spacing w:after="0"/>
              <w:rPr>
                <w:sz w:val="20"/>
                <w:szCs w:val="20"/>
                <w:color w:val="auto"/>
              </w:rPr>
            </w:pPr>
            <w:r>
              <w:rPr>
                <w:rFonts w:ascii="Arial" w:cs="Arial" w:eastAsia="Arial" w:hAnsi="Arial"/>
                <w:sz w:val="14"/>
                <w:szCs w:val="14"/>
                <w:color w:val="auto"/>
              </w:rPr>
              <w:t>(501)</w:t>
            </w:r>
          </w:p>
        </w:tc>
      </w:tr>
      <w:tr>
        <w:trPr>
          <w:trHeight w:val="230"/>
        </w:trPr>
        <w:tc>
          <w:tcPr>
            <w:tcW w:w="2260" w:type="dxa"/>
            <w:vAlign w:val="bottom"/>
          </w:tcPr>
          <w:p>
            <w:pPr>
              <w:spacing w:after="0"/>
              <w:rPr>
                <w:sz w:val="20"/>
                <w:szCs w:val="20"/>
                <w:color w:val="auto"/>
              </w:rPr>
            </w:pPr>
            <w:r>
              <w:rPr>
                <w:rFonts w:ascii="Arial" w:cs="Arial" w:eastAsia="Arial" w:hAnsi="Arial"/>
                <w:sz w:val="14"/>
                <w:szCs w:val="14"/>
                <w:color w:val="auto"/>
              </w:rPr>
              <w:t>Banco Tequendama (v)</w:t>
            </w:r>
          </w:p>
        </w:tc>
        <w:tc>
          <w:tcPr>
            <w:tcW w:w="1000" w:type="dxa"/>
            <w:vAlign w:val="bottom"/>
          </w:tcPr>
          <w:p>
            <w:pPr>
              <w:jc w:val="right"/>
              <w:ind w:right="132"/>
              <w:spacing w:after="0"/>
              <w:rPr>
                <w:sz w:val="20"/>
                <w:szCs w:val="20"/>
                <w:color w:val="auto"/>
              </w:rPr>
            </w:pPr>
            <w:r>
              <w:rPr>
                <w:rFonts w:ascii="Arial" w:cs="Arial" w:eastAsia="Arial" w:hAnsi="Arial"/>
                <w:sz w:val="14"/>
                <w:szCs w:val="14"/>
                <w:color w:val="auto"/>
              </w:rPr>
              <w:t>99.99</w:t>
            </w:r>
          </w:p>
        </w:tc>
        <w:tc>
          <w:tcPr>
            <w:tcW w:w="760" w:type="dxa"/>
            <w:vAlign w:val="bottom"/>
          </w:tcPr>
          <w:p>
            <w:pPr>
              <w:jc w:val="right"/>
              <w:spacing w:after="0"/>
              <w:rPr>
                <w:sz w:val="20"/>
                <w:szCs w:val="20"/>
                <w:color w:val="auto"/>
              </w:rPr>
            </w:pPr>
            <w:r>
              <w:rPr>
                <w:rFonts w:ascii="Arial" w:cs="Arial" w:eastAsia="Arial" w:hAnsi="Arial"/>
                <w:sz w:val="14"/>
                <w:szCs w:val="14"/>
                <w:color w:val="auto"/>
              </w:rPr>
              <w:t>99.99</w:t>
            </w:r>
          </w:p>
        </w:tc>
        <w:tc>
          <w:tcPr>
            <w:tcW w:w="1140" w:type="dxa"/>
            <w:vAlign w:val="bottom"/>
            <w:gridSpan w:val="2"/>
          </w:tcPr>
          <w:p>
            <w:pPr>
              <w:jc w:val="right"/>
              <w:ind w:right="192"/>
              <w:spacing w:after="0"/>
              <w:rPr>
                <w:sz w:val="20"/>
                <w:szCs w:val="20"/>
                <w:color w:val="auto"/>
              </w:rPr>
            </w:pPr>
            <w:r>
              <w:rPr>
                <w:rFonts w:ascii="Arial" w:cs="Arial" w:eastAsia="Arial" w:hAnsi="Arial"/>
                <w:sz w:val="14"/>
                <w:szCs w:val="14"/>
                <w:color w:val="auto"/>
              </w:rPr>
              <w:t>293,895</w:t>
            </w:r>
          </w:p>
        </w:tc>
        <w:tc>
          <w:tcPr>
            <w:tcW w:w="680" w:type="dxa"/>
            <w:vAlign w:val="bottom"/>
          </w:tcPr>
          <w:p>
            <w:pPr>
              <w:jc w:val="right"/>
              <w:spacing w:after="0"/>
              <w:rPr>
                <w:sz w:val="20"/>
                <w:szCs w:val="20"/>
                <w:color w:val="auto"/>
              </w:rPr>
            </w:pPr>
            <w:r>
              <w:rPr>
                <w:rFonts w:ascii="Arial" w:cs="Arial" w:eastAsia="Arial" w:hAnsi="Arial"/>
                <w:sz w:val="14"/>
                <w:szCs w:val="14"/>
                <w:color w:val="auto"/>
              </w:rPr>
              <w:t>270,681</w:t>
            </w:r>
          </w:p>
        </w:tc>
        <w:tc>
          <w:tcPr>
            <w:tcW w:w="1020" w:type="dxa"/>
            <w:vAlign w:val="bottom"/>
            <w:gridSpan w:val="2"/>
          </w:tcPr>
          <w:p>
            <w:pPr>
              <w:jc w:val="right"/>
              <w:ind w:right="52"/>
              <w:spacing w:after="0"/>
              <w:rPr>
                <w:sz w:val="20"/>
                <w:szCs w:val="20"/>
                <w:color w:val="auto"/>
              </w:rPr>
            </w:pPr>
            <w:r>
              <w:rPr>
                <w:rFonts w:ascii="Arial" w:cs="Arial" w:eastAsia="Arial" w:hAnsi="Arial"/>
                <w:sz w:val="14"/>
                <w:szCs w:val="14"/>
                <w:color w:val="auto"/>
              </w:rPr>
              <w:t>264,836</w:t>
            </w:r>
          </w:p>
        </w:tc>
        <w:tc>
          <w:tcPr>
            <w:tcW w:w="820" w:type="dxa"/>
            <w:vAlign w:val="bottom"/>
          </w:tcPr>
          <w:p>
            <w:pPr>
              <w:jc w:val="right"/>
              <w:spacing w:after="0"/>
              <w:rPr>
                <w:sz w:val="20"/>
                <w:szCs w:val="20"/>
                <w:color w:val="auto"/>
              </w:rPr>
            </w:pPr>
            <w:r>
              <w:rPr>
                <w:rFonts w:ascii="Arial" w:cs="Arial" w:eastAsia="Arial" w:hAnsi="Arial"/>
                <w:sz w:val="14"/>
                <w:szCs w:val="14"/>
                <w:color w:val="auto"/>
              </w:rPr>
              <w:t>234,077</w:t>
            </w:r>
          </w:p>
        </w:tc>
        <w:tc>
          <w:tcPr>
            <w:tcW w:w="1000" w:type="dxa"/>
            <w:vAlign w:val="bottom"/>
            <w:gridSpan w:val="2"/>
          </w:tcPr>
          <w:p>
            <w:pPr>
              <w:jc w:val="right"/>
              <w:ind w:right="52"/>
              <w:spacing w:after="0"/>
              <w:rPr>
                <w:sz w:val="20"/>
                <w:szCs w:val="20"/>
                <w:color w:val="auto"/>
              </w:rPr>
            </w:pPr>
            <w:r>
              <w:rPr>
                <w:rFonts w:ascii="Arial" w:cs="Arial" w:eastAsia="Arial" w:hAnsi="Arial"/>
                <w:sz w:val="14"/>
                <w:szCs w:val="14"/>
                <w:color w:val="auto"/>
              </w:rPr>
              <w:t>29,059</w:t>
            </w:r>
          </w:p>
        </w:tc>
        <w:tc>
          <w:tcPr>
            <w:tcW w:w="820" w:type="dxa"/>
            <w:vAlign w:val="bottom"/>
          </w:tcPr>
          <w:p>
            <w:pPr>
              <w:jc w:val="right"/>
              <w:spacing w:after="0"/>
              <w:rPr>
                <w:sz w:val="20"/>
                <w:szCs w:val="20"/>
                <w:color w:val="auto"/>
              </w:rPr>
            </w:pPr>
            <w:r>
              <w:rPr>
                <w:rFonts w:ascii="Arial" w:cs="Arial" w:eastAsia="Arial" w:hAnsi="Arial"/>
                <w:sz w:val="14"/>
                <w:szCs w:val="14"/>
                <w:color w:val="auto"/>
              </w:rPr>
              <w:t>36,604</w:t>
            </w:r>
          </w:p>
        </w:tc>
        <w:tc>
          <w:tcPr>
            <w:tcW w:w="1000" w:type="dxa"/>
            <w:vAlign w:val="bottom"/>
            <w:gridSpan w:val="2"/>
          </w:tcPr>
          <w:p>
            <w:pPr>
              <w:jc w:val="right"/>
              <w:ind w:right="72"/>
              <w:spacing w:after="0"/>
              <w:rPr>
                <w:sz w:val="20"/>
                <w:szCs w:val="20"/>
                <w:color w:val="auto"/>
              </w:rPr>
            </w:pPr>
            <w:r>
              <w:rPr>
                <w:rFonts w:ascii="Arial" w:cs="Arial" w:eastAsia="Arial" w:hAnsi="Arial"/>
                <w:sz w:val="14"/>
                <w:szCs w:val="14"/>
                <w:color w:val="auto"/>
              </w:rPr>
              <w:t>118</w:t>
            </w:r>
          </w:p>
        </w:tc>
        <w:tc>
          <w:tcPr>
            <w:tcW w:w="800" w:type="dxa"/>
            <w:vAlign w:val="bottom"/>
          </w:tcPr>
          <w:p>
            <w:pPr>
              <w:jc w:val="right"/>
              <w:spacing w:after="0"/>
              <w:rPr>
                <w:sz w:val="20"/>
                <w:szCs w:val="20"/>
                <w:color w:val="auto"/>
              </w:rPr>
            </w:pPr>
            <w:r>
              <w:rPr>
                <w:rFonts w:ascii="Arial" w:cs="Arial" w:eastAsia="Arial" w:hAnsi="Arial"/>
                <w:sz w:val="14"/>
                <w:szCs w:val="14"/>
                <w:color w:val="auto"/>
              </w:rPr>
              <w:t>(3,907)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2565400</wp:posOffset>
            </wp:positionH>
            <wp:positionV relativeFrom="paragraph">
              <wp:posOffset>-1461135</wp:posOffset>
            </wp:positionV>
            <wp:extent cx="34290" cy="342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-1461135</wp:posOffset>
            </wp:positionV>
            <wp:extent cx="34290" cy="342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4897755</wp:posOffset>
            </wp:positionH>
            <wp:positionV relativeFrom="paragraph">
              <wp:posOffset>-1461135</wp:posOffset>
            </wp:positionV>
            <wp:extent cx="34290" cy="342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6047105</wp:posOffset>
            </wp:positionH>
            <wp:positionV relativeFrom="paragraph">
              <wp:posOffset>-1461135</wp:posOffset>
            </wp:positionV>
            <wp:extent cx="34290" cy="342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7195820</wp:posOffset>
            </wp:positionH>
            <wp:positionV relativeFrom="paragraph">
              <wp:posOffset>-1461135</wp:posOffset>
            </wp:positionV>
            <wp:extent cx="34290" cy="342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29" w:lineRule="exact"/>
        <w:rPr>
          <w:sz w:val="20"/>
          <w:szCs w:val="20"/>
          <w:color w:val="auto"/>
        </w:rPr>
      </w:pPr>
    </w:p>
    <w:p>
      <w:pPr>
        <w:ind w:right="140" w:firstLine="8"/>
        <w:spacing w:after="0" w:line="268" w:lineRule="auto"/>
        <w:tabs>
          <w:tab w:leader="none" w:pos="21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Banco de Crédito (BCP) is a universal bank, incorporated in Perú on 1889, authorized to engage in banking activities by the Superintendence of Banking and Insurance (SBS), the Peruvian banking and insurance authority.</w:t>
      </w:r>
    </w:p>
    <w:p>
      <w:pPr>
        <w:spacing w:after="0" w:line="185" w:lineRule="exact"/>
        <w:rPr>
          <w:rFonts w:ascii="Arial" w:cs="Arial" w:eastAsia="Arial" w:hAnsi="Arial"/>
          <w:sz w:val="18"/>
          <w:szCs w:val="18"/>
          <w:color w:val="auto"/>
        </w:rPr>
      </w:pPr>
    </w:p>
    <w:p>
      <w:pPr>
        <w:ind w:firstLine="8"/>
        <w:spacing w:after="0" w:line="306" w:lineRule="auto"/>
        <w:tabs>
          <w:tab w:leader="none" w:pos="258" w:val="left"/>
        </w:tabs>
        <w:numPr>
          <w:ilvl w:val="0"/>
          <w:numId w:val="38"/>
        </w:numPr>
        <w:rPr>
          <w:rFonts w:ascii="Arial" w:cs="Arial" w:eastAsia="Arial" w:hAnsi="Arial"/>
          <w:sz w:val="16"/>
          <w:szCs w:val="16"/>
          <w:color w:val="auto"/>
        </w:rPr>
      </w:pPr>
      <w:r>
        <w:rPr>
          <w:rFonts w:ascii="Arial" w:cs="Arial" w:eastAsia="Arial" w:hAnsi="Arial"/>
          <w:sz w:val="16"/>
          <w:szCs w:val="16"/>
          <w:color w:val="auto"/>
        </w:rPr>
        <w:t>Atlantic Security Holding Corporation is incorporated in the Cayman Islands. Its main activity is to invest in the capital stock of companies. Its most significant subsidiary is Atlantic Security Bank (ASB). ASB is also incorporated in the Cayman Islands and began operations on December 14, 1981, carrying out its activities through branches and offices in Grand Cayman, the Republic of Panama and the United States of America.</w:t>
      </w:r>
    </w:p>
    <w:p>
      <w:pPr>
        <w:spacing w:after="0" w:line="160" w:lineRule="exact"/>
        <w:rPr>
          <w:rFonts w:ascii="Arial" w:cs="Arial" w:eastAsia="Arial" w:hAnsi="Arial"/>
          <w:sz w:val="16"/>
          <w:szCs w:val="16"/>
          <w:color w:val="auto"/>
        </w:rPr>
      </w:pPr>
    </w:p>
    <w:p>
      <w:pPr>
        <w:ind w:right="480" w:firstLine="8"/>
        <w:spacing w:after="0" w:line="332" w:lineRule="auto"/>
        <w:tabs>
          <w:tab w:leader="none" w:pos="307" w:val="left"/>
        </w:tabs>
        <w:numPr>
          <w:ilvl w:val="0"/>
          <w:numId w:val="38"/>
        </w:numPr>
        <w:rPr>
          <w:rFonts w:ascii="Arial" w:cs="Arial" w:eastAsia="Arial" w:hAnsi="Arial"/>
          <w:sz w:val="16"/>
          <w:szCs w:val="16"/>
          <w:color w:val="auto"/>
        </w:rPr>
      </w:pPr>
      <w:r>
        <w:rPr>
          <w:rFonts w:ascii="Arial" w:cs="Arial" w:eastAsia="Arial" w:hAnsi="Arial"/>
          <w:sz w:val="16"/>
          <w:szCs w:val="16"/>
          <w:color w:val="auto"/>
        </w:rPr>
        <w:t>Pacífico - Peruana Suiza Compañía de Seguros y Reaseguros (PPS) is a Peruvian corporation whose main activity is the issuance and administration of property and casualty insurance and the performance of related activities. PPS also provides accident, health and life insurance.</w:t>
      </w:r>
    </w:p>
    <w:p>
      <w:pPr>
        <w:spacing w:after="0" w:line="139" w:lineRule="exact"/>
        <w:rPr>
          <w:rFonts w:ascii="Arial" w:cs="Arial" w:eastAsia="Arial" w:hAnsi="Arial"/>
          <w:sz w:val="16"/>
          <w:szCs w:val="16"/>
          <w:color w:val="auto"/>
        </w:rPr>
      </w:pPr>
    </w:p>
    <w:p>
      <w:pPr>
        <w:ind w:right="240" w:firstLine="8"/>
        <w:spacing w:after="0" w:line="268" w:lineRule="auto"/>
        <w:tabs>
          <w:tab w:leader="none" w:pos="297"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Inversiones Credito del Peru S.A. (ICSA) is a Peruvian corporation incorporated on February 17, 1987, whose main activity is the investment in listed and non-listed equity securities.</w:t>
      </w:r>
    </w:p>
    <w:p>
      <w:pPr>
        <w:spacing w:after="0" w:line="185" w:lineRule="exact"/>
        <w:rPr>
          <w:rFonts w:ascii="Arial" w:cs="Arial" w:eastAsia="Arial" w:hAnsi="Arial"/>
          <w:sz w:val="18"/>
          <w:szCs w:val="18"/>
          <w:color w:val="auto"/>
        </w:rPr>
      </w:pPr>
    </w:p>
    <w:p>
      <w:pPr>
        <w:ind w:right="120" w:firstLine="8"/>
        <w:spacing w:after="0" w:line="268" w:lineRule="auto"/>
        <w:tabs>
          <w:tab w:leader="none" w:pos="249"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Banco Tequendama, acquired by Credicorp in January 1997, is a private banking institution, established on May 5, 1976 in accordance with Colombian laws and with a corporate life until June 30, 2010; this period could be extended in accordance with current legislation.</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59320" cy="342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ectPr>
          <w:pgSz w:w="11900" w:h="16838" w:orient="portrait"/>
          <w:cols w:equalWidth="0" w:num="1">
            <w:col w:w="11400"/>
          </w:cols>
          <w:pgMar w:left="240" w:top="347" w:right="25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color w:val="auto"/>
        </w:rPr>
        <w:t>(c) Foreign currency translation -</w:t>
      </w:r>
    </w:p>
    <w:p>
      <w:pPr>
        <w:spacing w:after="0" w:line="15" w:lineRule="exact"/>
        <w:rPr>
          <w:sz w:val="20"/>
          <w:szCs w:val="20"/>
          <w:color w:val="auto"/>
        </w:rPr>
      </w:pPr>
    </w:p>
    <w:p>
      <w:pPr>
        <w:ind w:right="20"/>
        <w:spacing w:after="0" w:line="331" w:lineRule="auto"/>
        <w:rPr>
          <w:sz w:val="20"/>
          <w:szCs w:val="20"/>
          <w:color w:val="auto"/>
        </w:rPr>
      </w:pPr>
      <w:r>
        <w:rPr>
          <w:rFonts w:ascii="Arial" w:cs="Arial" w:eastAsia="Arial" w:hAnsi="Arial"/>
          <w:sz w:val="15"/>
          <w:szCs w:val="15"/>
          <w:color w:val="auto"/>
        </w:rPr>
        <w:t>The Group considers that its measurement currency is the U.S. dollar, because it reflects the economic substance of the underlying events and the circumstances relevant to the Group; insofar its main operations and/or transactions in the different countries where the Group operates, such as, the loans granted, the financing obtained, the sale of insurance premiums, interest income and expenses, salaries and purchases are established and effected in U.S. dollars.</w:t>
      </w:r>
    </w:p>
    <w:p>
      <w:pPr>
        <w:spacing w:after="0" w:line="14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Credicorp’s subsidiaries maintain their accounting records in currencies of the countries in which they operate. The subsidiaries are considered as foreign operations and consequently, for consolidation purposes, they prepare their financial statements in U.S. dollars (their measurement currency) using the following methodology:</w:t>
      </w:r>
    </w:p>
    <w:p>
      <w:pPr>
        <w:spacing w:after="0" w:line="194" w:lineRule="exact"/>
        <w:rPr>
          <w:sz w:val="20"/>
          <w:szCs w:val="20"/>
          <w:color w:val="auto"/>
        </w:rPr>
      </w:pPr>
    </w:p>
    <w:p>
      <w:pPr>
        <w:ind w:left="580" w:right="60" w:hanging="572"/>
        <w:spacing w:after="0" w:line="254" w:lineRule="auto"/>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Monetary assets and liabilities denominated in non-U.S. dollars currencies are translated to U.S. dollars equivalents using the free market exchange rates at the balance sheet date.</w:t>
      </w:r>
    </w:p>
    <w:p>
      <w:pPr>
        <w:ind w:left="580" w:hanging="572"/>
        <w:spacing w:after="0"/>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Non-monetary accounts have been translated into U.S. dollars using the free market exchange rates on the date of the transactions.</w:t>
      </w:r>
    </w:p>
    <w:p>
      <w:pPr>
        <w:spacing w:after="0" w:line="9" w:lineRule="exact"/>
        <w:rPr>
          <w:rFonts w:ascii="Arial" w:cs="Arial" w:eastAsia="Arial" w:hAnsi="Arial"/>
          <w:sz w:val="18"/>
          <w:szCs w:val="18"/>
          <w:color w:val="auto"/>
        </w:rPr>
      </w:pPr>
    </w:p>
    <w:p>
      <w:pPr>
        <w:ind w:left="580" w:right="80" w:hanging="572"/>
        <w:spacing w:after="0" w:line="261" w:lineRule="auto"/>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Revenues and expenses, except for those related to non-monetary assets, are translated monthly at weighted average exchange rates, with resulting gains and losses included in income.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resulting translation adjustment into U.S. dollars is included in the consolidated statement of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 Financial instruments - -</w:t>
      </w:r>
    </w:p>
    <w:p>
      <w:pPr>
        <w:spacing w:after="0" w:line="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Financial instruments are classified as assets, liabilities or equity according to the substance of the contractual agreement that originated them. Interest, dividends, gains and losses relating to financial instruments classified as assets or liabilities are accounted for as expense or income. Financial instruments are offset when the Bank has a legally enforceable right to offset them and Management has the intention to settle them on a net basis or to realize the assets and charge off the liability simultaneously.</w:t>
      </w:r>
    </w:p>
    <w:p>
      <w:pPr>
        <w:spacing w:after="0" w:line="198"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Financial assets and liabilities carried on the balance sheet include cash and due from banks, trading and available-for-sale securities, loans, accounts receivable and the liabilities. In addition, all derivative instruments and indirect loans (contingent credits) are considered to be financial instruments. The specific accounting policies on recognition and measurement of these items are disclosed in the accounting policies described in this note.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59320" cy="342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ectPr>
          <w:pgSz w:w="11900" w:h="16838" w:orient="portrait"/>
          <w:cols w:equalWidth="0" w:num="1">
            <w:col w:w="11380"/>
          </w:cols>
          <w:pgMar w:left="240" w:top="347" w:right="27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color w:val="auto"/>
        </w:rPr>
        <w:t>(e) Recognition of revenues and expenses for banking activities -</w:t>
      </w:r>
    </w:p>
    <w:p>
      <w:pPr>
        <w:spacing w:after="0" w:line="1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Interest income and expenses are recognized in the income statements on an accrual basis using the effective interest method; interest rates are determined based on free negotiations with clients.</w:t>
      </w:r>
    </w:p>
    <w:p>
      <w:pPr>
        <w:spacing w:after="0" w:line="192" w:lineRule="exact"/>
        <w:rPr>
          <w:sz w:val="20"/>
          <w:szCs w:val="20"/>
          <w:color w:val="auto"/>
        </w:rPr>
      </w:pPr>
    </w:p>
    <w:p>
      <w:pPr>
        <w:ind w:right="160"/>
        <w:spacing w:after="0" w:line="370" w:lineRule="auto"/>
        <w:rPr>
          <w:sz w:val="20"/>
          <w:szCs w:val="20"/>
          <w:color w:val="auto"/>
        </w:rPr>
      </w:pPr>
      <w:r>
        <w:rPr>
          <w:rFonts w:ascii="Arial" w:cs="Arial" w:eastAsia="Arial" w:hAnsi="Arial"/>
          <w:sz w:val="15"/>
          <w:szCs w:val="15"/>
          <w:color w:val="auto"/>
        </w:rPr>
        <w:t>Interest income is suspended when collection of loans become doubtful, such as when overdue by more than 90 days or when the borrower or securities’ issuer defaults, if earlier than 90 days. Such income is excluded from interest income until received. Uncollected income on such loans is reversed against income.</w:t>
      </w:r>
    </w:p>
    <w:p>
      <w:pPr>
        <w:spacing w:after="0" w:line="1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When Management determines that the debtor’s financial condition has improved, the accounting recording of interest thereon is reestablished on an accrual basis.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Interest income includes coupons earned on fixed income investment and trading securities and the accrued discount and premium on financial instruments.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Dividends are recognized as income when they are declared.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Commissions on financial and banking services are recognized as income on an accrual basis when earned.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other revenues and expenses are recognized on an accrual basis as earned or incurred.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 Recognition of revenues and expenses for insurance activities -</w:t>
      </w:r>
    </w:p>
    <w:p>
      <w:pPr>
        <w:spacing w:after="0" w:line="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Premiums from long-term contracts, mainly life insurance, are recorded when earned. Premiums from short-term insurance contracts, mainly credit, accident and health policies, are earned over the related contract period. In this regard, a reserve for unearned premiums is recorded representing the unexpired portion of premium coverage to be applied in the following period on the basis of annual renewals.</w:t>
      </w:r>
    </w:p>
    <w:p>
      <w:pPr>
        <w:spacing w:after="0" w:line="19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reserve for unearned premiums is calculated on an individual basis for each policy or coverage certificate, applying to the insurance premiums (direct insurance and reinsurance accepted premiums less ceded premiums), net of commissions, expenses and taxes, the unearned portion of the total risk (in number of days). Likewise, a premium deficiency reserve is made when the reserve for unearned premiums becomes insufficient to cover the risks and future expenses that correspond to the unexpired period of coverage at the date of calculation.</w:t>
      </w:r>
    </w:p>
    <w:p>
      <w:pPr>
        <w:spacing w:after="0" w:line="16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Management, on the basis of periodical reviews of the clients’ portfolio, determines the allowance for doubtful accounts related to premiums and installments outstanding.</w:t>
      </w:r>
    </w:p>
    <w:p>
      <w:pPr>
        <w:spacing w:after="0" w:line="186" w:lineRule="exact"/>
        <w:rPr>
          <w:sz w:val="20"/>
          <w:szCs w:val="20"/>
          <w:color w:val="auto"/>
        </w:rPr>
      </w:pPr>
    </w:p>
    <w:p>
      <w:pPr>
        <w:ind w:right="640"/>
        <w:spacing w:after="0" w:line="370" w:lineRule="auto"/>
        <w:rPr>
          <w:sz w:val="20"/>
          <w:szCs w:val="20"/>
          <w:color w:val="auto"/>
        </w:rPr>
      </w:pPr>
      <w:r>
        <w:rPr>
          <w:rFonts w:ascii="Arial" w:cs="Arial" w:eastAsia="Arial" w:hAnsi="Arial"/>
          <w:sz w:val="15"/>
          <w:szCs w:val="15"/>
          <w:color w:val="auto"/>
        </w:rPr>
        <w:t>Casualty claims are recorded when reported. The incurred but not reported claims (IBNR) are estimated and reflected as a liability, net of recoveries and reinsurance. The IBNR at December 31, 2003 and 2002, have been estimated by taking into consideration the arithmetic progression of the percentages</w:t>
      </w:r>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59320" cy="342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ectPr>
          <w:pgSz w:w="11900" w:h="16838" w:orient="portrait"/>
          <w:cols w:equalWidth="0" w:num="1">
            <w:col w:w="11340"/>
          </w:cols>
          <w:pgMar w:left="240" w:top="347" w:right="319" w:bottom="1440" w:gutter="0" w:footer="0" w:header="0"/>
        </w:sectPr>
      </w:pPr>
    </w:p>
    <w:bookmarkStart w:id="145" w:name="page146"/>
    <w:bookmarkEnd w:id="145"/>
    <w:p>
      <w:pPr>
        <w:ind w:right="140"/>
        <w:spacing w:after="0" w:line="268" w:lineRule="auto"/>
        <w:rPr>
          <w:sz w:val="20"/>
          <w:szCs w:val="20"/>
          <w:color w:val="auto"/>
        </w:rPr>
      </w:pPr>
      <w:r>
        <w:rPr>
          <w:rFonts w:ascii="Arial" w:cs="Arial" w:eastAsia="Arial" w:hAnsi="Arial"/>
          <w:sz w:val="18"/>
          <w:szCs w:val="18"/>
          <w:color w:val="auto"/>
        </w:rPr>
        <w:t>computed over the actual figures for the past seven years. Management considers that the estimated amount is sufficient to cover any liability related to IBNR at December 31, 2003 and 2002.</w:t>
      </w:r>
    </w:p>
    <w:p>
      <w:pPr>
        <w:spacing w:after="0" w:line="186" w:lineRule="exact"/>
        <w:rPr>
          <w:sz w:val="20"/>
          <w:szCs w:val="20"/>
          <w:color w:val="auto"/>
        </w:rPr>
      </w:pPr>
    </w:p>
    <w:p>
      <w:pPr>
        <w:ind w:right="100"/>
        <w:spacing w:after="0" w:line="335" w:lineRule="auto"/>
        <w:rPr>
          <w:sz w:val="20"/>
          <w:szCs w:val="20"/>
          <w:color w:val="auto"/>
        </w:rPr>
      </w:pPr>
      <w:r>
        <w:rPr>
          <w:rFonts w:ascii="Arial" w:cs="Arial" w:eastAsia="Arial" w:hAnsi="Arial"/>
          <w:sz w:val="15"/>
          <w:szCs w:val="15"/>
          <w:color w:val="auto"/>
        </w:rPr>
        <w:t>In determining insurance policy reserves, the Group performs a continuing review of its overall position, its reserving techniques and its reinsurance. Qualified actuaries employed by the Group also reviews the reserves periodically. Since the reserves are based on estimates, the ultimate liability may be more or less than such reserves. The effects of changes in such estimated reserves are included in the results of operations in the period in which the estimates are changed.</w:t>
      </w:r>
    </w:p>
    <w:p>
      <w:pPr>
        <w:spacing w:after="0" w:line="142"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Reserves for life insurance policies are estimated using a net level premium method on the basis of actuarial assumptions as to mortality and interest established at product design. The mortality assumptions established at product design are based on experience which, together with interest assumptions, include a margin for adverse deviation. Additional reserves for specific future benefits, like participating life policies, endowment and return of premium policies are computed using international standards. Benefit liabilities for annuities during the accumulation period are equal to accumulated contractholders' fund balances and after annuitization are equal to the present value of expected future payments.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Policyholders' funds for universal life and investment-type products, including or not an interest guaranteed and funding agreements, are equal to the policyholder account values. Policy benefits that are charged to expense include benefit claims incurred in the period in excess of related policy account balances and interest credited to policyholders' account balances.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Policy acquisition costs (commissions) are deferred and subsequently amortized over the period in which the related premiums are earned.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 Loans and allowance for credit losses -</w:t>
      </w:r>
    </w:p>
    <w:p>
      <w:pPr>
        <w:spacing w:after="0" w:line="15" w:lineRule="exact"/>
        <w:rPr>
          <w:sz w:val="20"/>
          <w:szCs w:val="20"/>
          <w:color w:val="auto"/>
        </w:rPr>
      </w:pPr>
    </w:p>
    <w:p>
      <w:pPr>
        <w:jc w:val="both"/>
        <w:ind w:right="260"/>
        <w:spacing w:after="0" w:line="255" w:lineRule="auto"/>
        <w:rPr>
          <w:sz w:val="20"/>
          <w:szCs w:val="20"/>
          <w:color w:val="auto"/>
        </w:rPr>
      </w:pPr>
      <w:r>
        <w:rPr>
          <w:rFonts w:ascii="Arial" w:cs="Arial" w:eastAsia="Arial" w:hAnsi="Arial"/>
          <w:sz w:val="18"/>
          <w:szCs w:val="18"/>
          <w:color w:val="auto"/>
        </w:rPr>
        <w:t>Direct loans are recorded when disbursement of funds to the clients are made. Indirect (off-balance sheet) loans are recorded when documents supporting such facilities are issued. Also, Credicorp considers as refinanced or restructured those loans that change their payment schedules due to difficulties in the debtor’s ability to repay the loan.</w:t>
      </w:r>
    </w:p>
    <w:p>
      <w:pPr>
        <w:spacing w:after="0" w:line="19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An allowance for credit loss is established if there is objective evidence that the Group will not be able to collect all amounts due according to the original contractual terms of loans. For such purpose, Credicorp classifies all its loans into one of five risk categories, depending upon the degree of risk of nonpayment of each loan. The categories used by Credicorp are: (i) normal, (ii) potential problems, (iii) substandard, (iv) doubtful and (v) loss. Credicorp reviews its loan portfolio on a continuing basis in order to assess the completion and accuracy of its classification. For commercial loans the classification take into consideration several factors, such as the payment history of the particular loan, the history of Credicorp’s dealings with the borrower management, operating history, repayment capability and availability of funds of the borrower, status of any collateral or guarantee, the borrower’s financial</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59320" cy="342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ectPr>
          <w:pgSz w:w="11900" w:h="16838" w:orient="portrait"/>
          <w:cols w:equalWidth="0" w:num="1">
            <w:col w:w="11400"/>
          </w:cols>
          <w:pgMar w:left="240" w:top="347" w:right="259" w:bottom="1440" w:gutter="0" w:footer="0" w:header="0"/>
        </w:sectPr>
      </w:pPr>
    </w:p>
    <w:bookmarkStart w:id="146" w:name="page147"/>
    <w:bookmarkEnd w:id="146"/>
    <w:p>
      <w:pPr>
        <w:spacing w:after="0" w:line="332" w:lineRule="auto"/>
        <w:rPr>
          <w:sz w:val="20"/>
          <w:szCs w:val="20"/>
          <w:color w:val="auto"/>
        </w:rPr>
      </w:pPr>
      <w:r>
        <w:rPr>
          <w:rFonts w:ascii="Arial" w:cs="Arial" w:eastAsia="Arial" w:hAnsi="Arial"/>
          <w:sz w:val="16"/>
          <w:szCs w:val="16"/>
          <w:color w:val="auto"/>
        </w:rPr>
        <w:t>statements, general risk of the sector in which the borrower operates, the borrower’s risk classification made by other financial institutions in the market and other relevant factors. For micro-business, consumer and residential mortgage, the classification is based on how long payments are overdue.</w:t>
      </w:r>
    </w:p>
    <w:p>
      <w:pPr>
        <w:spacing w:after="0" w:line="139"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The allowance for credit losses is established based in the risk classifications and taking into consideration the guarantees and collateral obtained by the Group. Only the collateral received classified as “preferred”, “highly liquid preferred” or “self-liquidating preferred” are considered acceptable. Such collateral must be relatively liquid, have legally documented ownership, have no liens outstanding and have updated independent appraisals.</w:t>
      </w:r>
    </w:p>
    <w:p>
      <w:pPr>
        <w:spacing w:after="0" w:line="16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allowance for credit losses also covers the estimated losses for impaired loans not specifically identified. This allowance is estimated based on historical and other relevant information.</w:t>
      </w:r>
    </w:p>
    <w:p>
      <w:pPr>
        <w:spacing w:after="0" w:line="18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In the case of borrowers in countries where there is an increased risk of difficulties in servicing external debt, an assessment of the political and economic situation is made, and an additional country risk provisions is accounted for.</w:t>
      </w:r>
    </w:p>
    <w:p>
      <w:pPr>
        <w:spacing w:after="0" w:line="18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When a loan is uncollectible, it is written off against the related allowance for credit losses; subsequent recoveries are credited to the provision for credit losses in the consolidated statement of income. All loans considered impaired (such classified as substandard, doubtful and loss) are analyzed by the Groups’ management, taking into consideration the present value of their expected cash flows, including the recoverable amounts of the guarantees and collateral, discounted at the original effective interest rate of each loan. Based on this analysis, management believes that the methodology used on a continuous and consistent basis by the Group, provides an allowance for credit losses that is in accordance with the requirements established by IFRS.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(h) Leasing transactions - -</w:t>
      </w:r>
    </w:p>
    <w:p>
      <w:pPr>
        <w:spacing w:after="0" w:line="15"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The Group grants only finance leases and recognizes the present value of the lease payments as a loan. The difference between the gross receivable amount and the present value of the loan is recognized as unearned interest. Lease income is recognized over the term of the lease using the effective interest method, which reflects a constant periodic rate of return.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Investments -</w:t>
      </w:r>
    </w:p>
    <w:p>
      <w:pPr>
        <w:spacing w:after="0" w:line="15" w:lineRule="exact"/>
        <w:rPr>
          <w:sz w:val="20"/>
          <w:szCs w:val="20"/>
          <w:color w:val="auto"/>
        </w:rPr>
      </w:pPr>
    </w:p>
    <w:p>
      <w:pPr>
        <w:jc w:val="both"/>
        <w:ind w:right="260"/>
        <w:spacing w:after="0" w:line="302" w:lineRule="auto"/>
        <w:rPr>
          <w:sz w:val="20"/>
          <w:szCs w:val="20"/>
          <w:color w:val="auto"/>
        </w:rPr>
      </w:pPr>
      <w:r>
        <w:rPr>
          <w:rFonts w:ascii="Arial" w:cs="Arial" w:eastAsia="Arial" w:hAnsi="Arial"/>
          <w:sz w:val="16"/>
          <w:szCs w:val="16"/>
          <w:color w:val="auto"/>
        </w:rPr>
        <w:t>As from 2001, the Group classified its investments in accordance with IAS 39. Management determines the classification of its investments at the date of their purchase and evaluates such classification periodically. On January 1, 2001, the Group recognized as a credit to retained earnings, the effect of the adoption of IAS 39, related to the accounting treatment of the investments available-for-sale for US$4.5 million.</w:t>
      </w:r>
    </w:p>
    <w:p>
      <w:pPr>
        <w:spacing w:after="0" w:line="16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purchases and sales of investments are recognized at the date of the negotiation that corresponds to the date in which the Group commits itself to buy or sell the assets.</w:t>
      </w: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59320" cy="342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ectPr>
          <w:pgSz w:w="11900" w:h="16838" w:orient="portrait"/>
          <w:cols w:equalWidth="0" w:num="1">
            <w:col w:w="11400"/>
          </w:cols>
          <w:pgMar w:left="240" w:top="347" w:right="259" w:bottom="1440" w:gutter="0" w:footer="0" w:header="0"/>
        </w:sectPr>
      </w:pPr>
    </w:p>
    <w:bookmarkStart w:id="147" w:name="page148"/>
    <w:bookmarkEnd w:id="147"/>
    <w:p>
      <w:pPr>
        <w:spacing w:after="0" w:line="259" w:lineRule="auto"/>
        <w:rPr>
          <w:sz w:val="20"/>
          <w:szCs w:val="20"/>
          <w:color w:val="auto"/>
        </w:rPr>
      </w:pPr>
      <w:r>
        <w:rPr>
          <w:rFonts w:ascii="Arial" w:cs="Arial" w:eastAsia="Arial" w:hAnsi="Arial"/>
          <w:sz w:val="18"/>
          <w:szCs w:val="18"/>
          <w:color w:val="auto"/>
        </w:rPr>
        <w:t>Investments acquired, including those directly from the issuer, mainly with the purpose of generating profits based on short-term price fluctuations, are considered as trading investments. Investments available-for-sale are those that the Group intends to hold for an undefined period and can be sold in response to liquidity needs or changes in market interest rates.</w:t>
      </w:r>
    </w:p>
    <w:p>
      <w:pPr>
        <w:spacing w:after="0" w:line="19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Trading investments and investments available-for-sale are initially recognized at cost that approximates its fair value, including the costs of the transaction, and subsequently are valued at their fair value.</w:t>
      </w:r>
    </w:p>
    <w:p>
      <w:pPr>
        <w:spacing w:after="0" w:line="18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Fair values are based primarily on quoted prices or, if quoted market prices are not available, discounted expected cash flows using market rates commensurate with the credit quality and maturity of the investment. All related realized and unrealized gains and losses of trading securities are included in the income statement. Unrealized gains and losses arising from changes in the fair value of securities classified as investments available-for-sale are recognized in equity, net of the related deferred income taxes and minority interest. Unrealized gains or losses are recognized in income of the year when the investments available-for-sale are sold. When a permanent impairment is present the related unrealized loss is recognized in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(j) Property, furniture and equipment -</w:t>
      </w:r>
    </w:p>
    <w:p>
      <w:pPr>
        <w:spacing w:after="0" w:line="15" w:lineRule="exact"/>
        <w:rPr>
          <w:sz w:val="20"/>
          <w:szCs w:val="20"/>
          <w:color w:val="auto"/>
        </w:rPr>
      </w:pPr>
    </w:p>
    <w:p>
      <w:pPr>
        <w:jc w:val="both"/>
        <w:ind w:right="280"/>
        <w:spacing w:after="0" w:line="254" w:lineRule="auto"/>
        <w:rPr>
          <w:sz w:val="20"/>
          <w:szCs w:val="20"/>
          <w:color w:val="auto"/>
        </w:rPr>
      </w:pPr>
      <w:r>
        <w:rPr>
          <w:rFonts w:ascii="Arial" w:cs="Arial" w:eastAsia="Arial" w:hAnsi="Arial"/>
          <w:sz w:val="18"/>
          <w:szCs w:val="18"/>
          <w:color w:val="auto"/>
        </w:rPr>
        <w:t>Property, furniture and equipment are stated at acquisition cost less accumulated depreciation. Maintenance and repair costs are charged to profit and loss and significant renewals and improvements are capitalized. The cost and accumulated depreciation of assets sold or retired are eliminated from the corresponding accounts and the related gain or loss is included in the results of the year. Depreciation is computed on a straight-line basis over the following estimated useful lives:</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6160" w:type="dxa"/>
            <w:vAlign w:val="bottom"/>
          </w:tcPr>
          <w:p>
            <w:pPr>
              <w:spacing w:after="0"/>
              <w:rPr>
                <w:sz w:val="19"/>
                <w:szCs w:val="19"/>
                <w:color w:val="auto"/>
              </w:rPr>
            </w:pPr>
          </w:p>
        </w:tc>
        <w:tc>
          <w:tcPr>
            <w:tcW w:w="4280" w:type="dxa"/>
            <w:vAlign w:val="bottom"/>
          </w:tcPr>
          <w:p>
            <w:pPr>
              <w:ind w:left="3860"/>
              <w:spacing w:after="0"/>
              <w:rPr>
                <w:sz w:val="20"/>
                <w:szCs w:val="20"/>
                <w:color w:val="auto"/>
              </w:rPr>
            </w:pPr>
            <w:r>
              <w:rPr>
                <w:rFonts w:ascii="Arial" w:cs="Arial" w:eastAsia="Arial" w:hAnsi="Arial"/>
                <w:sz w:val="18"/>
                <w:szCs w:val="18"/>
                <w:b w:val="1"/>
                <w:bCs w:val="1"/>
                <w:color w:val="auto"/>
                <w:w w:val="81"/>
              </w:rPr>
              <w:t>Years</w:t>
            </w:r>
          </w:p>
        </w:tc>
      </w:tr>
      <w:tr>
        <w:trPr>
          <w:trHeight w:val="486"/>
        </w:trPr>
        <w:tc>
          <w:tcPr>
            <w:tcW w:w="6160" w:type="dxa"/>
            <w:vAlign w:val="bottom"/>
          </w:tcPr>
          <w:p>
            <w:pPr>
              <w:spacing w:after="0"/>
              <w:rPr>
                <w:sz w:val="20"/>
                <w:szCs w:val="20"/>
                <w:color w:val="auto"/>
              </w:rPr>
            </w:pPr>
            <w:r>
              <w:rPr>
                <w:rFonts w:ascii="Arial" w:cs="Arial" w:eastAsia="Arial" w:hAnsi="Arial"/>
                <w:sz w:val="18"/>
                <w:szCs w:val="18"/>
                <w:color w:val="auto"/>
              </w:rPr>
              <w:t>Buildings and other construction</w:t>
            </w:r>
          </w:p>
        </w:tc>
        <w:tc>
          <w:tcPr>
            <w:tcW w:w="4280" w:type="dxa"/>
            <w:vAlign w:val="bottom"/>
          </w:tcPr>
          <w:p>
            <w:pPr>
              <w:jc w:val="center"/>
              <w:ind w:left="3732"/>
              <w:spacing w:after="0"/>
              <w:rPr>
                <w:sz w:val="20"/>
                <w:szCs w:val="20"/>
                <w:color w:val="auto"/>
              </w:rPr>
            </w:pPr>
            <w:r>
              <w:rPr>
                <w:rFonts w:ascii="Arial" w:cs="Arial" w:eastAsia="Arial" w:hAnsi="Arial"/>
                <w:sz w:val="18"/>
                <w:szCs w:val="18"/>
                <w:color w:val="auto"/>
                <w:w w:val="89"/>
              </w:rPr>
              <w:t>33</w:t>
            </w:r>
          </w:p>
        </w:tc>
      </w:tr>
      <w:tr>
        <w:trPr>
          <w:trHeight w:val="243"/>
        </w:trPr>
        <w:tc>
          <w:tcPr>
            <w:tcW w:w="6160" w:type="dxa"/>
            <w:vAlign w:val="bottom"/>
          </w:tcPr>
          <w:p>
            <w:pPr>
              <w:spacing w:after="0"/>
              <w:rPr>
                <w:sz w:val="20"/>
                <w:szCs w:val="20"/>
                <w:color w:val="auto"/>
              </w:rPr>
            </w:pPr>
            <w:r>
              <w:rPr>
                <w:rFonts w:ascii="Arial" w:cs="Arial" w:eastAsia="Arial" w:hAnsi="Arial"/>
                <w:sz w:val="18"/>
                <w:szCs w:val="18"/>
                <w:color w:val="auto"/>
              </w:rPr>
              <w:t>Installations</w:t>
            </w:r>
          </w:p>
        </w:tc>
        <w:tc>
          <w:tcPr>
            <w:tcW w:w="4280" w:type="dxa"/>
            <w:vAlign w:val="bottom"/>
          </w:tcPr>
          <w:p>
            <w:pPr>
              <w:jc w:val="center"/>
              <w:ind w:left="3732"/>
              <w:spacing w:after="0"/>
              <w:rPr>
                <w:sz w:val="20"/>
                <w:szCs w:val="20"/>
                <w:color w:val="auto"/>
              </w:rPr>
            </w:pPr>
            <w:r>
              <w:rPr>
                <w:rFonts w:ascii="Arial" w:cs="Arial" w:eastAsia="Arial" w:hAnsi="Arial"/>
                <w:sz w:val="18"/>
                <w:szCs w:val="18"/>
                <w:color w:val="auto"/>
                <w:w w:val="89"/>
              </w:rPr>
              <w:t>10</w:t>
            </w:r>
          </w:p>
        </w:tc>
      </w:tr>
      <w:tr>
        <w:trPr>
          <w:trHeight w:val="243"/>
        </w:trPr>
        <w:tc>
          <w:tcPr>
            <w:tcW w:w="61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4280" w:type="dxa"/>
            <w:vAlign w:val="bottom"/>
          </w:tcPr>
          <w:p>
            <w:pPr>
              <w:jc w:val="center"/>
              <w:ind w:left="3732"/>
              <w:spacing w:after="0"/>
              <w:rPr>
                <w:sz w:val="20"/>
                <w:szCs w:val="20"/>
                <w:color w:val="auto"/>
              </w:rPr>
            </w:pPr>
            <w:r>
              <w:rPr>
                <w:rFonts w:ascii="Arial" w:cs="Arial" w:eastAsia="Arial" w:hAnsi="Arial"/>
                <w:sz w:val="18"/>
                <w:szCs w:val="18"/>
                <w:color w:val="auto"/>
                <w:w w:val="89"/>
              </w:rPr>
              <w:t>10</w:t>
            </w:r>
          </w:p>
        </w:tc>
      </w:tr>
      <w:tr>
        <w:trPr>
          <w:trHeight w:val="243"/>
        </w:trPr>
        <w:tc>
          <w:tcPr>
            <w:tcW w:w="6160" w:type="dxa"/>
            <w:vAlign w:val="bottom"/>
          </w:tcPr>
          <w:p>
            <w:pPr>
              <w:spacing w:after="0"/>
              <w:rPr>
                <w:sz w:val="20"/>
                <w:szCs w:val="20"/>
                <w:color w:val="auto"/>
              </w:rPr>
            </w:pPr>
            <w:r>
              <w:rPr>
                <w:rFonts w:ascii="Arial" w:cs="Arial" w:eastAsia="Arial" w:hAnsi="Arial"/>
                <w:sz w:val="18"/>
                <w:szCs w:val="18"/>
                <w:color w:val="auto"/>
              </w:rPr>
              <w:t>Equipment and vehicles</w:t>
            </w:r>
          </w:p>
        </w:tc>
        <w:tc>
          <w:tcPr>
            <w:tcW w:w="4280" w:type="dxa"/>
            <w:vAlign w:val="bottom"/>
          </w:tcPr>
          <w:p>
            <w:pPr>
              <w:jc w:val="center"/>
              <w:ind w:left="3712"/>
              <w:spacing w:after="0"/>
              <w:rPr>
                <w:sz w:val="20"/>
                <w:szCs w:val="20"/>
                <w:color w:val="auto"/>
              </w:rPr>
            </w:pPr>
            <w:r>
              <w:rPr>
                <w:rFonts w:ascii="Arial" w:cs="Arial" w:eastAsia="Arial" w:hAnsi="Arial"/>
                <w:sz w:val="18"/>
                <w:szCs w:val="18"/>
                <w:color w:val="auto"/>
                <w:w w:val="79"/>
              </w:rPr>
              <w:t>5</w:t>
            </w:r>
          </w:p>
        </w:tc>
      </w:tr>
    </w:tbl>
    <w:p>
      <w:pPr>
        <w:spacing w:after="0" w:line="23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useful life assigned and depreciation method selected are periodically reviewed to ensure that the method and period of depreciation chosen are consistent with the economic benefit and life expectations for use of property, furniture and equipment items.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(k) Assets seized -</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Assets seized are recorded at their estimated market value, obtained from valuations made by independent appraisals.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59320" cy="342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color w:val="auto"/>
        </w:rPr>
        <w:t>(l) Intangible -</w:t>
      </w:r>
    </w:p>
    <w:p>
      <w:pPr>
        <w:spacing w:after="0" w:line="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Intangible assets are included in the “Other assets” caption of the consolidated balance sheet and are comprised mainly of internal development software used in Credicorp Ltd. and its subsidiaries operations. These assets are amortized using the straight-line method based on their estimated useful life, which are from 3 to 5 years.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 Goodwill -</w:t>
      </w:r>
    </w:p>
    <w:p>
      <w:pPr>
        <w:spacing w:after="0" w:line="1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Goodwill represents the excess of the cost of an acquisition over the fair value of the net assets of the acquired subsidiary undertaking at the date of acquisition. Annually, goodwill is subject to an impairment test to assess whether the carrying amount is fully recoverable. A write down is made if the carrying amount exceeds the recoverable amount.</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Goodwill on the acquisition of ASHC and PPS at the date of the exchange of shares (market value), which amounted to US$43.7 million, is being amortized using the straight-line method over a 20 year-period. Goodwill originated by the acquisition of Solución Financiera de Crédito del Perú S.A. for US$8 million, is amortized over a period of 5 years, note 10(c).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 Due from customers on acceptances -</w:t>
      </w:r>
    </w:p>
    <w:p>
      <w:pPr>
        <w:spacing w:after="0" w:line="15" w:lineRule="exact"/>
        <w:rPr>
          <w:sz w:val="20"/>
          <w:szCs w:val="20"/>
          <w:color w:val="auto"/>
        </w:rPr>
      </w:pPr>
    </w:p>
    <w:p>
      <w:pPr>
        <w:ind w:right="360"/>
        <w:spacing w:after="0" w:line="323" w:lineRule="auto"/>
        <w:rPr>
          <w:sz w:val="20"/>
          <w:szCs w:val="20"/>
          <w:color w:val="auto"/>
        </w:rPr>
      </w:pPr>
      <w:r>
        <w:rPr>
          <w:rFonts w:ascii="Arial" w:cs="Arial" w:eastAsia="Arial" w:hAnsi="Arial"/>
          <w:sz w:val="16"/>
          <w:szCs w:val="16"/>
          <w:color w:val="auto"/>
        </w:rPr>
        <w:t>Due from customers on acceptances corresponds to accounts receivable from customers for importation and exportation transactions, whose obligations have been accepted by the banks. The obligations that must be assumed by the Group for such transactions are recorded as liabilities.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(o) Bonds issued -</w:t>
      </w:r>
    </w:p>
    <w:p>
      <w:pPr>
        <w:spacing w:after="0" w:line="15" w:lineRule="exact"/>
        <w:rPr>
          <w:sz w:val="20"/>
          <w:szCs w:val="20"/>
          <w:color w:val="auto"/>
        </w:rPr>
      </w:pPr>
    </w:p>
    <w:p>
      <w:pPr>
        <w:ind w:right="540"/>
        <w:spacing w:after="0" w:line="255" w:lineRule="auto"/>
        <w:rPr>
          <w:sz w:val="20"/>
          <w:szCs w:val="20"/>
          <w:color w:val="auto"/>
        </w:rPr>
      </w:pPr>
      <w:r>
        <w:rPr>
          <w:rFonts w:ascii="Arial" w:cs="Arial" w:eastAsia="Arial" w:hAnsi="Arial"/>
          <w:sz w:val="18"/>
          <w:szCs w:val="18"/>
          <w:color w:val="auto"/>
        </w:rPr>
        <w:t>Liabilities arising from the issuance of subordinated bonds, leasing bonds, mortgage bonds and mortgage notes are recorded at their face value and the corresponding interest is recognized in the consolidated statements of income on an accrued basis. Bond discounts determined at issuance are deferred and amortized over the term of the bonds using the effective interest method.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(p) Provisions -</w:t>
      </w:r>
    </w:p>
    <w:p>
      <w:pPr>
        <w:spacing w:after="0" w:line="15"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Provisions are recognized when the Group has a present legal or constructive obligation as a result of past events, it is probable that an outflow of resources embodying economic benefits will be required to settle the obligation and a reliable estimate of the amount of the obligation can be made. Provisions are reviewed in each period and are adjusted to reflect Management’s best estimate as of the consolidated balance sheet date. The amount recorded as a provision is equal to the present value of future payments expected to be needed to settle the obligation.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(q) Contingencies -</w:t>
      </w:r>
    </w:p>
    <w:p>
      <w:pPr>
        <w:spacing w:after="0" w:line="1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Contingent liabilities are not recognized in the consolidated financial statements. They are disclosed in the notes unless the possibility of an outflow of economic resources is remote.</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59320" cy="342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color w:val="auto"/>
        </w:rPr>
        <w:t>(r) Workers’ profit sharing and income tax -</w:t>
      </w:r>
    </w:p>
    <w:p>
      <w:pPr>
        <w:spacing w:after="0" w:line="1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Income tax and workers’ profit sharing are computed based on individual financial statements of Credicorp and each of its subsidiaries, based on accounting principles that are different from IFRS (tax basis) and, therefore, the accounting for income tax and workers' profit sharing in accordance with IFRS are both in accordance with the principles of IAS 12.</w:t>
      </w:r>
    </w:p>
    <w:p>
      <w:pPr>
        <w:spacing w:after="0" w:line="19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Deferred income tax and deferred workers’ profit sharing reflect the effects of temporary differences between the carrying amounts of assets and liabilities for accounting purposes and the amounts determined for tax purposes. Deferred assets and liabilities are measured using the tax rates expected to be applied to taxable income in the years in which temporary differences are expected to be recovered or eliminated. The measurement of deferred assets and liabilities reflects the tax consequences that arise from the manner in which Credicorp and its subsidiaries expect, at the consolidated balance sheet date, to recover or settle the carrying amount of its assets and liabilities. Deferred tax assets and liabilities are recognized regardless of when the temporary differences are likely to reverse. Deferred tax assets are recognized when it is probable that sufficient taxable income will be generated against which the deferred assets can be offset. At the consolidated balance sheet date, Credicorp assesses unrecognized deferred assets and the carrying amount of recognized deferred assets. Credicorp may recognize a previously unrecognized deferred assets to the extent that it has become probable that future tax benefits will allow their recovery or reduce a deferred asset to the extent that it is not probable that Credicorp and its subsidiaries will have sufficient tax benefits that would enable it to use part or the entire recognized deferred asset for accounting purposes.</w:t>
      </w:r>
    </w:p>
    <w:p>
      <w:pPr>
        <w:spacing w:after="0" w:line="177"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Credicorp determines its deferred income tax considering the tax rate applicable to its undistributed earnings; any additional tax on dividends distribution is recorded on the date a liability for such is recognized.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 Earnings per share -</w:t>
      </w:r>
    </w:p>
    <w:p>
      <w:pPr>
        <w:spacing w:after="0" w:line="15"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Basic and diluted earnings per share are computed based on the weighted average number of shares outstanding for the period, after deducting treasury stock. For the years ending December 31, 2003, 2002 and 2001, Credicorp has no financial instruments with dilutive effects; therefore, basic and diluted earnings per share are the same.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 Supplementary plan for workers’ profit sharing -</w:t>
      </w:r>
    </w:p>
    <w:p>
      <w:pPr>
        <w:spacing w:after="0" w:line="15"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Profit sharing participations have been granted to certain executives and employees who have at least one year of service in Credicorp or any of its subsidiaries in the form of options on stock appreciation rights over certain number of Credicorp’s shares. Such options are granted at the market price of the shares of Credicorp on the date of the grant and are exercisable at that price, allowing the worker to obtain a gain from the difference between the market price of the share at the date of execution and the fixed exercise price, note 16. Expense recognized in income for the year corresponds to the difference between the strike price and the market price of the shares of the options that can be exercisable by the beneficiaries at the consolidated balance sheet date.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59320" cy="342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ectPr>
          <w:pgSz w:w="11900" w:h="16838" w:orient="portrait"/>
          <w:cols w:equalWidth="0" w:num="1">
            <w:col w:w="11400"/>
          </w:cols>
          <w:pgMar w:left="240" w:top="347" w:right="259" w:bottom="1440" w:gutter="0" w:footer="0" w:header="0"/>
        </w:sectPr>
      </w:pPr>
    </w:p>
    <w:bookmarkStart w:id="150" w:name="page151"/>
    <w:bookmarkEnd w:id="150"/>
    <w:p>
      <w:pPr>
        <w:ind w:right="120"/>
        <w:spacing w:after="0" w:line="268" w:lineRule="auto"/>
        <w:rPr>
          <w:sz w:val="20"/>
          <w:szCs w:val="20"/>
          <w:color w:val="auto"/>
        </w:rPr>
      </w:pPr>
      <w:r>
        <w:rPr>
          <w:rFonts w:ascii="Arial" w:cs="Arial" w:eastAsia="Arial" w:hAnsi="Arial"/>
          <w:sz w:val="18"/>
          <w:szCs w:val="18"/>
          <w:color w:val="auto"/>
        </w:rPr>
        <w:t>When Credicorp reprises or changes the terms of the options, additional compensation is recorded equal to the difference between the exercise price and the new market price of the underlying shares.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(u) Derivative financial instruments -</w:t>
      </w:r>
    </w:p>
    <w:p>
      <w:pPr>
        <w:spacing w:after="0" w:line="15"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Transactions with derivatives, while providing effective economic hedges under the Group’s risk management positions, do not qualify for hedge accounting under the specific rules of IAS 39 and are therefore treated as derivatives held for trading.</w:t>
      </w:r>
    </w:p>
    <w:p>
      <w:pPr>
        <w:spacing w:after="0" w:line="192"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Derivative financial instruments are initially recognized in the consolidated balance sheet at cost and subsequently are remeasured at their fair value. Fair values are obtained based on market exchange rates or interest rates. All derivatives are carried as assets when fair value is positive and as liabilities when fair value is negative. Gain and losses for changes in their fair value are recorded in the consolidated statements of income.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(v) Fiduciary activities - -</w:t>
      </w:r>
    </w:p>
    <w:p>
      <w:pPr>
        <w:spacing w:after="0" w:line="15"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Assets and income arising from fiduciary activities together with related undertakings to return such assets to customers are excluded from the consolidated financial statements where the Group acts in a fiduciary capacity such as a nominee, trustee or agent.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 Cash and cash equivalents -</w:t>
      </w:r>
    </w:p>
    <w:p>
      <w:pPr>
        <w:spacing w:after="0" w:line="15"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For the purposes of the consolidated cash flow statements, cash and cash equivalents comprise balances with less than three months maturity from the date of acquisition, including cash, balances with central banks, overnight deposits and amounts due from banks.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(x) Financial statements as of December 31, 2002 and 2001 -</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have been made to prior years financial statements to conform to current year presentation.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40" w:type="dxa"/>
            <w:vAlign w:val="bottom"/>
          </w:tcPr>
          <w:p>
            <w:pPr>
              <w:spacing w:after="0"/>
              <w:rPr>
                <w:sz w:val="20"/>
                <w:szCs w:val="20"/>
                <w:color w:val="auto"/>
              </w:rPr>
            </w:pPr>
            <w:r>
              <w:rPr>
                <w:rFonts w:ascii="Arial" w:cs="Arial" w:eastAsia="Arial" w:hAnsi="Arial"/>
                <w:sz w:val="18"/>
                <w:szCs w:val="18"/>
                <w:b w:val="1"/>
                <w:bCs w:val="1"/>
                <w:color w:val="auto"/>
              </w:rPr>
              <w:t>4. Cash and due from banks</w:t>
            </w:r>
          </w:p>
        </w:tc>
        <w:tc>
          <w:tcPr>
            <w:tcW w:w="35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2"/>
        </w:trPr>
        <w:tc>
          <w:tcPr>
            <w:tcW w:w="4440" w:type="dxa"/>
            <w:vAlign w:val="bottom"/>
          </w:tcPr>
          <w:p>
            <w:pPr>
              <w:spacing w:after="0"/>
              <w:rPr>
                <w:sz w:val="20"/>
                <w:szCs w:val="20"/>
                <w:color w:val="auto"/>
              </w:rPr>
            </w:pPr>
            <w:r>
              <w:rPr>
                <w:rFonts w:ascii="Arial" w:cs="Arial" w:eastAsia="Arial" w:hAnsi="Arial"/>
                <w:sz w:val="18"/>
                <w:szCs w:val="18"/>
                <w:color w:val="auto"/>
              </w:rPr>
              <w:t>(a) This item is made up as follows:</w:t>
            </w:r>
          </w:p>
        </w:tc>
        <w:tc>
          <w:tcPr>
            <w:tcW w:w="3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4440" w:type="dxa"/>
            <w:vAlign w:val="bottom"/>
          </w:tcPr>
          <w:p>
            <w:pPr>
              <w:spacing w:after="0"/>
              <w:rPr>
                <w:sz w:val="24"/>
                <w:szCs w:val="24"/>
                <w:color w:val="auto"/>
              </w:rPr>
            </w:pPr>
          </w:p>
        </w:tc>
        <w:tc>
          <w:tcPr>
            <w:tcW w:w="5240" w:type="dxa"/>
            <w:vAlign w:val="bottom"/>
            <w:gridSpan w:val="2"/>
          </w:tcPr>
          <w:p>
            <w:pPr>
              <w:jc w:val="right"/>
              <w:ind w:right="612"/>
              <w:spacing w:after="0"/>
              <w:rPr>
                <w:sz w:val="20"/>
                <w:szCs w:val="20"/>
                <w:color w:val="auto"/>
              </w:rPr>
            </w:pPr>
            <w:r>
              <w:rPr>
                <w:rFonts w:ascii="Arial" w:cs="Arial" w:eastAsia="Arial" w:hAnsi="Arial"/>
                <w:sz w:val="18"/>
                <w:szCs w:val="18"/>
                <w:b w:val="1"/>
                <w:bCs w:val="1"/>
                <w:color w:val="auto"/>
              </w:rPr>
              <w:t>2003</w:t>
            </w:r>
          </w:p>
        </w:tc>
        <w:tc>
          <w:tcPr>
            <w:tcW w:w="1720" w:type="dxa"/>
            <w:vAlign w:val="bottom"/>
            <w:gridSpan w:val="2"/>
          </w:tcPr>
          <w:p>
            <w:pPr>
              <w:jc w:val="right"/>
              <w:ind w:right="612"/>
              <w:spacing w:after="0"/>
              <w:rPr>
                <w:sz w:val="20"/>
                <w:szCs w:val="20"/>
                <w:color w:val="auto"/>
              </w:rPr>
            </w:pPr>
            <w:r>
              <w:rPr>
                <w:rFonts w:ascii="Arial" w:cs="Arial" w:eastAsia="Arial" w:hAnsi="Arial"/>
                <w:sz w:val="18"/>
                <w:szCs w:val="18"/>
                <w:b w:val="1"/>
                <w:bCs w:val="1"/>
                <w:color w:val="auto"/>
              </w:rPr>
              <w:t>2002</w:t>
            </w:r>
          </w:p>
        </w:tc>
        <w:tc>
          <w:tcPr>
            <w:tcW w:w="20" w:type="dxa"/>
            <w:vAlign w:val="bottom"/>
          </w:tcPr>
          <w:p>
            <w:pPr>
              <w:spacing w:after="0"/>
              <w:rPr>
                <w:sz w:val="24"/>
                <w:szCs w:val="24"/>
                <w:color w:val="auto"/>
              </w:rPr>
            </w:pPr>
          </w:p>
        </w:tc>
      </w:tr>
      <w:tr>
        <w:trPr>
          <w:trHeight w:val="243"/>
        </w:trPr>
        <w:tc>
          <w:tcPr>
            <w:tcW w:w="444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1700" w:type="dxa"/>
            <w:vAlign w:val="bottom"/>
          </w:tcPr>
          <w:p>
            <w:pPr>
              <w:jc w:val="right"/>
              <w:ind w:right="412"/>
              <w:spacing w:after="0"/>
              <w:rPr>
                <w:sz w:val="20"/>
                <w:szCs w:val="20"/>
                <w:color w:val="auto"/>
              </w:rPr>
            </w:pPr>
            <w:r>
              <w:rPr>
                <w:rFonts w:ascii="Arial" w:cs="Arial" w:eastAsia="Arial" w:hAnsi="Arial"/>
                <w:sz w:val="18"/>
                <w:szCs w:val="18"/>
                <w:color w:val="auto"/>
              </w:rPr>
              <w:t>US$(000)</w:t>
            </w:r>
          </w:p>
        </w:tc>
        <w:tc>
          <w:tcPr>
            <w:tcW w:w="20" w:type="dxa"/>
            <w:vAlign w:val="bottom"/>
          </w:tcPr>
          <w:p>
            <w:pPr>
              <w:spacing w:after="0"/>
              <w:rPr>
                <w:sz w:val="21"/>
                <w:szCs w:val="21"/>
                <w:color w:val="auto"/>
              </w:rPr>
            </w:pPr>
          </w:p>
        </w:tc>
        <w:tc>
          <w:tcPr>
            <w:tcW w:w="1700" w:type="dxa"/>
            <w:vAlign w:val="bottom"/>
          </w:tcPr>
          <w:p>
            <w:pPr>
              <w:jc w:val="right"/>
              <w:ind w:right="412"/>
              <w:spacing w:after="0"/>
              <w:rPr>
                <w:sz w:val="20"/>
                <w:szCs w:val="20"/>
                <w:color w:val="auto"/>
              </w:rPr>
            </w:pPr>
            <w:r>
              <w:rPr>
                <w:rFonts w:ascii="Arial" w:cs="Arial" w:eastAsia="Arial" w:hAnsi="Arial"/>
                <w:sz w:val="18"/>
                <w:szCs w:val="18"/>
                <w:color w:val="auto"/>
              </w:rPr>
              <w:t>US$(000)</w:t>
            </w:r>
          </w:p>
        </w:tc>
        <w:tc>
          <w:tcPr>
            <w:tcW w:w="20" w:type="dxa"/>
            <w:vAlign w:val="bottom"/>
          </w:tcPr>
          <w:p>
            <w:pPr>
              <w:spacing w:after="0"/>
              <w:rPr>
                <w:sz w:val="21"/>
                <w:szCs w:val="21"/>
                <w:color w:val="auto"/>
              </w:rPr>
            </w:pPr>
          </w:p>
        </w:tc>
      </w:tr>
      <w:tr>
        <w:trPr>
          <w:trHeight w:val="486"/>
        </w:trPr>
        <w:tc>
          <w:tcPr>
            <w:tcW w:w="4440" w:type="dxa"/>
            <w:vAlign w:val="bottom"/>
          </w:tcPr>
          <w:p>
            <w:pPr>
              <w:ind w:left="40"/>
              <w:spacing w:after="0"/>
              <w:rPr>
                <w:sz w:val="20"/>
                <w:szCs w:val="20"/>
                <w:color w:val="auto"/>
              </w:rPr>
            </w:pPr>
            <w:r>
              <w:rPr>
                <w:rFonts w:ascii="Arial" w:cs="Arial" w:eastAsia="Arial" w:hAnsi="Arial"/>
                <w:sz w:val="18"/>
                <w:szCs w:val="18"/>
                <w:color w:val="auto"/>
              </w:rPr>
              <w:t>Cash and clearing</w:t>
            </w:r>
          </w:p>
        </w:tc>
        <w:tc>
          <w:tcPr>
            <w:tcW w:w="5240" w:type="dxa"/>
            <w:vAlign w:val="bottom"/>
            <w:gridSpan w:val="2"/>
          </w:tcPr>
          <w:p>
            <w:pPr>
              <w:jc w:val="right"/>
              <w:spacing w:after="0"/>
              <w:rPr>
                <w:sz w:val="20"/>
                <w:szCs w:val="20"/>
                <w:color w:val="auto"/>
              </w:rPr>
            </w:pPr>
            <w:r>
              <w:rPr>
                <w:rFonts w:ascii="Arial" w:cs="Arial" w:eastAsia="Arial" w:hAnsi="Arial"/>
                <w:sz w:val="18"/>
                <w:szCs w:val="18"/>
                <w:color w:val="auto"/>
              </w:rPr>
              <w:t>228,965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320,595</w:t>
            </w:r>
          </w:p>
        </w:tc>
        <w:tc>
          <w:tcPr>
            <w:tcW w:w="20" w:type="dxa"/>
            <w:vAlign w:val="bottom"/>
          </w:tcPr>
          <w:p>
            <w:pPr>
              <w:spacing w:after="0"/>
              <w:rPr>
                <w:sz w:val="24"/>
                <w:szCs w:val="24"/>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Deposits in Peruvian Central Bank – BCRP (b)</w:t>
            </w:r>
          </w:p>
        </w:tc>
        <w:tc>
          <w:tcPr>
            <w:tcW w:w="5240" w:type="dxa"/>
            <w:vAlign w:val="bottom"/>
            <w:gridSpan w:val="2"/>
          </w:tcPr>
          <w:p>
            <w:pPr>
              <w:jc w:val="right"/>
              <w:spacing w:after="0"/>
              <w:rPr>
                <w:sz w:val="20"/>
                <w:szCs w:val="20"/>
                <w:color w:val="auto"/>
              </w:rPr>
            </w:pPr>
            <w:r>
              <w:rPr>
                <w:rFonts w:ascii="Arial" w:cs="Arial" w:eastAsia="Arial" w:hAnsi="Arial"/>
                <w:sz w:val="18"/>
                <w:szCs w:val="18"/>
                <w:color w:val="auto"/>
              </w:rPr>
              <w:t>929,557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1,317,030</w:t>
            </w:r>
          </w:p>
        </w:tc>
        <w:tc>
          <w:tcPr>
            <w:tcW w:w="20" w:type="dxa"/>
            <w:vAlign w:val="bottom"/>
          </w:tcPr>
          <w:p>
            <w:pPr>
              <w:spacing w:after="0"/>
              <w:rPr>
                <w:sz w:val="21"/>
                <w:szCs w:val="2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Deposits in banks</w:t>
            </w:r>
          </w:p>
        </w:tc>
        <w:tc>
          <w:tcPr>
            <w:tcW w:w="5240" w:type="dxa"/>
            <w:vAlign w:val="bottom"/>
            <w:gridSpan w:val="2"/>
          </w:tcPr>
          <w:p>
            <w:pPr>
              <w:jc w:val="right"/>
              <w:spacing w:after="0"/>
              <w:rPr>
                <w:sz w:val="20"/>
                <w:szCs w:val="20"/>
                <w:color w:val="auto"/>
              </w:rPr>
            </w:pPr>
            <w:r>
              <w:rPr>
                <w:rFonts w:ascii="Arial" w:cs="Arial" w:eastAsia="Arial" w:hAnsi="Arial"/>
                <w:sz w:val="18"/>
                <w:szCs w:val="18"/>
                <w:color w:val="auto"/>
              </w:rPr>
              <w:t>454,208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544,765</w:t>
            </w:r>
          </w:p>
        </w:tc>
        <w:tc>
          <w:tcPr>
            <w:tcW w:w="20" w:type="dxa"/>
            <w:vAlign w:val="bottom"/>
          </w:tcPr>
          <w:p>
            <w:pPr>
              <w:spacing w:after="0"/>
              <w:rPr>
                <w:sz w:val="21"/>
                <w:szCs w:val="21"/>
                <w:color w:val="auto"/>
              </w:rPr>
            </w:pPr>
          </w:p>
        </w:tc>
      </w:tr>
      <w:tr>
        <w:trPr>
          <w:trHeight w:val="137"/>
        </w:trPr>
        <w:tc>
          <w:tcPr>
            <w:tcW w:w="444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r>
      <w:tr>
        <w:trPr>
          <w:trHeight w:val="599"/>
        </w:trPr>
        <w:tc>
          <w:tcPr>
            <w:tcW w:w="4440" w:type="dxa"/>
            <w:vAlign w:val="bottom"/>
          </w:tcPr>
          <w:p>
            <w:pPr>
              <w:ind w:left="40"/>
              <w:spacing w:after="0"/>
              <w:rPr>
                <w:sz w:val="20"/>
                <w:szCs w:val="20"/>
                <w:color w:val="auto"/>
              </w:rPr>
            </w:pPr>
            <w:r>
              <w:rPr>
                <w:rFonts w:ascii="Arial" w:cs="Arial" w:eastAsia="Arial" w:hAnsi="Arial"/>
                <w:sz w:val="18"/>
                <w:szCs w:val="18"/>
                <w:color w:val="auto"/>
              </w:rPr>
              <w:t>Total</w:t>
            </w:r>
          </w:p>
        </w:tc>
        <w:tc>
          <w:tcPr>
            <w:tcW w:w="5240" w:type="dxa"/>
            <w:vAlign w:val="bottom"/>
            <w:gridSpan w:val="2"/>
          </w:tcPr>
          <w:p>
            <w:pPr>
              <w:jc w:val="right"/>
              <w:spacing w:after="0"/>
              <w:rPr>
                <w:sz w:val="20"/>
                <w:szCs w:val="20"/>
                <w:color w:val="auto"/>
              </w:rPr>
            </w:pPr>
            <w:r>
              <w:rPr>
                <w:rFonts w:ascii="Arial" w:cs="Arial" w:eastAsia="Arial" w:hAnsi="Arial"/>
                <w:sz w:val="18"/>
                <w:szCs w:val="18"/>
                <w:color w:val="auto"/>
              </w:rPr>
              <w:t>1,612,730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2,182,390</w:t>
            </w:r>
          </w:p>
        </w:tc>
        <w:tc>
          <w:tcPr>
            <w:tcW w:w="20" w:type="dxa"/>
            <w:vAlign w:val="bottom"/>
          </w:tcPr>
          <w:p>
            <w:pPr>
              <w:spacing w:after="0"/>
              <w:rPr>
                <w:sz w:val="24"/>
                <w:szCs w:val="24"/>
                <w:color w:val="auto"/>
              </w:rPr>
            </w:pPr>
          </w:p>
        </w:tc>
      </w:tr>
      <w:tr>
        <w:trPr>
          <w:trHeight w:val="147"/>
        </w:trPr>
        <w:tc>
          <w:tcPr>
            <w:tcW w:w="44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589"/>
        </w:trPr>
        <w:tc>
          <w:tcPr>
            <w:tcW w:w="4440" w:type="dxa"/>
            <w:vAlign w:val="bottom"/>
          </w:tcPr>
          <w:p>
            <w:pPr>
              <w:spacing w:after="0"/>
              <w:rPr>
                <w:sz w:val="24"/>
                <w:szCs w:val="24"/>
                <w:color w:val="auto"/>
              </w:rPr>
            </w:pPr>
          </w:p>
        </w:tc>
        <w:tc>
          <w:tcPr>
            <w:tcW w:w="5240" w:type="dxa"/>
            <w:vAlign w:val="bottom"/>
            <w:gridSpan w:val="2"/>
          </w:tcPr>
          <w:p>
            <w:pPr>
              <w:jc w:val="right"/>
              <w:ind w:right="3712"/>
              <w:spacing w:after="0"/>
              <w:rPr>
                <w:sz w:val="20"/>
                <w:szCs w:val="20"/>
                <w:color w:val="auto"/>
              </w:rPr>
            </w:pPr>
            <w:r>
              <w:rPr>
                <w:rFonts w:ascii="Arial" w:cs="Arial" w:eastAsia="Arial" w:hAnsi="Arial"/>
                <w:sz w:val="18"/>
                <w:szCs w:val="18"/>
                <w:color w:val="auto"/>
              </w:rPr>
              <w:t>F-23</w:t>
            </w: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0"/>
        </w:trPr>
        <w:tc>
          <w:tcPr>
            <w:tcW w:w="4440" w:type="dxa"/>
            <w:vAlign w:val="bottom"/>
            <w:tcBorders>
              <w:bottom w:val="single" w:sz="8" w:color="9A9A9A"/>
            </w:tcBorders>
          </w:tcPr>
          <w:p>
            <w:pPr>
              <w:spacing w:after="0"/>
              <w:rPr>
                <w:sz w:val="9"/>
                <w:szCs w:val="9"/>
                <w:color w:val="auto"/>
              </w:rPr>
            </w:pPr>
          </w:p>
        </w:tc>
        <w:tc>
          <w:tcPr>
            <w:tcW w:w="354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6123940</wp:posOffset>
            </wp:positionH>
            <wp:positionV relativeFrom="paragraph">
              <wp:posOffset>-963930</wp:posOffset>
            </wp:positionV>
            <wp:extent cx="34290" cy="342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-963930</wp:posOffset>
            </wp:positionV>
            <wp:extent cx="34290" cy="342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-466725</wp:posOffset>
            </wp:positionV>
            <wp:extent cx="12700"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-466725</wp:posOffset>
            </wp:positionV>
            <wp:extent cx="12700"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-466725</wp:posOffset>
            </wp:positionV>
            <wp:extent cx="12700" cy="88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-466725</wp:posOffset>
            </wp:positionV>
            <wp:extent cx="12700"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151" w:name="page152"/>
    <w:bookmarkEnd w:id="151"/>
    <w:p>
      <w:pPr>
        <w:ind w:right="40" w:firstLine="8"/>
        <w:spacing w:after="0" w:line="268" w:lineRule="auto"/>
        <w:tabs>
          <w:tab w:leader="none" w:pos="249"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 of December 31, 2003, includes US$385 million corresponding to an overnight operation (US$1,080 million at December 31, 2002), which earned interest at an annual effective rate of 0.98 percent (1.25 percent in 2002).</w:t>
      </w:r>
    </w:p>
    <w:p>
      <w:pPr>
        <w:spacing w:after="0" w:line="185" w:lineRule="exact"/>
        <w:rPr>
          <w:rFonts w:ascii="Arial" w:cs="Arial" w:eastAsia="Arial" w:hAnsi="Arial"/>
          <w:sz w:val="18"/>
          <w:szCs w:val="18"/>
          <w:color w:val="auto"/>
        </w:rPr>
      </w:pPr>
    </w:p>
    <w:p>
      <w:pPr>
        <w:ind w:firstLine="8"/>
        <w:spacing w:after="0" w:line="306" w:lineRule="auto"/>
        <w:tabs>
          <w:tab w:leader="none" w:pos="239" w:val="left"/>
        </w:tabs>
        <w:numPr>
          <w:ilvl w:val="0"/>
          <w:numId w:val="40"/>
        </w:numPr>
        <w:rPr>
          <w:rFonts w:ascii="Arial" w:cs="Arial" w:eastAsia="Arial" w:hAnsi="Arial"/>
          <w:sz w:val="16"/>
          <w:szCs w:val="16"/>
          <w:color w:val="auto"/>
        </w:rPr>
      </w:pPr>
      <w:r>
        <w:rPr>
          <w:rFonts w:ascii="Arial" w:cs="Arial" w:eastAsia="Arial" w:hAnsi="Arial"/>
          <w:sz w:val="16"/>
          <w:szCs w:val="16"/>
          <w:color w:val="auto"/>
        </w:rPr>
        <w:t>Likewise, as of December 31, 2003, cash and due from banks includes approximately US$301.8 million (US$485.5 million as of December 31, 2002), issued mainly from Banco de Credito of Peru, which represent the legal reserve that the Peruvian banks must maintain for its obligations with the public. These funds are deposited in the vaults of the Bank and in the BCRP, and are within the limits established by prevailing legislation.</w:t>
      </w:r>
    </w:p>
    <w:p>
      <w:pPr>
        <w:spacing w:after="0" w:line="161"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Reserve funds kept in BCRP do not earn interest, except for the part of the demandable reserve in foreign currency that exceeds the minimum legal reserve. As of December 31, 2003, the monthly excess amounts to approximately US$884.1 million and earns interest in US Dollars at an annual rate of 1.05 percent.</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80" w:type="dxa"/>
            <w:vAlign w:val="bottom"/>
          </w:tcPr>
          <w:p>
            <w:pPr>
              <w:spacing w:after="0"/>
              <w:rPr>
                <w:sz w:val="20"/>
                <w:szCs w:val="20"/>
                <w:color w:val="auto"/>
              </w:rPr>
            </w:pPr>
            <w:r>
              <w:rPr>
                <w:rFonts w:ascii="Arial" w:cs="Arial" w:eastAsia="Arial" w:hAnsi="Arial"/>
                <w:sz w:val="18"/>
                <w:szCs w:val="18"/>
                <w:b w:val="1"/>
                <w:bCs w:val="1"/>
                <w:color w:val="auto"/>
              </w:rPr>
              <w:t>5. Trading securities</w:t>
            </w: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7980" w:type="dxa"/>
            <w:vAlign w:val="bottom"/>
          </w:tcPr>
          <w:p>
            <w:pPr>
              <w:spacing w:after="0"/>
              <w:rPr>
                <w:sz w:val="20"/>
                <w:szCs w:val="20"/>
                <w:color w:val="auto"/>
              </w:rPr>
            </w:pPr>
            <w:r>
              <w:rPr>
                <w:rFonts w:ascii="Arial" w:cs="Arial" w:eastAsia="Arial" w:hAnsi="Arial"/>
                <w:sz w:val="18"/>
                <w:szCs w:val="18"/>
                <w:color w:val="auto"/>
              </w:rPr>
              <w:t>(a) This item is made up as follows:</w:t>
            </w: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980" w:type="dxa"/>
            <w:vAlign w:val="bottom"/>
          </w:tcPr>
          <w:p>
            <w:pPr>
              <w:spacing w:after="0"/>
              <w:rPr>
                <w:sz w:val="24"/>
                <w:szCs w:val="24"/>
                <w:color w:val="auto"/>
              </w:rPr>
            </w:pPr>
          </w:p>
        </w:tc>
        <w:tc>
          <w:tcPr>
            <w:tcW w:w="1700" w:type="dxa"/>
            <w:vAlign w:val="bottom"/>
          </w:tcPr>
          <w:p>
            <w:pPr>
              <w:jc w:val="right"/>
              <w:ind w:right="612"/>
              <w:spacing w:after="0"/>
              <w:rPr>
                <w:sz w:val="20"/>
                <w:szCs w:val="20"/>
                <w:color w:val="auto"/>
              </w:rPr>
            </w:pPr>
            <w:r>
              <w:rPr>
                <w:rFonts w:ascii="Arial" w:cs="Arial" w:eastAsia="Arial" w:hAnsi="Arial"/>
                <w:sz w:val="18"/>
                <w:szCs w:val="18"/>
                <w:b w:val="1"/>
                <w:bCs w:val="1"/>
                <w:color w:val="auto"/>
              </w:rPr>
              <w:t>2003</w:t>
            </w:r>
          </w:p>
        </w:tc>
        <w:tc>
          <w:tcPr>
            <w:tcW w:w="1720" w:type="dxa"/>
            <w:vAlign w:val="bottom"/>
            <w:gridSpan w:val="2"/>
          </w:tcPr>
          <w:p>
            <w:pPr>
              <w:jc w:val="right"/>
              <w:ind w:right="612"/>
              <w:spacing w:after="0"/>
              <w:rPr>
                <w:sz w:val="20"/>
                <w:szCs w:val="20"/>
                <w:color w:val="auto"/>
              </w:rPr>
            </w:pPr>
            <w:r>
              <w:rPr>
                <w:rFonts w:ascii="Arial" w:cs="Arial" w:eastAsia="Arial" w:hAnsi="Arial"/>
                <w:sz w:val="18"/>
                <w:szCs w:val="18"/>
                <w:b w:val="1"/>
                <w:bCs w:val="1"/>
                <w:color w:val="auto"/>
              </w:rPr>
              <w:t>2002</w:t>
            </w:r>
          </w:p>
        </w:tc>
        <w:tc>
          <w:tcPr>
            <w:tcW w:w="0" w:type="dxa"/>
            <w:vAlign w:val="bottom"/>
          </w:tcPr>
          <w:p>
            <w:pPr>
              <w:spacing w:after="0"/>
              <w:rPr>
                <w:sz w:val="1"/>
                <w:szCs w:val="1"/>
                <w:color w:val="auto"/>
              </w:rPr>
            </w:pPr>
          </w:p>
        </w:tc>
      </w:tr>
      <w:tr>
        <w:trPr>
          <w:trHeight w:val="243"/>
        </w:trPr>
        <w:tc>
          <w:tcPr>
            <w:tcW w:w="7980" w:type="dxa"/>
            <w:vAlign w:val="bottom"/>
          </w:tcPr>
          <w:p>
            <w:pPr>
              <w:spacing w:after="0"/>
              <w:rPr>
                <w:sz w:val="21"/>
                <w:szCs w:val="21"/>
                <w:color w:val="auto"/>
              </w:rPr>
            </w:pPr>
          </w:p>
        </w:tc>
        <w:tc>
          <w:tcPr>
            <w:tcW w:w="1700" w:type="dxa"/>
            <w:vAlign w:val="bottom"/>
          </w:tcPr>
          <w:p>
            <w:pPr>
              <w:jc w:val="right"/>
              <w:ind w:right="412"/>
              <w:spacing w:after="0"/>
              <w:rPr>
                <w:sz w:val="20"/>
                <w:szCs w:val="20"/>
                <w:color w:val="auto"/>
              </w:rPr>
            </w:pPr>
            <w:r>
              <w:rPr>
                <w:rFonts w:ascii="Arial" w:cs="Arial" w:eastAsia="Arial" w:hAnsi="Arial"/>
                <w:sz w:val="18"/>
                <w:szCs w:val="18"/>
                <w:color w:val="auto"/>
              </w:rPr>
              <w:t>US$(000)</w:t>
            </w:r>
          </w:p>
        </w:tc>
        <w:tc>
          <w:tcPr>
            <w:tcW w:w="20" w:type="dxa"/>
            <w:vAlign w:val="bottom"/>
          </w:tcPr>
          <w:p>
            <w:pPr>
              <w:spacing w:after="0"/>
              <w:rPr>
                <w:sz w:val="21"/>
                <w:szCs w:val="21"/>
                <w:color w:val="auto"/>
              </w:rPr>
            </w:pPr>
          </w:p>
        </w:tc>
        <w:tc>
          <w:tcPr>
            <w:tcW w:w="1700" w:type="dxa"/>
            <w:vAlign w:val="bottom"/>
          </w:tcPr>
          <w:p>
            <w:pPr>
              <w:jc w:val="right"/>
              <w:ind w:right="412"/>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b w:val="1"/>
                <w:bCs w:val="1"/>
                <w:color w:val="auto"/>
              </w:rPr>
              <w:t>Shares -</w:t>
            </w: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Listed equity securities</w:t>
            </w:r>
          </w:p>
        </w:tc>
        <w:tc>
          <w:tcPr>
            <w:tcW w:w="1700" w:type="dxa"/>
            <w:vAlign w:val="bottom"/>
          </w:tcPr>
          <w:p>
            <w:pPr>
              <w:jc w:val="right"/>
              <w:spacing w:after="0"/>
              <w:rPr>
                <w:sz w:val="20"/>
                <w:szCs w:val="20"/>
                <w:color w:val="auto"/>
              </w:rPr>
            </w:pPr>
            <w:r>
              <w:rPr>
                <w:rFonts w:ascii="Arial" w:cs="Arial" w:eastAsia="Arial" w:hAnsi="Arial"/>
                <w:sz w:val="18"/>
                <w:szCs w:val="18"/>
                <w:color w:val="auto"/>
              </w:rPr>
              <w:t>14,028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15,128</w:t>
            </w:r>
          </w:p>
        </w:tc>
        <w:tc>
          <w:tcPr>
            <w:tcW w:w="0" w:type="dxa"/>
            <w:vAlign w:val="bottom"/>
          </w:tcPr>
          <w:p>
            <w:pPr>
              <w:spacing w:after="0"/>
              <w:rPr>
                <w:sz w:val="1"/>
                <w:szCs w:val="1"/>
                <w:color w:val="auto"/>
              </w:rPr>
            </w:pPr>
          </w:p>
        </w:tc>
      </w:tr>
      <w:tr>
        <w:trPr>
          <w:trHeight w:val="137"/>
        </w:trPr>
        <w:tc>
          <w:tcPr>
            <w:tcW w:w="79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Bonds and similar instruments -</w:t>
            </w: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798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Peruvian Treasury Bonds (b)</w:t>
            </w:r>
          </w:p>
        </w:tc>
        <w:tc>
          <w:tcPr>
            <w:tcW w:w="1700" w:type="dxa"/>
            <w:vAlign w:val="bottom"/>
          </w:tcPr>
          <w:p>
            <w:pPr>
              <w:jc w:val="right"/>
              <w:spacing w:after="0"/>
              <w:rPr>
                <w:sz w:val="20"/>
                <w:szCs w:val="20"/>
                <w:color w:val="auto"/>
              </w:rPr>
            </w:pPr>
            <w:r>
              <w:rPr>
                <w:rFonts w:ascii="Arial" w:cs="Arial" w:eastAsia="Arial" w:hAnsi="Arial"/>
                <w:sz w:val="18"/>
                <w:szCs w:val="18"/>
                <w:color w:val="auto"/>
              </w:rPr>
              <w:t>28,196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96,109</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Investments in foreign financial institutions</w:t>
            </w:r>
          </w:p>
        </w:tc>
        <w:tc>
          <w:tcPr>
            <w:tcW w:w="1700" w:type="dxa"/>
            <w:vAlign w:val="bottom"/>
          </w:tcPr>
          <w:p>
            <w:pPr>
              <w:jc w:val="right"/>
              <w:spacing w:after="0"/>
              <w:rPr>
                <w:sz w:val="20"/>
                <w:szCs w:val="20"/>
                <w:color w:val="auto"/>
              </w:rPr>
            </w:pPr>
            <w:r>
              <w:rPr>
                <w:rFonts w:ascii="Arial" w:cs="Arial" w:eastAsia="Arial" w:hAnsi="Arial"/>
                <w:sz w:val="18"/>
                <w:szCs w:val="18"/>
                <w:color w:val="auto"/>
              </w:rPr>
              <w:t>21,166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63,576</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Mutual funds</w:t>
            </w:r>
          </w:p>
        </w:tc>
        <w:tc>
          <w:tcPr>
            <w:tcW w:w="1700" w:type="dxa"/>
            <w:vAlign w:val="bottom"/>
          </w:tcPr>
          <w:p>
            <w:pPr>
              <w:jc w:val="right"/>
              <w:spacing w:after="0"/>
              <w:rPr>
                <w:sz w:val="20"/>
                <w:szCs w:val="20"/>
                <w:color w:val="auto"/>
              </w:rPr>
            </w:pPr>
            <w:r>
              <w:rPr>
                <w:rFonts w:ascii="Arial" w:cs="Arial" w:eastAsia="Arial" w:hAnsi="Arial"/>
                <w:sz w:val="18"/>
                <w:szCs w:val="18"/>
                <w:color w:val="auto"/>
              </w:rPr>
              <w:t>20,529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36,314</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Bank certificates</w:t>
            </w:r>
          </w:p>
        </w:tc>
        <w:tc>
          <w:tcPr>
            <w:tcW w:w="1700" w:type="dxa"/>
            <w:vAlign w:val="bottom"/>
          </w:tcPr>
          <w:p>
            <w:pPr>
              <w:jc w:val="right"/>
              <w:spacing w:after="0"/>
              <w:rPr>
                <w:sz w:val="20"/>
                <w:szCs w:val="20"/>
                <w:color w:val="auto"/>
              </w:rPr>
            </w:pPr>
            <w:r>
              <w:rPr>
                <w:rFonts w:ascii="Arial" w:cs="Arial" w:eastAsia="Arial" w:hAnsi="Arial"/>
                <w:sz w:val="18"/>
                <w:szCs w:val="18"/>
                <w:color w:val="auto"/>
              </w:rPr>
              <w:t>13,755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13,004</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Corporate and leasing bonds (c)</w:t>
            </w:r>
          </w:p>
        </w:tc>
        <w:tc>
          <w:tcPr>
            <w:tcW w:w="1700" w:type="dxa"/>
            <w:vAlign w:val="bottom"/>
          </w:tcPr>
          <w:p>
            <w:pPr>
              <w:jc w:val="right"/>
              <w:spacing w:after="0"/>
              <w:rPr>
                <w:sz w:val="20"/>
                <w:szCs w:val="20"/>
                <w:color w:val="auto"/>
              </w:rPr>
            </w:pPr>
            <w:r>
              <w:rPr>
                <w:rFonts w:ascii="Arial" w:cs="Arial" w:eastAsia="Arial" w:hAnsi="Arial"/>
                <w:sz w:val="18"/>
                <w:szCs w:val="18"/>
                <w:color w:val="auto"/>
              </w:rPr>
              <w:t>476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62,596</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BCRP certificates of deposit (d)</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184,033</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Debt issued by Central Banks of other countries</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49,809</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Bonds from international financial institutions (e)</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42,082</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Other</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42,453</w:t>
            </w:r>
          </w:p>
        </w:tc>
        <w:tc>
          <w:tcPr>
            <w:tcW w:w="0" w:type="dxa"/>
            <w:vAlign w:val="bottom"/>
          </w:tcPr>
          <w:p>
            <w:pPr>
              <w:spacing w:after="0"/>
              <w:rPr>
                <w:sz w:val="1"/>
                <w:szCs w:val="1"/>
                <w:color w:val="auto"/>
              </w:rPr>
            </w:pPr>
          </w:p>
        </w:tc>
      </w:tr>
      <w:tr>
        <w:trPr>
          <w:trHeight w:val="137"/>
        </w:trPr>
        <w:tc>
          <w:tcPr>
            <w:tcW w:w="798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798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84,122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589,976</w:t>
            </w:r>
          </w:p>
        </w:tc>
        <w:tc>
          <w:tcPr>
            <w:tcW w:w="0" w:type="dxa"/>
            <w:vAlign w:val="bottom"/>
          </w:tcPr>
          <w:p>
            <w:pPr>
              <w:spacing w:after="0"/>
              <w:rPr>
                <w:sz w:val="1"/>
                <w:szCs w:val="1"/>
                <w:color w:val="auto"/>
              </w:rPr>
            </w:pPr>
          </w:p>
        </w:tc>
      </w:tr>
      <w:tr>
        <w:trPr>
          <w:trHeight w:val="137"/>
        </w:trPr>
        <w:tc>
          <w:tcPr>
            <w:tcW w:w="79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Total</w:t>
            </w: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7980" w:type="dxa"/>
            <w:vAlign w:val="bottom"/>
            <w:vMerge w:val="continue"/>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98,150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605,104</w:t>
            </w:r>
          </w:p>
        </w:tc>
        <w:tc>
          <w:tcPr>
            <w:tcW w:w="0" w:type="dxa"/>
            <w:vAlign w:val="bottom"/>
          </w:tcPr>
          <w:p>
            <w:pPr>
              <w:spacing w:after="0"/>
              <w:rPr>
                <w:sz w:val="1"/>
                <w:szCs w:val="1"/>
                <w:color w:val="auto"/>
              </w:rPr>
            </w:pPr>
          </w:p>
        </w:tc>
      </w:tr>
      <w:tr>
        <w:trPr>
          <w:trHeight w:val="137"/>
        </w:trPr>
        <w:tc>
          <w:tcPr>
            <w:tcW w:w="798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6123940</wp:posOffset>
            </wp:positionH>
            <wp:positionV relativeFrom="paragraph">
              <wp:posOffset>-2387600</wp:posOffset>
            </wp:positionV>
            <wp:extent cx="34290" cy="342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-2387600</wp:posOffset>
            </wp:positionV>
            <wp:extent cx="34290" cy="342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-672465</wp:posOffset>
            </wp:positionV>
            <wp:extent cx="34290" cy="342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-672465</wp:posOffset>
            </wp:positionV>
            <wp:extent cx="34290" cy="342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-346710</wp:posOffset>
            </wp:positionV>
            <wp:extent cx="34290" cy="342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-346710</wp:posOffset>
            </wp:positionV>
            <wp:extent cx="34290" cy="342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-20955</wp:posOffset>
            </wp:positionV>
            <wp:extent cx="34290" cy="342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3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reduction of the trading securities balance in relation to the previous year is explained by the Group's management decision to discontinue the trading activities mainly with BCRP certificates of deposit, in order to maintain a more stable position in this kind of investments which have a better yield, less risk and volatility. As result; after the liquidation of the balance maintained as of December 31, 2002 during the year 2003, the new purchases of those and other investments have been classified as available-for-sale, see note 6.</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59320" cy="342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152" w:name="page153"/>
    <w:bookmarkEnd w:id="152"/>
    <w:p>
      <w:pPr>
        <w:ind w:left="-8" w:right="60" w:firstLine="8"/>
        <w:spacing w:after="0" w:line="259" w:lineRule="auto"/>
        <w:tabs>
          <w:tab w:leader="none" w:pos="241"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Peruvian Treasury bonds are issued in Peruvian Currency by the Economic and Financial Ministry, have an active market quotation in the Peruvian market and are traded daily with third parties. In 2003, these bonds accrued interest at annual rates that ranged between 5.89 and 12.85 percent (between 6.53 and 10.37 percent in 2002), and have maturities between June 2004 and January 2005.</w:t>
      </w:r>
    </w:p>
    <w:p>
      <w:pPr>
        <w:spacing w:after="0" w:line="194" w:lineRule="exact"/>
        <w:rPr>
          <w:rFonts w:ascii="Arial" w:cs="Arial" w:eastAsia="Arial" w:hAnsi="Arial"/>
          <w:sz w:val="18"/>
          <w:szCs w:val="18"/>
          <w:color w:val="auto"/>
        </w:rPr>
      </w:pPr>
    </w:p>
    <w:p>
      <w:pPr>
        <w:jc w:val="both"/>
        <w:ind w:left="-8" w:firstLine="8"/>
        <w:spacing w:after="0" w:line="259" w:lineRule="auto"/>
        <w:tabs>
          <w:tab w:leader="none" w:pos="231"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 of December 31, 2002, comprise corporate and leasing bonds for US$55.1 and US$7.4 million with maturities between 2003 and 2011. These bonds accrue interests at annual effective rates that range between 3.46 and 13.56 percent for the bonds denominated in Peruvian currency, and between 4.37 and 13.63 percent for the bonds denominated in US dollars.</w:t>
      </w:r>
    </w:p>
    <w:p>
      <w:pPr>
        <w:spacing w:after="0" w:line="194" w:lineRule="exact"/>
        <w:rPr>
          <w:rFonts w:ascii="Arial" w:cs="Arial" w:eastAsia="Arial" w:hAnsi="Arial"/>
          <w:sz w:val="18"/>
          <w:szCs w:val="18"/>
          <w:color w:val="auto"/>
        </w:rPr>
      </w:pPr>
    </w:p>
    <w:p>
      <w:pPr>
        <w:ind w:left="-8" w:right="440" w:firstLine="8"/>
        <w:spacing w:after="0" w:line="268" w:lineRule="auto"/>
        <w:tabs>
          <w:tab w:leader="none" w:pos="241" w:val="left"/>
        </w:tabs>
        <w:numPr>
          <w:ilvl w:val="0"/>
          <w:numId w:val="41"/>
        </w:numPr>
        <w:rPr>
          <w:rFonts w:ascii="Arial" w:cs="Arial" w:eastAsia="Arial" w:hAnsi="Arial"/>
          <w:sz w:val="18"/>
          <w:szCs w:val="18"/>
          <w:color w:val="auto"/>
        </w:rPr>
      </w:pPr>
      <w:r>
        <w:rPr>
          <w:rFonts w:ascii="Arial" w:cs="Arial" w:eastAsia="Arial" w:hAnsi="Arial"/>
          <w:sz w:val="18"/>
          <w:szCs w:val="18"/>
          <w:color w:val="auto"/>
        </w:rPr>
        <w:t>BCRP certificates of deposit are instruments in Peruvian currency with maturities due within one year. Annual interest rates in Peruvian currency ranged between 3.54 and 6.21 percent in 2002.</w:t>
      </w:r>
    </w:p>
    <w:p>
      <w:pPr>
        <w:spacing w:after="0" w:line="185" w:lineRule="exact"/>
        <w:rPr>
          <w:rFonts w:ascii="Arial" w:cs="Arial" w:eastAsia="Arial" w:hAnsi="Arial"/>
          <w:sz w:val="18"/>
          <w:szCs w:val="18"/>
          <w:color w:val="auto"/>
        </w:rPr>
      </w:pPr>
    </w:p>
    <w:p>
      <w:pPr>
        <w:ind w:left="-8" w:right="280" w:firstLine="8"/>
        <w:spacing w:after="0" w:line="268" w:lineRule="auto"/>
        <w:tabs>
          <w:tab w:leader="none" w:pos="231"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Comprise debt securities issued by Corporación Andina de Fomento – CAF which were acquired by the Group with maturities between February 2003 and March 2004. Annual interests rates ranged between 6.75 and 8.87 percent in 2002.</w:t>
      </w:r>
    </w:p>
    <w:p>
      <w:pPr>
        <w:spacing w:after="0" w:line="200" w:lineRule="exact"/>
        <w:rPr>
          <w:sz w:val="20"/>
          <w:szCs w:val="20"/>
          <w:color w:val="auto"/>
        </w:rPr>
      </w:pPr>
    </w:p>
    <w:p>
      <w:pPr>
        <w:spacing w:after="0" w:line="22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259320" cy="342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ectPr>
          <w:pgSz w:w="11900" w:h="16838" w:orient="portrait"/>
          <w:cols w:equalWidth="0" w:num="1">
            <w:col w:w="11412"/>
          </w:cols>
          <w:pgMar w:left="248" w:top="347" w:right="2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color w:val="auto"/>
        </w:rPr>
        <w:t>6. Investments available-for-sale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 This item is made up as follows: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74"/>
        </w:trPr>
        <w:tc>
          <w:tcPr>
            <w:tcW w:w="28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0" w:type="dxa"/>
            <w:vAlign w:val="bottom"/>
            <w:gridSpan w:val="3"/>
          </w:tcPr>
          <w:p>
            <w:pPr>
              <w:jc w:val="right"/>
              <w:ind w:right="1112"/>
              <w:spacing w:after="0"/>
              <w:rPr>
                <w:sz w:val="20"/>
                <w:szCs w:val="20"/>
                <w:color w:val="auto"/>
              </w:rPr>
            </w:pPr>
            <w:r>
              <w:rPr>
                <w:rFonts w:ascii="Arial" w:cs="Arial" w:eastAsia="Arial" w:hAnsi="Arial"/>
                <w:sz w:val="14"/>
                <w:szCs w:val="14"/>
                <w:b w:val="1"/>
                <w:bCs w:val="1"/>
                <w:color w:val="auto"/>
              </w:rPr>
              <w:t>2003</w:t>
            </w: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2002</w:t>
            </w:r>
          </w:p>
        </w:tc>
        <w:tc>
          <w:tcPr>
            <w:tcW w:w="0" w:type="dxa"/>
            <w:vAlign w:val="bottom"/>
          </w:tcPr>
          <w:p>
            <w:pPr>
              <w:spacing w:after="0"/>
              <w:rPr>
                <w:sz w:val="1"/>
                <w:szCs w:val="1"/>
                <w:color w:val="auto"/>
              </w:rPr>
            </w:pPr>
          </w:p>
        </w:tc>
      </w:tr>
      <w:tr>
        <w:trPr>
          <w:trHeight w:val="122"/>
        </w:trPr>
        <w:tc>
          <w:tcPr>
            <w:tcW w:w="2820" w:type="dxa"/>
            <w:vAlign w:val="bottom"/>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820" w:type="dxa"/>
            <w:vAlign w:val="bottom"/>
          </w:tcPr>
          <w:p>
            <w:pPr>
              <w:spacing w:after="0"/>
              <w:rPr>
                <w:sz w:val="22"/>
                <w:szCs w:val="22"/>
                <w:color w:val="auto"/>
              </w:rPr>
            </w:pPr>
          </w:p>
        </w:tc>
        <w:tc>
          <w:tcPr>
            <w:tcW w:w="16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Amortized</w:t>
            </w:r>
          </w:p>
        </w:tc>
        <w:tc>
          <w:tcPr>
            <w:tcW w:w="1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80" w:type="dxa"/>
            <w:vAlign w:val="bottom"/>
          </w:tcPr>
          <w:p>
            <w:pPr>
              <w:jc w:val="right"/>
              <w:ind w:right="452"/>
              <w:spacing w:after="0"/>
              <w:rPr>
                <w:sz w:val="20"/>
                <w:szCs w:val="20"/>
                <w:color w:val="auto"/>
              </w:rPr>
            </w:pPr>
            <w:r>
              <w:rPr>
                <w:rFonts w:ascii="Arial" w:cs="Arial" w:eastAsia="Arial" w:hAnsi="Arial"/>
                <w:sz w:val="14"/>
                <w:szCs w:val="14"/>
                <w:b w:val="1"/>
                <w:bCs w:val="1"/>
                <w:color w:val="auto"/>
              </w:rPr>
              <w:t>Estimated</w:t>
            </w:r>
          </w:p>
        </w:tc>
        <w:tc>
          <w:tcPr>
            <w:tcW w:w="20" w:type="dxa"/>
            <w:vAlign w:val="bottom"/>
          </w:tcPr>
          <w:p>
            <w:pPr>
              <w:spacing w:after="0"/>
              <w:rPr>
                <w:sz w:val="22"/>
                <w:szCs w:val="22"/>
                <w:color w:val="auto"/>
              </w:rPr>
            </w:pPr>
          </w:p>
        </w:tc>
        <w:tc>
          <w:tcPr>
            <w:tcW w:w="1680" w:type="dxa"/>
            <w:vAlign w:val="bottom"/>
          </w:tcPr>
          <w:p>
            <w:pPr>
              <w:jc w:val="right"/>
              <w:ind w:right="492"/>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4"/>
        </w:trPr>
        <w:tc>
          <w:tcPr>
            <w:tcW w:w="2820" w:type="dxa"/>
            <w:vAlign w:val="bottom"/>
          </w:tcPr>
          <w:p>
            <w:pPr>
              <w:spacing w:after="0"/>
              <w:rPr>
                <w:sz w:val="15"/>
                <w:szCs w:val="15"/>
                <w:color w:val="auto"/>
              </w:rPr>
            </w:pPr>
          </w:p>
        </w:tc>
        <w:tc>
          <w:tcPr>
            <w:tcW w:w="16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3"/>
              </w:rPr>
              <w:t>cost</w:t>
            </w:r>
          </w:p>
        </w:tc>
        <w:tc>
          <w:tcPr>
            <w:tcW w:w="304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Unrealized gross amount</w:t>
            </w: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tcPr>
          <w:p>
            <w:pPr>
              <w:jc w:val="right"/>
              <w:ind w:right="452"/>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1"/>
              </w:rPr>
              <w:t>fair value</w:t>
            </w:r>
          </w:p>
        </w:tc>
        <w:tc>
          <w:tcPr>
            <w:tcW w:w="0" w:type="dxa"/>
            <w:vAlign w:val="bottom"/>
          </w:tcPr>
          <w:p>
            <w:pPr>
              <w:spacing w:after="0"/>
              <w:rPr>
                <w:sz w:val="1"/>
                <w:szCs w:val="1"/>
                <w:color w:val="auto"/>
              </w:rPr>
            </w:pPr>
          </w:p>
        </w:tc>
      </w:tr>
      <w:tr>
        <w:trPr>
          <w:trHeight w:val="122"/>
        </w:trPr>
        <w:tc>
          <w:tcPr>
            <w:tcW w:w="28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0"/>
        </w:trPr>
        <w:tc>
          <w:tcPr>
            <w:tcW w:w="28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jc w:val="center"/>
              <w:ind w:left="432"/>
              <w:spacing w:after="0"/>
              <w:rPr>
                <w:sz w:val="20"/>
                <w:szCs w:val="20"/>
                <w:color w:val="auto"/>
              </w:rPr>
            </w:pPr>
            <w:r>
              <w:rPr>
                <w:rFonts w:ascii="Arial" w:cs="Arial" w:eastAsia="Arial" w:hAnsi="Arial"/>
                <w:sz w:val="14"/>
                <w:szCs w:val="14"/>
                <w:b w:val="1"/>
                <w:bCs w:val="1"/>
                <w:color w:val="auto"/>
                <w:w w:val="96"/>
              </w:rPr>
              <w:t>Gain</w:t>
            </w: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jc w:val="center"/>
              <w:ind w:left="452"/>
              <w:spacing w:after="0"/>
              <w:rPr>
                <w:sz w:val="20"/>
                <w:szCs w:val="20"/>
                <w:color w:val="auto"/>
              </w:rPr>
            </w:pPr>
            <w:r>
              <w:rPr>
                <w:rFonts w:ascii="Arial" w:cs="Arial" w:eastAsia="Arial" w:hAnsi="Arial"/>
                <w:sz w:val="14"/>
                <w:szCs w:val="14"/>
                <w:b w:val="1"/>
                <w:bCs w:val="1"/>
                <w:color w:val="auto"/>
                <w:w w:val="78"/>
              </w:rPr>
              <w:t>Losses</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820" w:type="dxa"/>
            <w:vAlign w:val="bottom"/>
          </w:tcPr>
          <w:p>
            <w:pPr>
              <w:spacing w:after="0"/>
              <w:rPr>
                <w:sz w:val="15"/>
                <w:szCs w:val="15"/>
                <w:color w:val="auto"/>
              </w:rPr>
            </w:pPr>
          </w:p>
        </w:tc>
        <w:tc>
          <w:tcPr>
            <w:tcW w:w="1680" w:type="dxa"/>
            <w:vAlign w:val="bottom"/>
            <w:gridSpan w:val="2"/>
          </w:tcPr>
          <w:p>
            <w:pPr>
              <w:jc w:val="center"/>
              <w:ind w:right="40"/>
              <w:spacing w:after="0"/>
              <w:rPr>
                <w:sz w:val="20"/>
                <w:szCs w:val="20"/>
                <w:color w:val="auto"/>
              </w:rPr>
            </w:pPr>
            <w:r>
              <w:rPr>
                <w:rFonts w:ascii="Arial" w:cs="Arial" w:eastAsia="Arial" w:hAnsi="Arial"/>
                <w:sz w:val="14"/>
                <w:szCs w:val="14"/>
                <w:color w:val="auto"/>
                <w:w w:val="86"/>
              </w:rPr>
              <w:t>US$(000)</w:t>
            </w:r>
          </w:p>
        </w:tc>
        <w:tc>
          <w:tcPr>
            <w:tcW w:w="1240" w:type="dxa"/>
            <w:vAlign w:val="bottom"/>
          </w:tcPr>
          <w:p>
            <w:pPr>
              <w:jc w:val="center"/>
              <w:ind w:left="432"/>
              <w:spacing w:after="0"/>
              <w:rPr>
                <w:sz w:val="20"/>
                <w:szCs w:val="20"/>
                <w:color w:val="auto"/>
              </w:rPr>
            </w:pPr>
            <w:r>
              <w:rPr>
                <w:rFonts w:ascii="Arial" w:cs="Arial" w:eastAsia="Arial" w:hAnsi="Arial"/>
                <w:sz w:val="14"/>
                <w:szCs w:val="14"/>
                <w:color w:val="auto"/>
                <w:w w:val="90"/>
              </w:rPr>
              <w:t>US$(000)</w:t>
            </w: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jc w:val="center"/>
              <w:ind w:left="452"/>
              <w:spacing w:after="0"/>
              <w:rPr>
                <w:sz w:val="20"/>
                <w:szCs w:val="20"/>
                <w:color w:val="auto"/>
              </w:rPr>
            </w:pPr>
            <w:r>
              <w:rPr>
                <w:rFonts w:ascii="Arial" w:cs="Arial" w:eastAsia="Arial" w:hAnsi="Arial"/>
                <w:sz w:val="14"/>
                <w:szCs w:val="14"/>
                <w:color w:val="auto"/>
                <w:w w:val="90"/>
              </w:rPr>
              <w:t>US$(000)</w:t>
            </w: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tcPr>
          <w:p>
            <w:pPr>
              <w:jc w:val="right"/>
              <w:ind w:right="452"/>
              <w:spacing w:after="0"/>
              <w:rPr>
                <w:sz w:val="20"/>
                <w:szCs w:val="20"/>
                <w:color w:val="auto"/>
              </w:rPr>
            </w:pPr>
            <w:r>
              <w:rPr>
                <w:rFonts w:ascii="Arial" w:cs="Arial" w:eastAsia="Arial" w:hAnsi="Arial"/>
                <w:sz w:val="14"/>
                <w:szCs w:val="14"/>
                <w:color w:val="auto"/>
              </w:rPr>
              <w:t>US$(000)</w:t>
            </w:r>
          </w:p>
        </w:tc>
        <w:tc>
          <w:tcPr>
            <w:tcW w:w="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w w:val="90"/>
              </w:rPr>
              <w:t>US$(000)</w:t>
            </w:r>
          </w:p>
        </w:tc>
        <w:tc>
          <w:tcPr>
            <w:tcW w:w="0" w:type="dxa"/>
            <w:vAlign w:val="bottom"/>
          </w:tcPr>
          <w:p>
            <w:pPr>
              <w:spacing w:after="0"/>
              <w:rPr>
                <w:sz w:val="1"/>
                <w:szCs w:val="1"/>
                <w:color w:val="auto"/>
              </w:rPr>
            </w:pPr>
          </w:p>
        </w:tc>
      </w:tr>
      <w:tr>
        <w:trPr>
          <w:trHeight w:val="351"/>
        </w:trPr>
        <w:tc>
          <w:tcPr>
            <w:tcW w:w="2820" w:type="dxa"/>
            <w:vAlign w:val="bottom"/>
          </w:tcPr>
          <w:p>
            <w:pPr>
              <w:spacing w:after="0"/>
              <w:rPr>
                <w:sz w:val="20"/>
                <w:szCs w:val="20"/>
                <w:color w:val="auto"/>
              </w:rPr>
            </w:pPr>
            <w:r>
              <w:rPr>
                <w:rFonts w:ascii="Arial" w:cs="Arial" w:eastAsia="Arial" w:hAnsi="Arial"/>
                <w:sz w:val="14"/>
                <w:szCs w:val="14"/>
                <w:b w:val="1"/>
                <w:bCs w:val="1"/>
                <w:color w:val="auto"/>
              </w:rPr>
              <w:t>Fixed maturity -</w:t>
            </w: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820" w:type="dxa"/>
            <w:vAlign w:val="bottom"/>
          </w:tcPr>
          <w:p>
            <w:pPr>
              <w:spacing w:after="0"/>
              <w:rPr>
                <w:sz w:val="20"/>
                <w:szCs w:val="20"/>
                <w:color w:val="auto"/>
              </w:rPr>
            </w:pPr>
            <w:r>
              <w:rPr>
                <w:rFonts w:ascii="Arial" w:cs="Arial" w:eastAsia="Arial" w:hAnsi="Arial"/>
                <w:sz w:val="14"/>
                <w:szCs w:val="14"/>
                <w:color w:val="auto"/>
                <w:w w:val="96"/>
              </w:rPr>
              <w:t>Corporate, leasing and subordinated bonds (c)</w:t>
            </w:r>
          </w:p>
        </w:tc>
        <w:tc>
          <w:tcPr>
            <w:tcW w:w="1640" w:type="dxa"/>
            <w:vAlign w:val="bottom"/>
          </w:tcPr>
          <w:p>
            <w:pPr>
              <w:jc w:val="right"/>
              <w:spacing w:after="0"/>
              <w:rPr>
                <w:sz w:val="20"/>
                <w:szCs w:val="20"/>
                <w:color w:val="auto"/>
              </w:rPr>
            </w:pPr>
            <w:r>
              <w:rPr>
                <w:rFonts w:ascii="Arial" w:cs="Arial" w:eastAsia="Arial" w:hAnsi="Arial"/>
                <w:sz w:val="14"/>
                <w:szCs w:val="14"/>
                <w:color w:val="auto"/>
              </w:rPr>
              <w:t>557,146</w:t>
            </w:r>
          </w:p>
        </w:tc>
        <w:tc>
          <w:tcPr>
            <w:tcW w:w="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10,514</w:t>
            </w: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(1,076)</w:t>
            </w:r>
          </w:p>
        </w:tc>
        <w:tc>
          <w:tcPr>
            <w:tcW w:w="1580" w:type="dxa"/>
            <w:vAlign w:val="bottom"/>
          </w:tcPr>
          <w:p>
            <w:pPr>
              <w:jc w:val="right"/>
              <w:spacing w:after="0"/>
              <w:rPr>
                <w:sz w:val="20"/>
                <w:szCs w:val="20"/>
                <w:color w:val="auto"/>
              </w:rPr>
            </w:pPr>
            <w:r>
              <w:rPr>
                <w:rFonts w:ascii="Arial" w:cs="Arial" w:eastAsia="Arial" w:hAnsi="Arial"/>
                <w:sz w:val="14"/>
                <w:szCs w:val="14"/>
                <w:color w:val="auto"/>
              </w:rPr>
              <w:t>566,584</w:t>
            </w: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304,771</w:t>
            </w:r>
          </w:p>
        </w:tc>
        <w:tc>
          <w:tcPr>
            <w:tcW w:w="0" w:type="dxa"/>
            <w:vAlign w:val="bottom"/>
          </w:tcPr>
          <w:p>
            <w:pPr>
              <w:spacing w:after="0"/>
              <w:rPr>
                <w:sz w:val="1"/>
                <w:szCs w:val="1"/>
                <w:color w:val="auto"/>
              </w:rPr>
            </w:pPr>
          </w:p>
        </w:tc>
      </w:tr>
      <w:tr>
        <w:trPr>
          <w:trHeight w:val="176"/>
        </w:trPr>
        <w:tc>
          <w:tcPr>
            <w:tcW w:w="2820" w:type="dxa"/>
            <w:vAlign w:val="bottom"/>
          </w:tcPr>
          <w:p>
            <w:pPr>
              <w:spacing w:after="0"/>
              <w:rPr>
                <w:sz w:val="20"/>
                <w:szCs w:val="20"/>
                <w:color w:val="auto"/>
              </w:rPr>
            </w:pPr>
            <w:r>
              <w:rPr>
                <w:rFonts w:ascii="Arial" w:cs="Arial" w:eastAsia="Arial" w:hAnsi="Arial"/>
                <w:sz w:val="14"/>
                <w:szCs w:val="14"/>
                <w:color w:val="auto"/>
              </w:rPr>
              <w:t>BCRP certificates of deposit (d)</w:t>
            </w:r>
          </w:p>
        </w:tc>
        <w:tc>
          <w:tcPr>
            <w:tcW w:w="1640" w:type="dxa"/>
            <w:vAlign w:val="bottom"/>
          </w:tcPr>
          <w:p>
            <w:pPr>
              <w:jc w:val="right"/>
              <w:spacing w:after="0"/>
              <w:rPr>
                <w:sz w:val="20"/>
                <w:szCs w:val="20"/>
                <w:color w:val="auto"/>
              </w:rPr>
            </w:pPr>
            <w:r>
              <w:rPr>
                <w:rFonts w:ascii="Arial" w:cs="Arial" w:eastAsia="Arial" w:hAnsi="Arial"/>
                <w:sz w:val="14"/>
                <w:szCs w:val="14"/>
                <w:color w:val="auto"/>
              </w:rPr>
              <w:t>375,403</w:t>
            </w:r>
          </w:p>
        </w:tc>
        <w:tc>
          <w:tcPr>
            <w:tcW w:w="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395</w:t>
            </w: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(85)</w:t>
            </w:r>
          </w:p>
        </w:tc>
        <w:tc>
          <w:tcPr>
            <w:tcW w:w="1580" w:type="dxa"/>
            <w:vAlign w:val="bottom"/>
          </w:tcPr>
          <w:p>
            <w:pPr>
              <w:jc w:val="right"/>
              <w:spacing w:after="0"/>
              <w:rPr>
                <w:sz w:val="20"/>
                <w:szCs w:val="20"/>
                <w:color w:val="auto"/>
              </w:rPr>
            </w:pPr>
            <w:r>
              <w:rPr>
                <w:rFonts w:ascii="Arial" w:cs="Arial" w:eastAsia="Arial" w:hAnsi="Arial"/>
                <w:sz w:val="14"/>
                <w:szCs w:val="14"/>
                <w:color w:val="auto"/>
              </w:rPr>
              <w:t>375,713</w:t>
            </w: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820" w:type="dxa"/>
            <w:vAlign w:val="bottom"/>
          </w:tcPr>
          <w:p>
            <w:pPr>
              <w:spacing w:after="0"/>
              <w:rPr>
                <w:sz w:val="20"/>
                <w:szCs w:val="20"/>
                <w:color w:val="auto"/>
              </w:rPr>
            </w:pPr>
            <w:r>
              <w:rPr>
                <w:rFonts w:ascii="Arial" w:cs="Arial" w:eastAsia="Arial" w:hAnsi="Arial"/>
                <w:sz w:val="14"/>
                <w:szCs w:val="14"/>
                <w:color w:val="auto"/>
              </w:rPr>
              <w:t>Government Treasury Bonds (e)</w:t>
            </w:r>
          </w:p>
        </w:tc>
        <w:tc>
          <w:tcPr>
            <w:tcW w:w="1640" w:type="dxa"/>
            <w:vAlign w:val="bottom"/>
          </w:tcPr>
          <w:p>
            <w:pPr>
              <w:jc w:val="right"/>
              <w:spacing w:after="0"/>
              <w:rPr>
                <w:sz w:val="20"/>
                <w:szCs w:val="20"/>
                <w:color w:val="auto"/>
              </w:rPr>
            </w:pPr>
            <w:r>
              <w:rPr>
                <w:rFonts w:ascii="Arial" w:cs="Arial" w:eastAsia="Arial" w:hAnsi="Arial"/>
                <w:sz w:val="14"/>
                <w:szCs w:val="14"/>
                <w:color w:val="auto"/>
              </w:rPr>
              <w:t>316,076</w:t>
            </w:r>
          </w:p>
        </w:tc>
        <w:tc>
          <w:tcPr>
            <w:tcW w:w="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877</w:t>
            </w: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(965)</w:t>
            </w:r>
          </w:p>
        </w:tc>
        <w:tc>
          <w:tcPr>
            <w:tcW w:w="1580" w:type="dxa"/>
            <w:vAlign w:val="bottom"/>
          </w:tcPr>
          <w:p>
            <w:pPr>
              <w:jc w:val="right"/>
              <w:spacing w:after="0"/>
              <w:rPr>
                <w:sz w:val="20"/>
                <w:szCs w:val="20"/>
                <w:color w:val="auto"/>
              </w:rPr>
            </w:pPr>
            <w:r>
              <w:rPr>
                <w:rFonts w:ascii="Arial" w:cs="Arial" w:eastAsia="Arial" w:hAnsi="Arial"/>
                <w:sz w:val="14"/>
                <w:szCs w:val="14"/>
                <w:color w:val="auto"/>
              </w:rPr>
              <w:t>315,988</w:t>
            </w: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89,568</w:t>
            </w:r>
          </w:p>
        </w:tc>
        <w:tc>
          <w:tcPr>
            <w:tcW w:w="0" w:type="dxa"/>
            <w:vAlign w:val="bottom"/>
          </w:tcPr>
          <w:p>
            <w:pPr>
              <w:spacing w:after="0"/>
              <w:rPr>
                <w:sz w:val="1"/>
                <w:szCs w:val="1"/>
                <w:color w:val="auto"/>
              </w:rPr>
            </w:pPr>
          </w:p>
        </w:tc>
      </w:tr>
      <w:tr>
        <w:trPr>
          <w:trHeight w:val="176"/>
        </w:trPr>
        <w:tc>
          <w:tcPr>
            <w:tcW w:w="2820" w:type="dxa"/>
            <w:vAlign w:val="bottom"/>
          </w:tcPr>
          <w:p>
            <w:pPr>
              <w:spacing w:after="0"/>
              <w:rPr>
                <w:sz w:val="20"/>
                <w:szCs w:val="20"/>
                <w:color w:val="auto"/>
              </w:rPr>
            </w:pPr>
            <w:r>
              <w:rPr>
                <w:rFonts w:ascii="Arial" w:cs="Arial" w:eastAsia="Arial" w:hAnsi="Arial"/>
                <w:sz w:val="14"/>
                <w:szCs w:val="14"/>
                <w:color w:val="auto"/>
                <w:w w:val="95"/>
              </w:rPr>
              <w:t>Bonds from international financial institutions (f)</w:t>
            </w:r>
          </w:p>
        </w:tc>
        <w:tc>
          <w:tcPr>
            <w:tcW w:w="1640" w:type="dxa"/>
            <w:vAlign w:val="bottom"/>
          </w:tcPr>
          <w:p>
            <w:pPr>
              <w:jc w:val="right"/>
              <w:spacing w:after="0"/>
              <w:rPr>
                <w:sz w:val="20"/>
                <w:szCs w:val="20"/>
                <w:color w:val="auto"/>
              </w:rPr>
            </w:pPr>
            <w:r>
              <w:rPr>
                <w:rFonts w:ascii="Arial" w:cs="Arial" w:eastAsia="Arial" w:hAnsi="Arial"/>
                <w:sz w:val="14"/>
                <w:szCs w:val="14"/>
                <w:color w:val="auto"/>
              </w:rPr>
              <w:t>86,410</w:t>
            </w:r>
          </w:p>
        </w:tc>
        <w:tc>
          <w:tcPr>
            <w:tcW w:w="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112</w:t>
            </w: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(1,663)</w:t>
            </w:r>
          </w:p>
        </w:tc>
        <w:tc>
          <w:tcPr>
            <w:tcW w:w="1580" w:type="dxa"/>
            <w:vAlign w:val="bottom"/>
          </w:tcPr>
          <w:p>
            <w:pPr>
              <w:jc w:val="right"/>
              <w:spacing w:after="0"/>
              <w:rPr>
                <w:sz w:val="20"/>
                <w:szCs w:val="20"/>
                <w:color w:val="auto"/>
              </w:rPr>
            </w:pPr>
            <w:r>
              <w:rPr>
                <w:rFonts w:ascii="Arial" w:cs="Arial" w:eastAsia="Arial" w:hAnsi="Arial"/>
                <w:sz w:val="14"/>
                <w:szCs w:val="14"/>
                <w:color w:val="auto"/>
              </w:rPr>
              <w:t>84,859</w:t>
            </w: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820" w:type="dxa"/>
            <w:vAlign w:val="bottom"/>
          </w:tcPr>
          <w:p>
            <w:pPr>
              <w:spacing w:after="0"/>
              <w:rPr>
                <w:sz w:val="20"/>
                <w:szCs w:val="20"/>
                <w:color w:val="auto"/>
              </w:rPr>
            </w:pPr>
            <w:r>
              <w:rPr>
                <w:rFonts w:ascii="Arial" w:cs="Arial" w:eastAsia="Arial" w:hAnsi="Arial"/>
                <w:sz w:val="14"/>
                <w:szCs w:val="14"/>
                <w:color w:val="auto"/>
              </w:rPr>
              <w:t>Mutual funds</w:t>
            </w:r>
          </w:p>
        </w:tc>
        <w:tc>
          <w:tcPr>
            <w:tcW w:w="1640" w:type="dxa"/>
            <w:vAlign w:val="bottom"/>
          </w:tcPr>
          <w:p>
            <w:pPr>
              <w:jc w:val="right"/>
              <w:spacing w:after="0"/>
              <w:rPr>
                <w:sz w:val="20"/>
                <w:szCs w:val="20"/>
                <w:color w:val="auto"/>
              </w:rPr>
            </w:pPr>
            <w:r>
              <w:rPr>
                <w:rFonts w:ascii="Arial" w:cs="Arial" w:eastAsia="Arial" w:hAnsi="Arial"/>
                <w:sz w:val="14"/>
                <w:szCs w:val="14"/>
                <w:color w:val="auto"/>
              </w:rPr>
              <w:t>60,707</w:t>
            </w:r>
          </w:p>
        </w:tc>
        <w:tc>
          <w:tcPr>
            <w:tcW w:w="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2,220</w:t>
            </w: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62,927</w:t>
            </w: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22,338</w:t>
            </w:r>
          </w:p>
        </w:tc>
        <w:tc>
          <w:tcPr>
            <w:tcW w:w="0" w:type="dxa"/>
            <w:vAlign w:val="bottom"/>
          </w:tcPr>
          <w:p>
            <w:pPr>
              <w:spacing w:after="0"/>
              <w:rPr>
                <w:sz w:val="1"/>
                <w:szCs w:val="1"/>
                <w:color w:val="auto"/>
              </w:rPr>
            </w:pPr>
          </w:p>
        </w:tc>
      </w:tr>
      <w:tr>
        <w:trPr>
          <w:trHeight w:val="176"/>
        </w:trPr>
        <w:tc>
          <w:tcPr>
            <w:tcW w:w="2820" w:type="dxa"/>
            <w:vAlign w:val="bottom"/>
          </w:tcPr>
          <w:p>
            <w:pPr>
              <w:spacing w:after="0"/>
              <w:rPr>
                <w:sz w:val="20"/>
                <w:szCs w:val="20"/>
                <w:color w:val="auto"/>
              </w:rPr>
            </w:pPr>
            <w:r>
              <w:rPr>
                <w:rFonts w:ascii="Arial" w:cs="Arial" w:eastAsia="Arial" w:hAnsi="Arial"/>
                <w:sz w:val="14"/>
                <w:szCs w:val="14"/>
                <w:color w:val="auto"/>
              </w:rPr>
              <w:t>Commercial papers</w:t>
            </w:r>
          </w:p>
        </w:tc>
        <w:tc>
          <w:tcPr>
            <w:tcW w:w="1640" w:type="dxa"/>
            <w:vAlign w:val="bottom"/>
          </w:tcPr>
          <w:p>
            <w:pPr>
              <w:jc w:val="right"/>
              <w:spacing w:after="0"/>
              <w:rPr>
                <w:sz w:val="20"/>
                <w:szCs w:val="20"/>
                <w:color w:val="auto"/>
              </w:rPr>
            </w:pPr>
            <w:r>
              <w:rPr>
                <w:rFonts w:ascii="Arial" w:cs="Arial" w:eastAsia="Arial" w:hAnsi="Arial"/>
                <w:sz w:val="14"/>
                <w:szCs w:val="14"/>
                <w:color w:val="auto"/>
              </w:rPr>
              <w:t>53,208</w:t>
            </w:r>
          </w:p>
        </w:tc>
        <w:tc>
          <w:tcPr>
            <w:tcW w:w="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53,208</w:t>
            </w: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16,264</w:t>
            </w:r>
          </w:p>
        </w:tc>
        <w:tc>
          <w:tcPr>
            <w:tcW w:w="0" w:type="dxa"/>
            <w:vAlign w:val="bottom"/>
          </w:tcPr>
          <w:p>
            <w:pPr>
              <w:spacing w:after="0"/>
              <w:rPr>
                <w:sz w:val="1"/>
                <w:szCs w:val="1"/>
                <w:color w:val="auto"/>
              </w:rPr>
            </w:pPr>
          </w:p>
        </w:tc>
      </w:tr>
      <w:tr>
        <w:trPr>
          <w:trHeight w:val="176"/>
        </w:trPr>
        <w:tc>
          <w:tcPr>
            <w:tcW w:w="2820" w:type="dxa"/>
            <w:vAlign w:val="bottom"/>
          </w:tcPr>
          <w:p>
            <w:pPr>
              <w:spacing w:after="0"/>
              <w:rPr>
                <w:sz w:val="20"/>
                <w:szCs w:val="20"/>
                <w:color w:val="auto"/>
              </w:rPr>
            </w:pPr>
            <w:r>
              <w:rPr>
                <w:rFonts w:ascii="Arial" w:cs="Arial" w:eastAsia="Arial" w:hAnsi="Arial"/>
                <w:sz w:val="14"/>
                <w:szCs w:val="14"/>
                <w:color w:val="auto"/>
              </w:rPr>
              <w:t>Participation in RAL’s funds (g)</w:t>
            </w:r>
          </w:p>
        </w:tc>
        <w:tc>
          <w:tcPr>
            <w:tcW w:w="1640" w:type="dxa"/>
            <w:vAlign w:val="bottom"/>
          </w:tcPr>
          <w:p>
            <w:pPr>
              <w:jc w:val="right"/>
              <w:spacing w:after="0"/>
              <w:rPr>
                <w:sz w:val="20"/>
                <w:szCs w:val="20"/>
                <w:color w:val="auto"/>
              </w:rPr>
            </w:pPr>
            <w:r>
              <w:rPr>
                <w:rFonts w:ascii="Arial" w:cs="Arial" w:eastAsia="Arial" w:hAnsi="Arial"/>
                <w:sz w:val="14"/>
                <w:szCs w:val="14"/>
                <w:color w:val="auto"/>
              </w:rPr>
              <w:t>40,861</w:t>
            </w:r>
          </w:p>
        </w:tc>
        <w:tc>
          <w:tcPr>
            <w:tcW w:w="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40,861</w:t>
            </w: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820" w:type="dxa"/>
            <w:vAlign w:val="bottom"/>
          </w:tcPr>
          <w:p>
            <w:pPr>
              <w:spacing w:after="0"/>
              <w:rPr>
                <w:sz w:val="20"/>
                <w:szCs w:val="20"/>
                <w:color w:val="auto"/>
              </w:rPr>
            </w:pPr>
            <w:r>
              <w:rPr>
                <w:rFonts w:ascii="Arial" w:cs="Arial" w:eastAsia="Arial" w:hAnsi="Arial"/>
                <w:sz w:val="14"/>
                <w:szCs w:val="14"/>
                <w:color w:val="auto"/>
                <w:w w:val="94"/>
              </w:rPr>
              <w:t>Debt issued by Central Banks of other countries</w:t>
            </w:r>
          </w:p>
        </w:tc>
        <w:tc>
          <w:tcPr>
            <w:tcW w:w="1640" w:type="dxa"/>
            <w:vAlign w:val="bottom"/>
          </w:tcPr>
          <w:p>
            <w:pPr>
              <w:jc w:val="right"/>
              <w:spacing w:after="0"/>
              <w:rPr>
                <w:sz w:val="20"/>
                <w:szCs w:val="20"/>
                <w:color w:val="auto"/>
              </w:rPr>
            </w:pPr>
            <w:r>
              <w:rPr>
                <w:rFonts w:ascii="Arial" w:cs="Arial" w:eastAsia="Arial" w:hAnsi="Arial"/>
                <w:sz w:val="14"/>
                <w:szCs w:val="14"/>
                <w:color w:val="auto"/>
              </w:rPr>
              <w:t>13,172</w:t>
            </w:r>
          </w:p>
        </w:tc>
        <w:tc>
          <w:tcPr>
            <w:tcW w:w="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23</w:t>
            </w: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13,195</w:t>
            </w: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17,769</w:t>
            </w:r>
          </w:p>
        </w:tc>
        <w:tc>
          <w:tcPr>
            <w:tcW w:w="0" w:type="dxa"/>
            <w:vAlign w:val="bottom"/>
          </w:tcPr>
          <w:p>
            <w:pPr>
              <w:spacing w:after="0"/>
              <w:rPr>
                <w:sz w:val="1"/>
                <w:szCs w:val="1"/>
                <w:color w:val="auto"/>
              </w:rPr>
            </w:pPr>
          </w:p>
        </w:tc>
      </w:tr>
      <w:tr>
        <w:trPr>
          <w:trHeight w:val="176"/>
        </w:trPr>
        <w:tc>
          <w:tcPr>
            <w:tcW w:w="2820" w:type="dxa"/>
            <w:vAlign w:val="bottom"/>
          </w:tcPr>
          <w:p>
            <w:pPr>
              <w:spacing w:after="0"/>
              <w:rPr>
                <w:sz w:val="20"/>
                <w:szCs w:val="20"/>
                <w:color w:val="auto"/>
              </w:rPr>
            </w:pPr>
            <w:r>
              <w:rPr>
                <w:rFonts w:ascii="Arial" w:cs="Arial" w:eastAsia="Arial" w:hAnsi="Arial"/>
                <w:sz w:val="14"/>
                <w:szCs w:val="14"/>
                <w:color w:val="auto"/>
              </w:rPr>
              <w:t>Other</w:t>
            </w:r>
          </w:p>
        </w:tc>
        <w:tc>
          <w:tcPr>
            <w:tcW w:w="1640" w:type="dxa"/>
            <w:vAlign w:val="bottom"/>
          </w:tcPr>
          <w:p>
            <w:pPr>
              <w:jc w:val="right"/>
              <w:spacing w:after="0"/>
              <w:rPr>
                <w:sz w:val="20"/>
                <w:szCs w:val="20"/>
                <w:color w:val="auto"/>
              </w:rPr>
            </w:pPr>
            <w:r>
              <w:rPr>
                <w:rFonts w:ascii="Arial" w:cs="Arial" w:eastAsia="Arial" w:hAnsi="Arial"/>
                <w:sz w:val="14"/>
                <w:szCs w:val="14"/>
                <w:color w:val="auto"/>
              </w:rPr>
              <w:t>17,640</w:t>
            </w:r>
          </w:p>
        </w:tc>
        <w:tc>
          <w:tcPr>
            <w:tcW w:w="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w:t>
            </w: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(3)</w:t>
            </w:r>
          </w:p>
        </w:tc>
        <w:tc>
          <w:tcPr>
            <w:tcW w:w="1580" w:type="dxa"/>
            <w:vAlign w:val="bottom"/>
          </w:tcPr>
          <w:p>
            <w:pPr>
              <w:jc w:val="right"/>
              <w:spacing w:after="0"/>
              <w:rPr>
                <w:sz w:val="20"/>
                <w:szCs w:val="20"/>
                <w:color w:val="auto"/>
              </w:rPr>
            </w:pPr>
            <w:r>
              <w:rPr>
                <w:rFonts w:ascii="Arial" w:cs="Arial" w:eastAsia="Arial" w:hAnsi="Arial"/>
                <w:sz w:val="14"/>
                <w:szCs w:val="14"/>
                <w:color w:val="auto"/>
              </w:rPr>
              <w:t>17,643</w:t>
            </w: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39,372</w:t>
            </w:r>
          </w:p>
        </w:tc>
        <w:tc>
          <w:tcPr>
            <w:tcW w:w="0" w:type="dxa"/>
            <w:vAlign w:val="bottom"/>
          </w:tcPr>
          <w:p>
            <w:pPr>
              <w:spacing w:after="0"/>
              <w:rPr>
                <w:sz w:val="1"/>
                <w:szCs w:val="1"/>
                <w:color w:val="auto"/>
              </w:rPr>
            </w:pPr>
          </w:p>
        </w:tc>
      </w:tr>
      <w:tr>
        <w:trPr>
          <w:trHeight w:val="122"/>
        </w:trPr>
        <w:tc>
          <w:tcPr>
            <w:tcW w:w="2820" w:type="dxa"/>
            <w:vAlign w:val="bottom"/>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290"/>
        </w:trPr>
        <w:tc>
          <w:tcPr>
            <w:tcW w:w="282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1,520,623</w:t>
            </w: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14,147</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(3,792)</w:t>
            </w:r>
          </w:p>
        </w:tc>
        <w:tc>
          <w:tcPr>
            <w:tcW w:w="1580" w:type="dxa"/>
            <w:vAlign w:val="bottom"/>
          </w:tcPr>
          <w:p>
            <w:pPr>
              <w:jc w:val="right"/>
              <w:spacing w:after="0"/>
              <w:rPr>
                <w:sz w:val="20"/>
                <w:szCs w:val="20"/>
                <w:color w:val="auto"/>
              </w:rPr>
            </w:pPr>
            <w:r>
              <w:rPr>
                <w:rFonts w:ascii="Arial" w:cs="Arial" w:eastAsia="Arial" w:hAnsi="Arial"/>
                <w:sz w:val="14"/>
                <w:szCs w:val="14"/>
                <w:color w:val="auto"/>
              </w:rPr>
              <w:t>1,530,978</w:t>
            </w: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490,082</w:t>
            </w:r>
          </w:p>
        </w:tc>
        <w:tc>
          <w:tcPr>
            <w:tcW w:w="0" w:type="dxa"/>
            <w:vAlign w:val="bottom"/>
          </w:tcPr>
          <w:p>
            <w:pPr>
              <w:spacing w:after="0"/>
              <w:rPr>
                <w:sz w:val="1"/>
                <w:szCs w:val="1"/>
                <w:color w:val="auto"/>
              </w:rPr>
            </w:pPr>
          </w:p>
        </w:tc>
      </w:tr>
      <w:tr>
        <w:trPr>
          <w:trHeight w:val="122"/>
        </w:trPr>
        <w:tc>
          <w:tcPr>
            <w:tcW w:w="2820" w:type="dxa"/>
            <w:vAlign w:val="bottom"/>
            <w:vMerge w:val="restart"/>
          </w:tcPr>
          <w:p>
            <w:pPr>
              <w:spacing w:after="0"/>
              <w:rPr>
                <w:sz w:val="20"/>
                <w:szCs w:val="20"/>
                <w:color w:val="auto"/>
              </w:rPr>
            </w:pPr>
            <w:r>
              <w:rPr>
                <w:rFonts w:ascii="Arial" w:cs="Arial" w:eastAsia="Arial" w:hAnsi="Arial"/>
                <w:sz w:val="14"/>
                <w:szCs w:val="14"/>
                <w:b w:val="1"/>
                <w:bCs w:val="1"/>
                <w:color w:val="auto"/>
              </w:rPr>
              <w:t>Shares</w:t>
            </w:r>
          </w:p>
        </w:tc>
        <w:tc>
          <w:tcPr>
            <w:tcW w:w="164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466"/>
        </w:trPr>
        <w:tc>
          <w:tcPr>
            <w:tcW w:w="282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820" w:type="dxa"/>
            <w:vAlign w:val="bottom"/>
          </w:tcPr>
          <w:p>
            <w:pPr>
              <w:spacing w:after="0"/>
              <w:rPr>
                <w:sz w:val="20"/>
                <w:szCs w:val="20"/>
                <w:color w:val="auto"/>
              </w:rPr>
            </w:pPr>
            <w:r>
              <w:rPr>
                <w:rFonts w:ascii="Arial" w:cs="Arial" w:eastAsia="Arial" w:hAnsi="Arial"/>
                <w:sz w:val="14"/>
                <w:szCs w:val="14"/>
                <w:color w:val="auto"/>
              </w:rPr>
              <w:t>Listed securities</w:t>
            </w:r>
          </w:p>
        </w:tc>
        <w:tc>
          <w:tcPr>
            <w:tcW w:w="1640" w:type="dxa"/>
            <w:vAlign w:val="bottom"/>
          </w:tcPr>
          <w:p>
            <w:pPr>
              <w:jc w:val="right"/>
              <w:spacing w:after="0"/>
              <w:rPr>
                <w:sz w:val="20"/>
                <w:szCs w:val="20"/>
                <w:color w:val="auto"/>
              </w:rPr>
            </w:pPr>
            <w:r>
              <w:rPr>
                <w:rFonts w:ascii="Arial" w:cs="Arial" w:eastAsia="Arial" w:hAnsi="Arial"/>
                <w:sz w:val="14"/>
                <w:szCs w:val="14"/>
                <w:color w:val="auto"/>
              </w:rPr>
              <w:t>46,698</w:t>
            </w:r>
          </w:p>
        </w:tc>
        <w:tc>
          <w:tcPr>
            <w:tcW w:w="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25,296</w:t>
            </w: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71,994</w:t>
            </w: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99,124</w:t>
            </w:r>
          </w:p>
        </w:tc>
        <w:tc>
          <w:tcPr>
            <w:tcW w:w="0" w:type="dxa"/>
            <w:vAlign w:val="bottom"/>
          </w:tcPr>
          <w:p>
            <w:pPr>
              <w:spacing w:after="0"/>
              <w:rPr>
                <w:sz w:val="1"/>
                <w:szCs w:val="1"/>
                <w:color w:val="auto"/>
              </w:rPr>
            </w:pPr>
          </w:p>
        </w:tc>
      </w:tr>
      <w:tr>
        <w:trPr>
          <w:trHeight w:val="176"/>
        </w:trPr>
        <w:tc>
          <w:tcPr>
            <w:tcW w:w="2820" w:type="dxa"/>
            <w:vAlign w:val="bottom"/>
          </w:tcPr>
          <w:p>
            <w:pPr>
              <w:spacing w:after="0"/>
              <w:rPr>
                <w:sz w:val="20"/>
                <w:szCs w:val="20"/>
                <w:color w:val="auto"/>
              </w:rPr>
            </w:pPr>
            <w:r>
              <w:rPr>
                <w:rFonts w:ascii="Arial" w:cs="Arial" w:eastAsia="Arial" w:hAnsi="Arial"/>
                <w:sz w:val="14"/>
                <w:szCs w:val="14"/>
                <w:color w:val="auto"/>
              </w:rPr>
              <w:t>Non-listed securities</w:t>
            </w:r>
          </w:p>
        </w:tc>
        <w:tc>
          <w:tcPr>
            <w:tcW w:w="1640" w:type="dxa"/>
            <w:vAlign w:val="bottom"/>
          </w:tcPr>
          <w:p>
            <w:pPr>
              <w:jc w:val="right"/>
              <w:spacing w:after="0"/>
              <w:rPr>
                <w:sz w:val="20"/>
                <w:szCs w:val="20"/>
                <w:color w:val="auto"/>
              </w:rPr>
            </w:pPr>
            <w:r>
              <w:rPr>
                <w:rFonts w:ascii="Arial" w:cs="Arial" w:eastAsia="Arial" w:hAnsi="Arial"/>
                <w:sz w:val="14"/>
                <w:szCs w:val="14"/>
                <w:color w:val="auto"/>
              </w:rPr>
              <w:t>42,212</w:t>
            </w:r>
          </w:p>
        </w:tc>
        <w:tc>
          <w:tcPr>
            <w:tcW w:w="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244</w:t>
            </w: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(3,326)</w:t>
            </w:r>
          </w:p>
        </w:tc>
        <w:tc>
          <w:tcPr>
            <w:tcW w:w="1580" w:type="dxa"/>
            <w:vAlign w:val="bottom"/>
          </w:tcPr>
          <w:p>
            <w:pPr>
              <w:jc w:val="right"/>
              <w:spacing w:after="0"/>
              <w:rPr>
                <w:sz w:val="20"/>
                <w:szCs w:val="20"/>
                <w:color w:val="auto"/>
              </w:rPr>
            </w:pPr>
            <w:r>
              <w:rPr>
                <w:rFonts w:ascii="Arial" w:cs="Arial" w:eastAsia="Arial" w:hAnsi="Arial"/>
                <w:sz w:val="14"/>
                <w:szCs w:val="14"/>
                <w:color w:val="auto"/>
              </w:rPr>
              <w:t>39,130</w:t>
            </w: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46,078</w:t>
            </w:r>
          </w:p>
        </w:tc>
        <w:tc>
          <w:tcPr>
            <w:tcW w:w="0" w:type="dxa"/>
            <w:vAlign w:val="bottom"/>
          </w:tcPr>
          <w:p>
            <w:pPr>
              <w:spacing w:after="0"/>
              <w:rPr>
                <w:sz w:val="1"/>
                <w:szCs w:val="1"/>
                <w:color w:val="auto"/>
              </w:rPr>
            </w:pPr>
          </w:p>
        </w:tc>
      </w:tr>
      <w:tr>
        <w:trPr>
          <w:trHeight w:val="122"/>
        </w:trPr>
        <w:tc>
          <w:tcPr>
            <w:tcW w:w="2820" w:type="dxa"/>
            <w:vAlign w:val="bottom"/>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290"/>
        </w:trPr>
        <w:tc>
          <w:tcPr>
            <w:tcW w:w="282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88,910</w:t>
            </w: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25,540</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(3,326)</w:t>
            </w:r>
          </w:p>
        </w:tc>
        <w:tc>
          <w:tcPr>
            <w:tcW w:w="1580" w:type="dxa"/>
            <w:vAlign w:val="bottom"/>
          </w:tcPr>
          <w:p>
            <w:pPr>
              <w:jc w:val="right"/>
              <w:spacing w:after="0"/>
              <w:rPr>
                <w:sz w:val="20"/>
                <w:szCs w:val="20"/>
                <w:color w:val="auto"/>
              </w:rPr>
            </w:pPr>
            <w:r>
              <w:rPr>
                <w:rFonts w:ascii="Arial" w:cs="Arial" w:eastAsia="Arial" w:hAnsi="Arial"/>
                <w:sz w:val="14"/>
                <w:szCs w:val="14"/>
                <w:color w:val="auto"/>
              </w:rPr>
              <w:t>111,124</w:t>
            </w: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145,202</w:t>
            </w:r>
          </w:p>
        </w:tc>
        <w:tc>
          <w:tcPr>
            <w:tcW w:w="0" w:type="dxa"/>
            <w:vAlign w:val="bottom"/>
          </w:tcPr>
          <w:p>
            <w:pPr>
              <w:spacing w:after="0"/>
              <w:rPr>
                <w:sz w:val="1"/>
                <w:szCs w:val="1"/>
                <w:color w:val="auto"/>
              </w:rPr>
            </w:pPr>
          </w:p>
        </w:tc>
      </w:tr>
      <w:tr>
        <w:trPr>
          <w:trHeight w:val="122"/>
        </w:trPr>
        <w:tc>
          <w:tcPr>
            <w:tcW w:w="2820" w:type="dxa"/>
            <w:vAlign w:val="bottom"/>
            <w:vMerge w:val="restart"/>
          </w:tcPr>
          <w:p>
            <w:pPr>
              <w:spacing w:after="0"/>
              <w:rPr>
                <w:sz w:val="20"/>
                <w:szCs w:val="20"/>
                <w:color w:val="auto"/>
              </w:rPr>
            </w:pPr>
            <w:r>
              <w:rPr>
                <w:rFonts w:ascii="Arial" w:cs="Arial" w:eastAsia="Arial" w:hAnsi="Arial"/>
                <w:sz w:val="14"/>
                <w:szCs w:val="14"/>
                <w:b w:val="1"/>
                <w:bCs w:val="1"/>
                <w:color w:val="auto"/>
              </w:rPr>
              <w:t>Total</w:t>
            </w:r>
          </w:p>
        </w:tc>
        <w:tc>
          <w:tcPr>
            <w:tcW w:w="164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466"/>
        </w:trPr>
        <w:tc>
          <w:tcPr>
            <w:tcW w:w="2820" w:type="dxa"/>
            <w:vAlign w:val="bottom"/>
            <w:vMerge w:val="continue"/>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1,609,533</w:t>
            </w: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39,687</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(7,118)</w:t>
            </w:r>
          </w:p>
        </w:tc>
        <w:tc>
          <w:tcPr>
            <w:tcW w:w="1580" w:type="dxa"/>
            <w:vAlign w:val="bottom"/>
          </w:tcPr>
          <w:p>
            <w:pPr>
              <w:jc w:val="right"/>
              <w:spacing w:after="0"/>
              <w:rPr>
                <w:sz w:val="20"/>
                <w:szCs w:val="20"/>
                <w:color w:val="auto"/>
              </w:rPr>
            </w:pPr>
            <w:r>
              <w:rPr>
                <w:rFonts w:ascii="Arial" w:cs="Arial" w:eastAsia="Arial" w:hAnsi="Arial"/>
                <w:sz w:val="14"/>
                <w:szCs w:val="14"/>
                <w:color w:val="auto"/>
              </w:rPr>
              <w:t>1,642,102</w:t>
            </w: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635,284</w:t>
            </w:r>
          </w:p>
        </w:tc>
        <w:tc>
          <w:tcPr>
            <w:tcW w:w="0" w:type="dxa"/>
            <w:vAlign w:val="bottom"/>
          </w:tcPr>
          <w:p>
            <w:pPr>
              <w:spacing w:after="0"/>
              <w:rPr>
                <w:sz w:val="1"/>
                <w:szCs w:val="1"/>
                <w:color w:val="auto"/>
              </w:rPr>
            </w:pPr>
          </w:p>
        </w:tc>
      </w:tr>
      <w:tr>
        <w:trPr>
          <w:trHeight w:val="132"/>
        </w:trPr>
        <w:tc>
          <w:tcPr>
            <w:tcW w:w="2820" w:type="dxa"/>
            <w:vAlign w:val="bottom"/>
          </w:tcPr>
          <w:p>
            <w:pPr>
              <w:spacing w:after="0"/>
              <w:rPr>
                <w:sz w:val="11"/>
                <w:szCs w:val="11"/>
                <w:color w:val="auto"/>
              </w:rPr>
            </w:pPr>
          </w:p>
        </w:tc>
        <w:tc>
          <w:tcPr>
            <w:tcW w:w="16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6132830</wp:posOffset>
            </wp:positionH>
            <wp:positionV relativeFrom="paragraph">
              <wp:posOffset>-3556000</wp:posOffset>
            </wp:positionV>
            <wp:extent cx="34290" cy="342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-3556000</wp:posOffset>
            </wp:positionV>
            <wp:extent cx="34290" cy="342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5120640</wp:posOffset>
            </wp:positionH>
            <wp:positionV relativeFrom="paragraph">
              <wp:posOffset>-3187065</wp:posOffset>
            </wp:positionV>
            <wp:extent cx="34290" cy="342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2839720</wp:posOffset>
            </wp:positionH>
            <wp:positionV relativeFrom="paragraph">
              <wp:posOffset>-1574800</wp:posOffset>
            </wp:positionV>
            <wp:extent cx="34290" cy="342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-1574800</wp:posOffset>
            </wp:positionV>
            <wp:extent cx="34290" cy="342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5120640</wp:posOffset>
            </wp:positionH>
            <wp:positionV relativeFrom="paragraph">
              <wp:posOffset>-1574800</wp:posOffset>
            </wp:positionV>
            <wp:extent cx="34290" cy="342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-1574800</wp:posOffset>
            </wp:positionV>
            <wp:extent cx="34290" cy="342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-1574800</wp:posOffset>
            </wp:positionV>
            <wp:extent cx="34290" cy="342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2839720</wp:posOffset>
            </wp:positionH>
            <wp:positionV relativeFrom="paragraph">
              <wp:posOffset>-1300480</wp:posOffset>
            </wp:positionV>
            <wp:extent cx="34290" cy="342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-1300480</wp:posOffset>
            </wp:positionV>
            <wp:extent cx="34290" cy="342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5120640</wp:posOffset>
            </wp:positionH>
            <wp:positionV relativeFrom="paragraph">
              <wp:posOffset>-1300480</wp:posOffset>
            </wp:positionV>
            <wp:extent cx="34290" cy="342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-1300480</wp:posOffset>
            </wp:positionV>
            <wp:extent cx="34290" cy="342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-1300480</wp:posOffset>
            </wp:positionV>
            <wp:extent cx="34290" cy="342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2839720</wp:posOffset>
            </wp:positionH>
            <wp:positionV relativeFrom="paragraph">
              <wp:posOffset>-691515</wp:posOffset>
            </wp:positionV>
            <wp:extent cx="34290" cy="342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-691515</wp:posOffset>
            </wp:positionV>
            <wp:extent cx="34290" cy="342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5120640</wp:posOffset>
            </wp:positionH>
            <wp:positionV relativeFrom="paragraph">
              <wp:posOffset>-691515</wp:posOffset>
            </wp:positionV>
            <wp:extent cx="34290" cy="342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-691515</wp:posOffset>
            </wp:positionV>
            <wp:extent cx="34290" cy="342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-691515</wp:posOffset>
            </wp:positionV>
            <wp:extent cx="34290" cy="342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2839720</wp:posOffset>
            </wp:positionH>
            <wp:positionV relativeFrom="paragraph">
              <wp:posOffset>-417195</wp:posOffset>
            </wp:positionV>
            <wp:extent cx="34290" cy="342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-417195</wp:posOffset>
            </wp:positionV>
            <wp:extent cx="34290" cy="342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5120640</wp:posOffset>
            </wp:positionH>
            <wp:positionV relativeFrom="paragraph">
              <wp:posOffset>-417195</wp:posOffset>
            </wp:positionV>
            <wp:extent cx="34290" cy="342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-417195</wp:posOffset>
            </wp:positionV>
            <wp:extent cx="34290" cy="342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-417195</wp:posOffset>
            </wp:positionV>
            <wp:extent cx="34290" cy="342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-14605</wp:posOffset>
            </wp:positionV>
            <wp:extent cx="12700"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1812290</wp:posOffset>
            </wp:positionH>
            <wp:positionV relativeFrom="paragraph">
              <wp:posOffset>-14605</wp:posOffset>
            </wp:positionV>
            <wp:extent cx="12700"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-14605</wp:posOffset>
            </wp:positionV>
            <wp:extent cx="12700"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2875915</wp:posOffset>
            </wp:positionH>
            <wp:positionV relativeFrom="paragraph">
              <wp:posOffset>-14605</wp:posOffset>
            </wp:positionV>
            <wp:extent cx="12700"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-14605</wp:posOffset>
            </wp:positionV>
            <wp:extent cx="12700" cy="88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-14605</wp:posOffset>
            </wp:positionV>
            <wp:extent cx="12700"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-14605</wp:posOffset>
            </wp:positionV>
            <wp:extent cx="12700"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-14605</wp:posOffset>
            </wp:positionV>
            <wp:extent cx="12700"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-14605</wp:posOffset>
            </wp:positionV>
            <wp:extent cx="12700" cy="88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59320" cy="342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154" w:name="page155"/>
    <w:bookmarkEnd w:id="154"/>
    <w:p>
      <w:pPr>
        <w:spacing w:after="0"/>
        <w:rPr>
          <w:sz w:val="20"/>
          <w:szCs w:val="20"/>
          <w:color w:val="auto"/>
        </w:rPr>
      </w:pPr>
      <w:r>
        <w:rPr>
          <w:rFonts w:ascii="Arial" w:cs="Arial" w:eastAsia="Arial" w:hAnsi="Arial"/>
          <w:sz w:val="16"/>
          <w:szCs w:val="16"/>
          <w:color w:val="auto"/>
        </w:rPr>
        <w:t>(b) The change in the net unrealized gains and losses, and the provision for impairment recorded by the Group each year are presented as follows:</w:t>
      </w: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5200" w:type="dxa"/>
            <w:vAlign w:val="bottom"/>
          </w:tcPr>
          <w:p>
            <w:pPr>
              <w:spacing w:after="0"/>
              <w:rPr>
                <w:sz w:val="19"/>
                <w:szCs w:val="19"/>
                <w:color w:val="auto"/>
              </w:rPr>
            </w:pPr>
          </w:p>
        </w:tc>
        <w:tc>
          <w:tcPr>
            <w:tcW w:w="2980" w:type="dxa"/>
            <w:vAlign w:val="bottom"/>
          </w:tcPr>
          <w:p>
            <w:pPr>
              <w:jc w:val="right"/>
              <w:ind w:right="852"/>
              <w:spacing w:after="0"/>
              <w:rPr>
                <w:sz w:val="20"/>
                <w:szCs w:val="20"/>
                <w:color w:val="auto"/>
              </w:rPr>
            </w:pPr>
            <w:r>
              <w:rPr>
                <w:rFonts w:ascii="Arial" w:cs="Arial" w:eastAsia="Arial" w:hAnsi="Arial"/>
                <w:sz w:val="18"/>
                <w:szCs w:val="18"/>
                <w:b w:val="1"/>
                <w:bCs w:val="1"/>
                <w:color w:val="auto"/>
              </w:rPr>
              <w:t>2003</w:t>
            </w:r>
          </w:p>
        </w:tc>
        <w:tc>
          <w:tcPr>
            <w:tcW w:w="1720" w:type="dxa"/>
            <w:vAlign w:val="bottom"/>
          </w:tcPr>
          <w:p>
            <w:pPr>
              <w:jc w:val="right"/>
              <w:ind w:right="872"/>
              <w:spacing w:after="0"/>
              <w:rPr>
                <w:sz w:val="20"/>
                <w:szCs w:val="20"/>
                <w:color w:val="auto"/>
              </w:rPr>
            </w:pPr>
            <w:r>
              <w:rPr>
                <w:rFonts w:ascii="Arial" w:cs="Arial" w:eastAsia="Arial" w:hAnsi="Arial"/>
                <w:sz w:val="18"/>
                <w:szCs w:val="18"/>
                <w:b w:val="1"/>
                <w:bCs w:val="1"/>
                <w:color w:val="auto"/>
              </w:rPr>
              <w:t>2002</w:t>
            </w:r>
          </w:p>
        </w:tc>
        <w:tc>
          <w:tcPr>
            <w:tcW w:w="1460" w:type="dxa"/>
            <w:vAlign w:val="bottom"/>
          </w:tcPr>
          <w:p>
            <w:pPr>
              <w:jc w:val="right"/>
              <w:ind w:right="612"/>
              <w:spacing w:after="0"/>
              <w:rPr>
                <w:sz w:val="20"/>
                <w:szCs w:val="20"/>
                <w:color w:val="auto"/>
              </w:rPr>
            </w:pPr>
            <w:r>
              <w:rPr>
                <w:rFonts w:ascii="Arial" w:cs="Arial" w:eastAsia="Arial" w:hAnsi="Arial"/>
                <w:sz w:val="18"/>
                <w:szCs w:val="18"/>
                <w:b w:val="1"/>
                <w:bCs w:val="1"/>
                <w:color w:val="auto"/>
              </w:rPr>
              <w:t>2001</w:t>
            </w:r>
          </w:p>
        </w:tc>
      </w:tr>
      <w:tr>
        <w:trPr>
          <w:trHeight w:val="243"/>
        </w:trPr>
        <w:tc>
          <w:tcPr>
            <w:tcW w:w="5200" w:type="dxa"/>
            <w:vAlign w:val="bottom"/>
          </w:tcPr>
          <w:p>
            <w:pPr>
              <w:spacing w:after="0"/>
              <w:rPr>
                <w:sz w:val="21"/>
                <w:szCs w:val="21"/>
                <w:color w:val="auto"/>
              </w:rPr>
            </w:pPr>
          </w:p>
        </w:tc>
        <w:tc>
          <w:tcPr>
            <w:tcW w:w="2980" w:type="dxa"/>
            <w:vAlign w:val="bottom"/>
          </w:tcPr>
          <w:p>
            <w:pPr>
              <w:jc w:val="right"/>
              <w:ind w:right="672"/>
              <w:spacing w:after="0"/>
              <w:rPr>
                <w:sz w:val="20"/>
                <w:szCs w:val="20"/>
                <w:color w:val="auto"/>
              </w:rPr>
            </w:pPr>
            <w:r>
              <w:rPr>
                <w:rFonts w:ascii="Arial" w:cs="Arial" w:eastAsia="Arial" w:hAnsi="Arial"/>
                <w:sz w:val="18"/>
                <w:szCs w:val="18"/>
                <w:color w:val="auto"/>
              </w:rPr>
              <w:t>US$(000)</w:t>
            </w:r>
          </w:p>
        </w:tc>
        <w:tc>
          <w:tcPr>
            <w:tcW w:w="1720" w:type="dxa"/>
            <w:vAlign w:val="bottom"/>
          </w:tcPr>
          <w:p>
            <w:pPr>
              <w:jc w:val="right"/>
              <w:ind w:right="672"/>
              <w:spacing w:after="0"/>
              <w:rPr>
                <w:sz w:val="20"/>
                <w:szCs w:val="20"/>
                <w:color w:val="auto"/>
              </w:rPr>
            </w:pPr>
            <w:r>
              <w:rPr>
                <w:rFonts w:ascii="Arial" w:cs="Arial" w:eastAsia="Arial" w:hAnsi="Arial"/>
                <w:sz w:val="18"/>
                <w:szCs w:val="18"/>
                <w:color w:val="auto"/>
              </w:rPr>
              <w:t>US$(000)</w:t>
            </w:r>
          </w:p>
        </w:tc>
        <w:tc>
          <w:tcPr>
            <w:tcW w:w="1460" w:type="dxa"/>
            <w:vAlign w:val="bottom"/>
          </w:tcPr>
          <w:p>
            <w:pPr>
              <w:jc w:val="right"/>
              <w:ind w:right="412"/>
              <w:spacing w:after="0"/>
              <w:rPr>
                <w:sz w:val="20"/>
                <w:szCs w:val="20"/>
                <w:color w:val="auto"/>
              </w:rPr>
            </w:pPr>
            <w:r>
              <w:rPr>
                <w:rFonts w:ascii="Arial" w:cs="Arial" w:eastAsia="Arial" w:hAnsi="Arial"/>
                <w:sz w:val="18"/>
                <w:szCs w:val="18"/>
                <w:color w:val="auto"/>
              </w:rPr>
              <w:t>US$(000)</w:t>
            </w:r>
          </w:p>
        </w:tc>
      </w:tr>
      <w:tr>
        <w:trPr>
          <w:trHeight w:val="486"/>
        </w:trPr>
        <w:tc>
          <w:tcPr>
            <w:tcW w:w="5200" w:type="dxa"/>
            <w:vAlign w:val="bottom"/>
          </w:tcPr>
          <w:p>
            <w:pPr>
              <w:spacing w:after="0"/>
              <w:rPr>
                <w:sz w:val="20"/>
                <w:szCs w:val="20"/>
                <w:color w:val="auto"/>
              </w:rPr>
            </w:pPr>
            <w:r>
              <w:rPr>
                <w:rFonts w:ascii="Arial" w:cs="Arial" w:eastAsia="Arial" w:hAnsi="Arial"/>
                <w:sz w:val="18"/>
                <w:szCs w:val="18"/>
                <w:color w:val="auto"/>
              </w:rPr>
              <w:t>Net unrealized gains (losses)</w:t>
            </w:r>
          </w:p>
        </w:tc>
        <w:tc>
          <w:tcPr>
            <w:tcW w:w="2980" w:type="dxa"/>
            <w:vAlign w:val="bottom"/>
          </w:tcPr>
          <w:p>
            <w:pPr>
              <w:jc w:val="right"/>
              <w:ind w:right="212"/>
              <w:spacing w:after="0"/>
              <w:rPr>
                <w:sz w:val="20"/>
                <w:szCs w:val="20"/>
                <w:color w:val="auto"/>
              </w:rPr>
            </w:pPr>
            <w:r>
              <w:rPr>
                <w:rFonts w:ascii="Arial" w:cs="Arial" w:eastAsia="Arial" w:hAnsi="Arial"/>
                <w:sz w:val="18"/>
                <w:szCs w:val="18"/>
                <w:color w:val="auto"/>
              </w:rPr>
              <w:t>18,844</w:t>
            </w:r>
          </w:p>
        </w:tc>
        <w:tc>
          <w:tcPr>
            <w:tcW w:w="1720" w:type="dxa"/>
            <w:vAlign w:val="bottom"/>
          </w:tcPr>
          <w:p>
            <w:pPr>
              <w:jc w:val="right"/>
              <w:ind w:right="172"/>
              <w:spacing w:after="0"/>
              <w:rPr>
                <w:sz w:val="20"/>
                <w:szCs w:val="20"/>
                <w:color w:val="auto"/>
              </w:rPr>
            </w:pPr>
            <w:r>
              <w:rPr>
                <w:rFonts w:ascii="Arial" w:cs="Arial" w:eastAsia="Arial" w:hAnsi="Arial"/>
                <w:sz w:val="18"/>
                <w:szCs w:val="18"/>
                <w:color w:val="auto"/>
              </w:rPr>
              <w:t>(14,444)</w:t>
            </w:r>
          </w:p>
        </w:tc>
        <w:tc>
          <w:tcPr>
            <w:tcW w:w="1460" w:type="dxa"/>
            <w:vAlign w:val="bottom"/>
          </w:tcPr>
          <w:p>
            <w:pPr>
              <w:jc w:val="right"/>
              <w:spacing w:after="0"/>
              <w:rPr>
                <w:sz w:val="20"/>
                <w:szCs w:val="20"/>
                <w:color w:val="auto"/>
              </w:rPr>
            </w:pPr>
            <w:r>
              <w:rPr>
                <w:rFonts w:ascii="Arial" w:cs="Arial" w:eastAsia="Arial" w:hAnsi="Arial"/>
                <w:sz w:val="18"/>
                <w:szCs w:val="18"/>
                <w:color w:val="auto"/>
              </w:rPr>
              <w:t>(3,096)</w:t>
            </w:r>
          </w:p>
        </w:tc>
      </w:tr>
      <w:tr>
        <w:trPr>
          <w:trHeight w:val="243"/>
        </w:trPr>
        <w:tc>
          <w:tcPr>
            <w:tcW w:w="5200" w:type="dxa"/>
            <w:vAlign w:val="bottom"/>
          </w:tcPr>
          <w:p>
            <w:pPr>
              <w:spacing w:after="0"/>
              <w:rPr>
                <w:sz w:val="20"/>
                <w:szCs w:val="20"/>
                <w:color w:val="auto"/>
              </w:rPr>
            </w:pPr>
            <w:r>
              <w:rPr>
                <w:rFonts w:ascii="Arial" w:cs="Arial" w:eastAsia="Arial" w:hAnsi="Arial"/>
                <w:sz w:val="18"/>
                <w:szCs w:val="18"/>
                <w:color w:val="auto"/>
              </w:rPr>
              <w:t>Net realized gains (losses)</w:t>
            </w:r>
          </w:p>
        </w:tc>
        <w:tc>
          <w:tcPr>
            <w:tcW w:w="2980" w:type="dxa"/>
            <w:vAlign w:val="bottom"/>
          </w:tcPr>
          <w:p>
            <w:pPr>
              <w:jc w:val="right"/>
              <w:ind w:right="212"/>
              <w:spacing w:after="0"/>
              <w:rPr>
                <w:sz w:val="20"/>
                <w:szCs w:val="20"/>
                <w:color w:val="auto"/>
              </w:rPr>
            </w:pPr>
            <w:r>
              <w:rPr>
                <w:rFonts w:ascii="Arial" w:cs="Arial" w:eastAsia="Arial" w:hAnsi="Arial"/>
                <w:sz w:val="18"/>
                <w:szCs w:val="18"/>
                <w:color w:val="auto"/>
              </w:rPr>
              <w:t>7,265</w:t>
            </w:r>
          </w:p>
        </w:tc>
        <w:tc>
          <w:tcPr>
            <w:tcW w:w="1720" w:type="dxa"/>
            <w:vAlign w:val="bottom"/>
          </w:tcPr>
          <w:p>
            <w:pPr>
              <w:jc w:val="right"/>
              <w:ind w:right="172"/>
              <w:spacing w:after="0"/>
              <w:rPr>
                <w:sz w:val="20"/>
                <w:szCs w:val="20"/>
                <w:color w:val="auto"/>
              </w:rPr>
            </w:pPr>
            <w:r>
              <w:rPr>
                <w:rFonts w:ascii="Arial" w:cs="Arial" w:eastAsia="Arial" w:hAnsi="Arial"/>
                <w:sz w:val="18"/>
                <w:szCs w:val="18"/>
                <w:color w:val="auto"/>
              </w:rPr>
              <w:t>(4,038)</w:t>
            </w:r>
          </w:p>
        </w:tc>
        <w:tc>
          <w:tcPr>
            <w:tcW w:w="1460" w:type="dxa"/>
            <w:vAlign w:val="bottom"/>
          </w:tcPr>
          <w:p>
            <w:pPr>
              <w:jc w:val="right"/>
              <w:spacing w:after="0"/>
              <w:rPr>
                <w:sz w:val="20"/>
                <w:szCs w:val="20"/>
                <w:color w:val="auto"/>
              </w:rPr>
            </w:pPr>
            <w:r>
              <w:rPr>
                <w:rFonts w:ascii="Arial" w:cs="Arial" w:eastAsia="Arial" w:hAnsi="Arial"/>
                <w:sz w:val="18"/>
                <w:szCs w:val="18"/>
                <w:color w:val="auto"/>
              </w:rPr>
              <w:t>8,583</w:t>
            </w:r>
          </w:p>
        </w:tc>
      </w:tr>
      <w:tr>
        <w:trPr>
          <w:trHeight w:val="243"/>
        </w:trPr>
        <w:tc>
          <w:tcPr>
            <w:tcW w:w="5200" w:type="dxa"/>
            <w:vAlign w:val="bottom"/>
          </w:tcPr>
          <w:p>
            <w:pPr>
              <w:spacing w:after="0"/>
              <w:rPr>
                <w:sz w:val="20"/>
                <w:szCs w:val="20"/>
                <w:color w:val="auto"/>
              </w:rPr>
            </w:pPr>
            <w:r>
              <w:rPr>
                <w:rFonts w:ascii="Arial" w:cs="Arial" w:eastAsia="Arial" w:hAnsi="Arial"/>
                <w:sz w:val="18"/>
                <w:szCs w:val="18"/>
                <w:color w:val="auto"/>
              </w:rPr>
              <w:t>Provision for permanent impairment on investments</w:t>
            </w:r>
          </w:p>
        </w:tc>
        <w:tc>
          <w:tcPr>
            <w:tcW w:w="2980" w:type="dxa"/>
            <w:vAlign w:val="bottom"/>
          </w:tcPr>
          <w:p>
            <w:pPr>
              <w:jc w:val="right"/>
              <w:ind w:right="172"/>
              <w:spacing w:after="0"/>
              <w:rPr>
                <w:sz w:val="20"/>
                <w:szCs w:val="20"/>
                <w:color w:val="auto"/>
              </w:rPr>
            </w:pPr>
            <w:r>
              <w:rPr>
                <w:rFonts w:ascii="Arial" w:cs="Arial" w:eastAsia="Arial" w:hAnsi="Arial"/>
                <w:sz w:val="18"/>
                <w:szCs w:val="18"/>
                <w:color w:val="auto"/>
              </w:rPr>
              <w:t>(18,666)</w:t>
            </w:r>
          </w:p>
        </w:tc>
        <w:tc>
          <w:tcPr>
            <w:tcW w:w="1720" w:type="dxa"/>
            <w:vAlign w:val="bottom"/>
          </w:tcPr>
          <w:p>
            <w:pPr>
              <w:jc w:val="right"/>
              <w:ind w:right="172"/>
              <w:spacing w:after="0"/>
              <w:rPr>
                <w:sz w:val="20"/>
                <w:szCs w:val="20"/>
                <w:color w:val="auto"/>
              </w:rPr>
            </w:pPr>
            <w:r>
              <w:rPr>
                <w:rFonts w:ascii="Arial" w:cs="Arial" w:eastAsia="Arial" w:hAnsi="Arial"/>
                <w:sz w:val="18"/>
                <w:szCs w:val="18"/>
                <w:color w:val="auto"/>
              </w:rPr>
              <w:t>(8,129)</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(c) As of December 31, 2003 and 2002, comprise corporate bonds for US$544.1, leasing bonds for US$14.6, and subordinated bonds for US$7.9 million</w:t>
      </w:r>
    </w:p>
    <w:p>
      <w:pPr>
        <w:spacing w:after="0" w:line="38"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(US$294.2, US$6.3 and US$4.3 million, respectively, as of December 31, 2002) with maturities between January 2004 and February 2011. These bonds accrue interests at annual effective rates that range between 4.03 and 10.4 percent for the bonds denominated in Peruvian currency (between 5.81 and 7.93 percent in 2002), and between 2.51 and 10.25 percent for the bonds denominated in US dollars (between 1.33 and 12.91 percent in 2002).</w:t>
      </w:r>
    </w:p>
    <w:p>
      <w:pPr>
        <w:spacing w:after="0" w:line="163" w:lineRule="exact"/>
        <w:rPr>
          <w:sz w:val="20"/>
          <w:szCs w:val="20"/>
          <w:color w:val="auto"/>
        </w:rPr>
      </w:pPr>
    </w:p>
    <w:p>
      <w:pPr>
        <w:ind w:right="460" w:firstLine="8"/>
        <w:spacing w:after="0" w:line="268" w:lineRule="auto"/>
        <w:tabs>
          <w:tab w:leader="none" w:pos="249" w:val="left"/>
        </w:tabs>
        <w:numPr>
          <w:ilvl w:val="0"/>
          <w:numId w:val="42"/>
        </w:numPr>
        <w:rPr>
          <w:rFonts w:ascii="Arial" w:cs="Arial" w:eastAsia="Arial" w:hAnsi="Arial"/>
          <w:sz w:val="18"/>
          <w:szCs w:val="18"/>
          <w:color w:val="auto"/>
        </w:rPr>
      </w:pPr>
      <w:r>
        <w:rPr>
          <w:rFonts w:ascii="Arial" w:cs="Arial" w:eastAsia="Arial" w:hAnsi="Arial"/>
          <w:sz w:val="18"/>
          <w:szCs w:val="18"/>
          <w:color w:val="auto"/>
        </w:rPr>
        <w:t>BCRP certificates of deposit are discounted Peruvian currency instruments with maturities due within one year. These certificates have been acquired in public auctions. Annual interest rates in Peruvian currency range between 2.73 and 5.57 percent.</w:t>
      </w:r>
    </w:p>
    <w:p>
      <w:pPr>
        <w:spacing w:after="0" w:line="185" w:lineRule="exact"/>
        <w:rPr>
          <w:rFonts w:ascii="Arial" w:cs="Arial" w:eastAsia="Arial" w:hAnsi="Arial"/>
          <w:sz w:val="18"/>
          <w:szCs w:val="18"/>
          <w:color w:val="auto"/>
        </w:rPr>
      </w:pPr>
    </w:p>
    <w:p>
      <w:pPr>
        <w:ind w:right="40" w:firstLine="8"/>
        <w:spacing w:after="0" w:line="370" w:lineRule="auto"/>
        <w:tabs>
          <w:tab w:leader="none" w:pos="239" w:val="left"/>
        </w:tabs>
        <w:numPr>
          <w:ilvl w:val="0"/>
          <w:numId w:val="42"/>
        </w:numPr>
        <w:rPr>
          <w:rFonts w:ascii="Arial" w:cs="Arial" w:eastAsia="Arial" w:hAnsi="Arial"/>
          <w:sz w:val="15"/>
          <w:szCs w:val="15"/>
          <w:color w:val="auto"/>
        </w:rPr>
      </w:pPr>
      <w:r>
        <w:rPr>
          <w:rFonts w:ascii="Arial" w:cs="Arial" w:eastAsia="Arial" w:hAnsi="Arial"/>
          <w:sz w:val="15"/>
          <w:szCs w:val="15"/>
          <w:color w:val="auto"/>
        </w:rPr>
        <w:t>Includes credit instruments for US$131.7, US$117.6 and US$15.0 million issued by US Government agencies, the Peruvian Government and the Government of El Salvador, respectively. Their maturities are between June 2004 and November 2033 at annual interest rates that range between 1.69 and 9.88 percent.</w:t>
      </w:r>
    </w:p>
    <w:p>
      <w:pPr>
        <w:spacing w:after="0" w:line="116" w:lineRule="exact"/>
        <w:rPr>
          <w:rFonts w:ascii="Arial" w:cs="Arial" w:eastAsia="Arial" w:hAnsi="Arial"/>
          <w:sz w:val="15"/>
          <w:szCs w:val="15"/>
          <w:color w:val="auto"/>
        </w:rPr>
      </w:pPr>
    </w:p>
    <w:p>
      <w:pPr>
        <w:ind w:right="240" w:firstLine="8"/>
        <w:spacing w:after="0" w:line="259" w:lineRule="auto"/>
        <w:tabs>
          <w:tab w:leader="none" w:pos="219"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Comprise mainly of USS$53.3 and US$16.5 million of debt instruments issued in US dollars by Corporación Andina de Fomento - CAF and by Fondo Latinoamericano de Reservas - FLAR, respectively. Such bonds have maturities between March 2004 and August 2006. Annual interests rates are between 3.0 and 8.88 percent.</w:t>
      </w:r>
    </w:p>
    <w:p>
      <w:pPr>
        <w:spacing w:after="0" w:line="194" w:lineRule="exact"/>
        <w:rPr>
          <w:rFonts w:ascii="Arial" w:cs="Arial" w:eastAsia="Arial" w:hAnsi="Arial"/>
          <w:sz w:val="18"/>
          <w:szCs w:val="18"/>
          <w:color w:val="auto"/>
        </w:rPr>
      </w:pPr>
    </w:p>
    <w:p>
      <w:pPr>
        <w:ind w:firstLine="8"/>
        <w:spacing w:after="0" w:line="306" w:lineRule="auto"/>
        <w:tabs>
          <w:tab w:leader="none" w:pos="249"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participation quotas in the Fund “Requirement of Cash Assets (RAL for its Spanish denomination), stated at Bolivian pesos, are comprised of investments made by the Group in the Central Bank of Bolivia as a collateral for the deposits maintained with the public. Such fund has restrictions for its use and it is required for all the banks established in Bolivia. The fund accrues interest at an average annual rate of 2.1 percent.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59320" cy="342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ectPr>
          <w:pgSz w:w="11900" w:h="16838" w:orient="portrait"/>
          <w:cols w:equalWidth="0" w:num="1">
            <w:col w:w="11400"/>
          </w:cols>
          <w:pgMar w:left="240" w:top="347" w:right="25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color w:val="auto"/>
        </w:rPr>
        <w:t>(h) As of December 31, 2003 and 2002, the amortized cost and market value of the investments classified by maturity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80" w:type="dxa"/>
            <w:vAlign w:val="bottom"/>
          </w:tcPr>
          <w:p>
            <w:pPr>
              <w:spacing w:after="0"/>
              <w:rPr>
                <w:sz w:val="19"/>
                <w:szCs w:val="19"/>
                <w:color w:val="auto"/>
              </w:rPr>
            </w:pPr>
          </w:p>
        </w:tc>
        <w:tc>
          <w:tcPr>
            <w:tcW w:w="20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2003</w:t>
            </w: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Pr>
          <w:p>
            <w:pPr>
              <w:jc w:val="right"/>
              <w:ind w:right="592"/>
              <w:spacing w:after="0"/>
              <w:rPr>
                <w:sz w:val="20"/>
                <w:szCs w:val="20"/>
                <w:color w:val="auto"/>
              </w:rPr>
            </w:pPr>
            <w:r>
              <w:rPr>
                <w:rFonts w:ascii="Arial" w:cs="Arial" w:eastAsia="Arial" w:hAnsi="Arial"/>
                <w:sz w:val="18"/>
                <w:szCs w:val="18"/>
                <w:b w:val="1"/>
                <w:bCs w:val="1"/>
                <w:color w:val="auto"/>
              </w:rPr>
              <w:t>2002</w:t>
            </w:r>
          </w:p>
        </w:tc>
        <w:tc>
          <w:tcPr>
            <w:tcW w:w="0" w:type="dxa"/>
            <w:vAlign w:val="bottom"/>
          </w:tcPr>
          <w:p>
            <w:pPr>
              <w:spacing w:after="0"/>
              <w:rPr>
                <w:sz w:val="1"/>
                <w:szCs w:val="1"/>
                <w:color w:val="auto"/>
              </w:rPr>
            </w:pPr>
          </w:p>
        </w:tc>
      </w:tr>
      <w:tr>
        <w:trPr>
          <w:trHeight w:val="137"/>
        </w:trPr>
        <w:tc>
          <w:tcPr>
            <w:tcW w:w="628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44"/>
        </w:trPr>
        <w:tc>
          <w:tcPr>
            <w:tcW w:w="6280" w:type="dxa"/>
            <w:vAlign w:val="bottom"/>
          </w:tcPr>
          <w:p>
            <w:pPr>
              <w:spacing w:after="0"/>
              <w:rPr>
                <w:sz w:val="24"/>
                <w:szCs w:val="24"/>
                <w:color w:val="auto"/>
              </w:rPr>
            </w:pPr>
          </w:p>
        </w:tc>
        <w:tc>
          <w:tcPr>
            <w:tcW w:w="204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0"/>
              </w:rPr>
              <w:t>Amortized</w:t>
            </w:r>
          </w:p>
        </w:tc>
        <w:tc>
          <w:tcPr>
            <w:tcW w:w="13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Market</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6"/>
              </w:rPr>
              <w:t>Market</w:t>
            </w:r>
          </w:p>
        </w:tc>
        <w:tc>
          <w:tcPr>
            <w:tcW w:w="0" w:type="dxa"/>
            <w:vAlign w:val="bottom"/>
          </w:tcPr>
          <w:p>
            <w:pPr>
              <w:spacing w:after="0"/>
              <w:rPr>
                <w:sz w:val="1"/>
                <w:szCs w:val="1"/>
                <w:color w:val="auto"/>
              </w:rPr>
            </w:pPr>
          </w:p>
        </w:tc>
      </w:tr>
      <w:tr>
        <w:trPr>
          <w:trHeight w:val="228"/>
        </w:trPr>
        <w:tc>
          <w:tcPr>
            <w:tcW w:w="6280" w:type="dxa"/>
            <w:vAlign w:val="bottom"/>
          </w:tcPr>
          <w:p>
            <w:pPr>
              <w:spacing w:after="0"/>
              <w:rPr>
                <w:sz w:val="19"/>
                <w:szCs w:val="19"/>
                <w:color w:val="auto"/>
              </w:rPr>
            </w:pPr>
          </w:p>
        </w:tc>
        <w:tc>
          <w:tcPr>
            <w:tcW w:w="204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75"/>
              </w:rPr>
              <w:t>cost</w:t>
            </w: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value</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6"/>
              </w:rPr>
              <w:t>value</w:t>
            </w:r>
          </w:p>
        </w:tc>
        <w:tc>
          <w:tcPr>
            <w:tcW w:w="0" w:type="dxa"/>
            <w:vAlign w:val="bottom"/>
          </w:tcPr>
          <w:p>
            <w:pPr>
              <w:spacing w:after="0"/>
              <w:rPr>
                <w:sz w:val="1"/>
                <w:szCs w:val="1"/>
                <w:color w:val="auto"/>
              </w:rPr>
            </w:pPr>
          </w:p>
        </w:tc>
      </w:tr>
      <w:tr>
        <w:trPr>
          <w:trHeight w:val="243"/>
        </w:trPr>
        <w:tc>
          <w:tcPr>
            <w:tcW w:w="6280" w:type="dxa"/>
            <w:vAlign w:val="bottom"/>
          </w:tcPr>
          <w:p>
            <w:pPr>
              <w:spacing w:after="0"/>
              <w:rPr>
                <w:sz w:val="21"/>
                <w:szCs w:val="21"/>
                <w:color w:val="auto"/>
              </w:rPr>
            </w:pPr>
          </w:p>
        </w:tc>
        <w:tc>
          <w:tcPr>
            <w:tcW w:w="2040" w:type="dxa"/>
            <w:vAlign w:val="bottom"/>
            <w:gridSpan w:val="3"/>
          </w:tcPr>
          <w:p>
            <w:pPr>
              <w:jc w:val="center"/>
              <w:ind w:right="360"/>
              <w:spacing w:after="0"/>
              <w:rPr>
                <w:sz w:val="20"/>
                <w:szCs w:val="20"/>
                <w:color w:val="auto"/>
              </w:rPr>
            </w:pPr>
            <w:r>
              <w:rPr>
                <w:rFonts w:ascii="Arial" w:cs="Arial" w:eastAsia="Arial" w:hAnsi="Arial"/>
                <w:sz w:val="18"/>
                <w:szCs w:val="18"/>
                <w:color w:val="auto"/>
                <w:w w:val="88"/>
              </w:rPr>
              <w:t>US$(000)</w:t>
            </w: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US$(000)</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US$(000)</w:t>
            </w:r>
          </w:p>
        </w:tc>
        <w:tc>
          <w:tcPr>
            <w:tcW w:w="0" w:type="dxa"/>
            <w:vAlign w:val="bottom"/>
          </w:tcPr>
          <w:p>
            <w:pPr>
              <w:spacing w:after="0"/>
              <w:rPr>
                <w:sz w:val="1"/>
                <w:szCs w:val="1"/>
                <w:color w:val="auto"/>
              </w:rPr>
            </w:pPr>
          </w:p>
        </w:tc>
      </w:tr>
      <w:tr>
        <w:trPr>
          <w:trHeight w:val="486"/>
        </w:trPr>
        <w:tc>
          <w:tcPr>
            <w:tcW w:w="6280" w:type="dxa"/>
            <w:vAlign w:val="bottom"/>
          </w:tcPr>
          <w:p>
            <w:pPr>
              <w:ind w:left="40"/>
              <w:spacing w:after="0"/>
              <w:rPr>
                <w:sz w:val="20"/>
                <w:szCs w:val="20"/>
                <w:color w:val="auto"/>
              </w:rPr>
            </w:pPr>
            <w:r>
              <w:rPr>
                <w:rFonts w:ascii="Arial" w:cs="Arial" w:eastAsia="Arial" w:hAnsi="Arial"/>
                <w:sz w:val="18"/>
                <w:szCs w:val="18"/>
                <w:color w:val="auto"/>
              </w:rPr>
              <w:t>From 3 months to 1 year</w:t>
            </w:r>
          </w:p>
        </w:tc>
        <w:tc>
          <w:tcPr>
            <w:tcW w:w="1680" w:type="dxa"/>
            <w:vAlign w:val="bottom"/>
          </w:tcPr>
          <w:p>
            <w:pPr>
              <w:jc w:val="right"/>
              <w:spacing w:after="0"/>
              <w:rPr>
                <w:sz w:val="20"/>
                <w:szCs w:val="20"/>
                <w:color w:val="auto"/>
              </w:rPr>
            </w:pPr>
            <w:r>
              <w:rPr>
                <w:rFonts w:ascii="Arial" w:cs="Arial" w:eastAsia="Arial" w:hAnsi="Arial"/>
                <w:sz w:val="18"/>
                <w:szCs w:val="18"/>
                <w:color w:val="auto"/>
              </w:rPr>
              <w:t>617,690</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619,511</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24,110</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From 1 to 5 years</w:t>
            </w:r>
          </w:p>
        </w:tc>
        <w:tc>
          <w:tcPr>
            <w:tcW w:w="1680" w:type="dxa"/>
            <w:vAlign w:val="bottom"/>
          </w:tcPr>
          <w:p>
            <w:pPr>
              <w:jc w:val="right"/>
              <w:spacing w:after="0"/>
              <w:rPr>
                <w:sz w:val="20"/>
                <w:szCs w:val="20"/>
                <w:color w:val="auto"/>
              </w:rPr>
            </w:pPr>
            <w:r>
              <w:rPr>
                <w:rFonts w:ascii="Arial" w:cs="Arial" w:eastAsia="Arial" w:hAnsi="Arial"/>
                <w:sz w:val="18"/>
                <w:szCs w:val="18"/>
                <w:color w:val="auto"/>
              </w:rPr>
              <w:t>697,830</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706,318</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246,832</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Over 5 years</w:t>
            </w:r>
          </w:p>
        </w:tc>
        <w:tc>
          <w:tcPr>
            <w:tcW w:w="1680" w:type="dxa"/>
            <w:vAlign w:val="bottom"/>
          </w:tcPr>
          <w:p>
            <w:pPr>
              <w:jc w:val="right"/>
              <w:spacing w:after="0"/>
              <w:rPr>
                <w:sz w:val="20"/>
                <w:szCs w:val="20"/>
                <w:color w:val="auto"/>
              </w:rPr>
            </w:pPr>
            <w:r>
              <w:rPr>
                <w:rFonts w:ascii="Arial" w:cs="Arial" w:eastAsia="Arial" w:hAnsi="Arial"/>
                <w:sz w:val="18"/>
                <w:szCs w:val="18"/>
                <w:color w:val="auto"/>
              </w:rPr>
              <w:t>205,103</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205,149</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219,140</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Without maturity (shares)</w:t>
            </w:r>
          </w:p>
        </w:tc>
        <w:tc>
          <w:tcPr>
            <w:tcW w:w="1680" w:type="dxa"/>
            <w:vAlign w:val="bottom"/>
          </w:tcPr>
          <w:p>
            <w:pPr>
              <w:jc w:val="right"/>
              <w:spacing w:after="0"/>
              <w:rPr>
                <w:sz w:val="20"/>
                <w:szCs w:val="20"/>
                <w:color w:val="auto"/>
              </w:rPr>
            </w:pPr>
            <w:r>
              <w:rPr>
                <w:rFonts w:ascii="Arial" w:cs="Arial" w:eastAsia="Arial" w:hAnsi="Arial"/>
                <w:sz w:val="18"/>
                <w:szCs w:val="18"/>
                <w:color w:val="auto"/>
              </w:rPr>
              <w:t>88,910</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111,124</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145,202</w:t>
            </w:r>
          </w:p>
        </w:tc>
        <w:tc>
          <w:tcPr>
            <w:tcW w:w="0" w:type="dxa"/>
            <w:vAlign w:val="bottom"/>
          </w:tcPr>
          <w:p>
            <w:pPr>
              <w:spacing w:after="0"/>
              <w:rPr>
                <w:sz w:val="1"/>
                <w:szCs w:val="1"/>
                <w:color w:val="auto"/>
              </w:rPr>
            </w:pPr>
          </w:p>
        </w:tc>
      </w:tr>
      <w:tr>
        <w:trPr>
          <w:trHeight w:val="137"/>
        </w:trPr>
        <w:tc>
          <w:tcPr>
            <w:tcW w:w="62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Total</w:t>
            </w: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599"/>
        </w:trPr>
        <w:tc>
          <w:tcPr>
            <w:tcW w:w="6280" w:type="dxa"/>
            <w:vAlign w:val="bottom"/>
            <w:vMerge w:val="continue"/>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1,609,533</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1,642,102</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635,284</w:t>
            </w:r>
          </w:p>
        </w:tc>
        <w:tc>
          <w:tcPr>
            <w:tcW w:w="0" w:type="dxa"/>
            <w:vAlign w:val="bottom"/>
          </w:tcPr>
          <w:p>
            <w:pPr>
              <w:spacing w:after="0"/>
              <w:rPr>
                <w:sz w:val="1"/>
                <w:szCs w:val="1"/>
                <w:color w:val="auto"/>
              </w:rPr>
            </w:pPr>
          </w:p>
        </w:tc>
      </w:tr>
      <w:tr>
        <w:trPr>
          <w:trHeight w:val="147"/>
        </w:trPr>
        <w:tc>
          <w:tcPr>
            <w:tcW w:w="6280" w:type="dxa"/>
            <w:vAlign w:val="bottom"/>
            <w:vMerge w:val="restart"/>
          </w:tcPr>
          <w:p>
            <w:pPr>
              <w:spacing w:after="0"/>
              <w:rPr>
                <w:sz w:val="20"/>
                <w:szCs w:val="20"/>
                <w:color w:val="auto"/>
              </w:rPr>
            </w:pPr>
            <w:r>
              <w:rPr>
                <w:rFonts w:ascii="Arial" w:cs="Arial" w:eastAsia="Arial" w:hAnsi="Arial"/>
                <w:sz w:val="18"/>
                <w:szCs w:val="18"/>
                <w:b w:val="1"/>
                <w:bCs w:val="1"/>
                <w:color w:val="auto"/>
              </w:rPr>
              <w:t>7. Net loans</w:t>
            </w:r>
          </w:p>
        </w:tc>
        <w:tc>
          <w:tcPr>
            <w:tcW w:w="16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62"/>
        </w:trPr>
        <w:tc>
          <w:tcPr>
            <w:tcW w:w="628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80" w:type="dxa"/>
            <w:vAlign w:val="bottom"/>
          </w:tcPr>
          <w:p>
            <w:pPr>
              <w:spacing w:after="0"/>
              <w:rPr>
                <w:sz w:val="20"/>
                <w:szCs w:val="20"/>
                <w:color w:val="auto"/>
              </w:rPr>
            </w:pPr>
            <w:r>
              <w:rPr>
                <w:rFonts w:ascii="Arial" w:cs="Arial" w:eastAsia="Arial" w:hAnsi="Arial"/>
                <w:sz w:val="18"/>
                <w:szCs w:val="18"/>
                <w:color w:val="auto"/>
              </w:rPr>
              <w:t>(a) This item is made up as follows:</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jc w:val="center"/>
              <w:ind w:right="312"/>
              <w:spacing w:after="0"/>
              <w:rPr>
                <w:sz w:val="20"/>
                <w:szCs w:val="20"/>
                <w:color w:val="auto"/>
              </w:rPr>
            </w:pPr>
            <w:r>
              <w:rPr>
                <w:rFonts w:ascii="Arial" w:cs="Arial" w:eastAsia="Arial" w:hAnsi="Arial"/>
                <w:sz w:val="18"/>
                <w:szCs w:val="18"/>
                <w:b w:val="1"/>
                <w:bCs w:val="1"/>
                <w:color w:val="auto"/>
                <w:w w:val="89"/>
              </w:rPr>
              <w:t>2003</w:t>
            </w:r>
          </w:p>
        </w:tc>
        <w:tc>
          <w:tcPr>
            <w:tcW w:w="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4"/>
              </w:rPr>
              <w:t>2002</w:t>
            </w:r>
          </w:p>
        </w:tc>
        <w:tc>
          <w:tcPr>
            <w:tcW w:w="0" w:type="dxa"/>
            <w:vAlign w:val="bottom"/>
          </w:tcPr>
          <w:p>
            <w:pPr>
              <w:spacing w:after="0"/>
              <w:rPr>
                <w:sz w:val="1"/>
                <w:szCs w:val="1"/>
                <w:color w:val="auto"/>
              </w:rPr>
            </w:pPr>
          </w:p>
        </w:tc>
      </w:tr>
      <w:tr>
        <w:trPr>
          <w:trHeight w:val="243"/>
        </w:trPr>
        <w:tc>
          <w:tcPr>
            <w:tcW w:w="62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US$(000)</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US$(000)</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Direct loans</w:t>
            </w: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Loans</w:t>
            </w: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3,147,982</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3,268,103</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Discounted notes</w:t>
            </w: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176,991</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180,314</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Advances and overdrafts</w:t>
            </w: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181,986</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169,132</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Leasing receivables</w:t>
            </w: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452,635</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491,666</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Factoring receivables</w:t>
            </w: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56,446</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62,302</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Refinanced and restructured loans</w:t>
            </w: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296,116</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330,842</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Past due and under legal collection loans</w:t>
            </w: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256,208</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406,135</w:t>
            </w:r>
          </w:p>
        </w:tc>
        <w:tc>
          <w:tcPr>
            <w:tcW w:w="0" w:type="dxa"/>
            <w:vAlign w:val="bottom"/>
          </w:tcPr>
          <w:p>
            <w:pPr>
              <w:spacing w:after="0"/>
              <w:rPr>
                <w:sz w:val="1"/>
                <w:szCs w:val="1"/>
                <w:color w:val="auto"/>
              </w:rPr>
            </w:pPr>
          </w:p>
        </w:tc>
      </w:tr>
      <w:tr>
        <w:trPr>
          <w:trHeight w:val="137"/>
        </w:trPr>
        <w:tc>
          <w:tcPr>
            <w:tcW w:w="62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6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4,568,364</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4,908,494</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Less</w:t>
            </w: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Unearned interest</w:t>
            </w: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(86,868)</w:t>
            </w:r>
          </w:p>
        </w:tc>
        <w:tc>
          <w:tcPr>
            <w:tcW w:w="1700" w:type="dxa"/>
            <w:vAlign w:val="bottom"/>
          </w:tcPr>
          <w:p>
            <w:pPr>
              <w:jc w:val="right"/>
              <w:spacing w:after="0"/>
              <w:rPr>
                <w:sz w:val="20"/>
                <w:szCs w:val="20"/>
                <w:color w:val="auto"/>
              </w:rPr>
            </w:pPr>
            <w:r>
              <w:rPr>
                <w:rFonts w:ascii="Arial" w:cs="Arial" w:eastAsia="Arial" w:hAnsi="Arial"/>
                <w:sz w:val="18"/>
                <w:szCs w:val="18"/>
                <w:color w:val="auto"/>
              </w:rPr>
              <w:t>(90,831)</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Allowance for credit losses</w:t>
            </w: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(326,677)</w:t>
            </w:r>
          </w:p>
        </w:tc>
        <w:tc>
          <w:tcPr>
            <w:tcW w:w="1700" w:type="dxa"/>
            <w:vAlign w:val="bottom"/>
          </w:tcPr>
          <w:p>
            <w:pPr>
              <w:jc w:val="right"/>
              <w:spacing w:after="0"/>
              <w:rPr>
                <w:sz w:val="20"/>
                <w:szCs w:val="20"/>
                <w:color w:val="auto"/>
              </w:rPr>
            </w:pPr>
            <w:r>
              <w:rPr>
                <w:rFonts w:ascii="Arial" w:cs="Arial" w:eastAsia="Arial" w:hAnsi="Arial"/>
                <w:sz w:val="18"/>
                <w:szCs w:val="18"/>
                <w:color w:val="auto"/>
              </w:rPr>
              <w:t>(424,031)</w:t>
            </w:r>
          </w:p>
        </w:tc>
        <w:tc>
          <w:tcPr>
            <w:tcW w:w="0" w:type="dxa"/>
            <w:vAlign w:val="bottom"/>
          </w:tcPr>
          <w:p>
            <w:pPr>
              <w:spacing w:after="0"/>
              <w:rPr>
                <w:sz w:val="1"/>
                <w:szCs w:val="1"/>
                <w:color w:val="auto"/>
              </w:rPr>
            </w:pPr>
          </w:p>
        </w:tc>
      </w:tr>
      <w:tr>
        <w:trPr>
          <w:trHeight w:val="137"/>
        </w:trPr>
        <w:tc>
          <w:tcPr>
            <w:tcW w:w="62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Total direct loans</w:t>
            </w:r>
          </w:p>
        </w:tc>
        <w:tc>
          <w:tcPr>
            <w:tcW w:w="1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599"/>
        </w:trPr>
        <w:tc>
          <w:tcPr>
            <w:tcW w:w="628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4,154,819</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4,393,632</w:t>
            </w:r>
          </w:p>
        </w:tc>
        <w:tc>
          <w:tcPr>
            <w:tcW w:w="0" w:type="dxa"/>
            <w:vAlign w:val="bottom"/>
          </w:tcPr>
          <w:p>
            <w:pPr>
              <w:spacing w:after="0"/>
              <w:rPr>
                <w:sz w:val="1"/>
                <w:szCs w:val="1"/>
                <w:color w:val="auto"/>
              </w:rPr>
            </w:pPr>
          </w:p>
        </w:tc>
      </w:tr>
      <w:tr>
        <w:trPr>
          <w:trHeight w:val="147"/>
        </w:trPr>
        <w:tc>
          <w:tcPr>
            <w:tcW w:w="62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Indirect loans, note 17</w:t>
            </w:r>
          </w:p>
        </w:tc>
        <w:tc>
          <w:tcPr>
            <w:tcW w:w="1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89"/>
        </w:trPr>
        <w:tc>
          <w:tcPr>
            <w:tcW w:w="628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782,886</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956,930</w:t>
            </w:r>
          </w:p>
        </w:tc>
        <w:tc>
          <w:tcPr>
            <w:tcW w:w="0" w:type="dxa"/>
            <w:vAlign w:val="bottom"/>
          </w:tcPr>
          <w:p>
            <w:pPr>
              <w:spacing w:after="0"/>
              <w:rPr>
                <w:sz w:val="1"/>
                <w:szCs w:val="1"/>
                <w:color w:val="auto"/>
              </w:rPr>
            </w:pPr>
          </w:p>
        </w:tc>
      </w:tr>
      <w:tr>
        <w:trPr>
          <w:trHeight w:val="147"/>
        </w:trPr>
        <w:tc>
          <w:tcPr>
            <w:tcW w:w="62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6123940</wp:posOffset>
            </wp:positionH>
            <wp:positionV relativeFrom="paragraph">
              <wp:posOffset>-6068695</wp:posOffset>
            </wp:positionV>
            <wp:extent cx="34290" cy="342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-6068695</wp:posOffset>
            </wp:positionV>
            <wp:extent cx="34290" cy="342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-4679315</wp:posOffset>
            </wp:positionV>
            <wp:extent cx="34290" cy="342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-4679315</wp:posOffset>
            </wp:positionV>
            <wp:extent cx="34290" cy="342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-4679315</wp:posOffset>
            </wp:positionV>
            <wp:extent cx="34290" cy="342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-4182110</wp:posOffset>
            </wp:positionV>
            <wp:extent cx="12700"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-4182110</wp:posOffset>
            </wp:positionV>
            <wp:extent cx="12700" cy="88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-4182110</wp:posOffset>
            </wp:positionV>
            <wp:extent cx="12700" cy="88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-4182110</wp:posOffset>
            </wp:positionV>
            <wp:extent cx="12700"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-4182110</wp:posOffset>
            </wp:positionV>
            <wp:extent cx="12700" cy="88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-4182110</wp:posOffset>
            </wp:positionV>
            <wp:extent cx="12700" cy="88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-1780540</wp:posOffset>
            </wp:positionV>
            <wp:extent cx="34290" cy="342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-1780540</wp:posOffset>
            </wp:positionV>
            <wp:extent cx="34290" cy="3429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-991870</wp:posOffset>
            </wp:positionV>
            <wp:extent cx="34290" cy="342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-991870</wp:posOffset>
            </wp:positionV>
            <wp:extent cx="34290" cy="342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-494665</wp:posOffset>
            </wp:positionV>
            <wp:extent cx="12700" cy="88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-494665</wp:posOffset>
            </wp:positionV>
            <wp:extent cx="12700" cy="88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-494665</wp:posOffset>
            </wp:positionV>
            <wp:extent cx="12700" cy="88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-494665</wp:posOffset>
            </wp:positionV>
            <wp:extent cx="12700" cy="88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-14605</wp:posOffset>
            </wp:positionV>
            <wp:extent cx="12700" cy="88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-14605</wp:posOffset>
            </wp:positionV>
            <wp:extent cx="12700" cy="88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-14605</wp:posOffset>
            </wp:positionV>
            <wp:extent cx="12700" cy="88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-14605</wp:posOffset>
            </wp:positionV>
            <wp:extent cx="12700" cy="88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20" w:lineRule="exact"/>
        <w:rPr>
          <w:sz w:val="20"/>
          <w:szCs w:val="20"/>
          <w:color w:val="auto"/>
        </w:rPr>
      </w:pPr>
    </w:p>
    <w:p>
      <w:pPr>
        <w:ind w:left="5540" w:right="3000" w:hanging="5532"/>
        <w:spacing w:after="0" w:line="800" w:lineRule="auto"/>
        <w:tabs>
          <w:tab w:leader="none" w:pos="248"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Interest rates on loans are set considering the rates prevailing in the markets where the Group’s subsidiaries operate. 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7259320" cy="342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ectPr>
          <w:pgSz w:w="11900" w:h="16838" w:orient="portrait"/>
          <w:cols w:equalWidth="0" w:num="1">
            <w:col w:w="11400"/>
          </w:cols>
          <w:pgMar w:left="240" w:top="347" w:right="25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color w:val="auto"/>
        </w:rPr>
        <w:t>(c) As of December 31, 2003 and 2002, the Group’s direct loan portfolio is distributed among the following economic sectors: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80" w:type="dxa"/>
            <w:vAlign w:val="bottom"/>
          </w:tcPr>
          <w:p>
            <w:pPr>
              <w:spacing w:after="0"/>
              <w:rPr>
                <w:sz w:val="19"/>
                <w:szCs w:val="19"/>
                <w:color w:val="auto"/>
              </w:rPr>
            </w:pPr>
          </w:p>
        </w:tc>
        <w:tc>
          <w:tcPr>
            <w:tcW w:w="1680" w:type="dxa"/>
            <w:vAlign w:val="bottom"/>
          </w:tcPr>
          <w:p>
            <w:pPr>
              <w:jc w:val="right"/>
              <w:ind w:right="592"/>
              <w:spacing w:after="0"/>
              <w:rPr>
                <w:sz w:val="20"/>
                <w:szCs w:val="20"/>
                <w:color w:val="auto"/>
              </w:rPr>
            </w:pPr>
            <w:r>
              <w:rPr>
                <w:rFonts w:ascii="Arial" w:cs="Arial" w:eastAsia="Arial" w:hAnsi="Arial"/>
                <w:sz w:val="18"/>
                <w:szCs w:val="18"/>
                <w:b w:val="1"/>
                <w:bCs w:val="1"/>
                <w:color w:val="auto"/>
              </w:rPr>
              <w:t>2003</w:t>
            </w:r>
          </w:p>
        </w:tc>
        <w:tc>
          <w:tcPr>
            <w:tcW w:w="172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w:t>
            </w:r>
          </w:p>
        </w:tc>
        <w:tc>
          <w:tcPr>
            <w:tcW w:w="1720" w:type="dxa"/>
            <w:vAlign w:val="bottom"/>
            <w:gridSpan w:val="2"/>
          </w:tcPr>
          <w:p>
            <w:pPr>
              <w:jc w:val="right"/>
              <w:ind w:right="612"/>
              <w:spacing w:after="0"/>
              <w:rPr>
                <w:sz w:val="20"/>
                <w:szCs w:val="20"/>
                <w:color w:val="auto"/>
              </w:rPr>
            </w:pPr>
            <w:r>
              <w:rPr>
                <w:rFonts w:ascii="Arial" w:cs="Arial" w:eastAsia="Arial" w:hAnsi="Arial"/>
                <w:sz w:val="18"/>
                <w:szCs w:val="18"/>
                <w:b w:val="1"/>
                <w:bCs w:val="1"/>
                <w:color w:val="auto"/>
              </w:rPr>
              <w:t>2002</w:t>
            </w:r>
          </w:p>
        </w:tc>
        <w:tc>
          <w:tcPr>
            <w:tcW w:w="170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580" w:type="dxa"/>
            <w:vAlign w:val="bottom"/>
          </w:tcPr>
          <w:p>
            <w:pPr>
              <w:spacing w:after="0"/>
              <w:rPr>
                <w:sz w:val="21"/>
                <w:szCs w:val="21"/>
                <w:color w:val="auto"/>
              </w:rPr>
            </w:pPr>
          </w:p>
        </w:tc>
        <w:tc>
          <w:tcPr>
            <w:tcW w:w="1680" w:type="dxa"/>
            <w:vAlign w:val="bottom"/>
          </w:tcPr>
          <w:p>
            <w:pPr>
              <w:jc w:val="right"/>
              <w:ind w:right="412"/>
              <w:spacing w:after="0"/>
              <w:rPr>
                <w:sz w:val="20"/>
                <w:szCs w:val="20"/>
                <w:color w:val="auto"/>
              </w:rPr>
            </w:pPr>
            <w:r>
              <w:rPr>
                <w:rFonts w:ascii="Arial" w:cs="Arial" w:eastAsia="Arial" w:hAnsi="Arial"/>
                <w:sz w:val="18"/>
                <w:szCs w:val="18"/>
                <w:color w:val="auto"/>
              </w:rPr>
              <w:t>US$(000)</w:t>
            </w: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jc w:val="right"/>
              <w:ind w:right="412"/>
              <w:spacing w:after="0"/>
              <w:rPr>
                <w:sz w:val="20"/>
                <w:szCs w:val="20"/>
                <w:color w:val="auto"/>
              </w:rPr>
            </w:pPr>
            <w:r>
              <w:rPr>
                <w:rFonts w:ascii="Arial" w:cs="Arial" w:eastAsia="Arial" w:hAnsi="Arial"/>
                <w:sz w:val="18"/>
                <w:szCs w:val="18"/>
                <w:color w:val="auto"/>
              </w:rPr>
              <w:t>US$(000)</w:t>
            </w:r>
          </w:p>
        </w:tc>
        <w:tc>
          <w:tcPr>
            <w:tcW w:w="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Sector</w:t>
            </w: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Manufacturing</w:t>
            </w:r>
          </w:p>
        </w:tc>
        <w:tc>
          <w:tcPr>
            <w:tcW w:w="1680" w:type="dxa"/>
            <w:vAlign w:val="bottom"/>
          </w:tcPr>
          <w:p>
            <w:pPr>
              <w:jc w:val="right"/>
              <w:spacing w:after="0"/>
              <w:rPr>
                <w:sz w:val="20"/>
                <w:szCs w:val="20"/>
                <w:color w:val="auto"/>
              </w:rPr>
            </w:pPr>
            <w:r>
              <w:rPr>
                <w:rFonts w:ascii="Arial" w:cs="Arial" w:eastAsia="Arial" w:hAnsi="Arial"/>
                <w:sz w:val="18"/>
                <w:szCs w:val="18"/>
                <w:color w:val="auto"/>
              </w:rPr>
              <w:t>1,461,350</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32.0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1,592,191</w:t>
            </w: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32.4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Consumer and mortgage loans</w:t>
            </w:r>
          </w:p>
        </w:tc>
        <w:tc>
          <w:tcPr>
            <w:tcW w:w="1680" w:type="dxa"/>
            <w:vAlign w:val="bottom"/>
          </w:tcPr>
          <w:p>
            <w:pPr>
              <w:jc w:val="right"/>
              <w:spacing w:after="0"/>
              <w:rPr>
                <w:sz w:val="20"/>
                <w:szCs w:val="20"/>
                <w:color w:val="auto"/>
              </w:rPr>
            </w:pPr>
            <w:r>
              <w:rPr>
                <w:rFonts w:ascii="Arial" w:cs="Arial" w:eastAsia="Arial" w:hAnsi="Arial"/>
                <w:sz w:val="18"/>
                <w:szCs w:val="18"/>
                <w:color w:val="auto"/>
              </w:rPr>
              <w:t>920,016</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20.1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522,998</w:t>
            </w: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Commerce</w:t>
            </w:r>
          </w:p>
        </w:tc>
        <w:tc>
          <w:tcPr>
            <w:tcW w:w="1680" w:type="dxa"/>
            <w:vAlign w:val="bottom"/>
          </w:tcPr>
          <w:p>
            <w:pPr>
              <w:jc w:val="right"/>
              <w:spacing w:after="0"/>
              <w:rPr>
                <w:sz w:val="20"/>
                <w:szCs w:val="20"/>
                <w:color w:val="auto"/>
              </w:rPr>
            </w:pPr>
            <w:r>
              <w:rPr>
                <w:rFonts w:ascii="Arial" w:cs="Arial" w:eastAsia="Arial" w:hAnsi="Arial"/>
                <w:sz w:val="18"/>
                <w:szCs w:val="18"/>
                <w:color w:val="auto"/>
              </w:rPr>
              <w:t>560,052</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12.3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617,491</w:t>
            </w: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Leaseholds and real estate activities</w:t>
            </w:r>
          </w:p>
        </w:tc>
        <w:tc>
          <w:tcPr>
            <w:tcW w:w="1680" w:type="dxa"/>
            <w:vAlign w:val="bottom"/>
          </w:tcPr>
          <w:p>
            <w:pPr>
              <w:jc w:val="right"/>
              <w:spacing w:after="0"/>
              <w:rPr>
                <w:sz w:val="20"/>
                <w:szCs w:val="20"/>
                <w:color w:val="auto"/>
              </w:rPr>
            </w:pPr>
            <w:r>
              <w:rPr>
                <w:rFonts w:ascii="Arial" w:cs="Arial" w:eastAsia="Arial" w:hAnsi="Arial"/>
                <w:sz w:val="18"/>
                <w:szCs w:val="18"/>
                <w:color w:val="auto"/>
              </w:rPr>
              <w:t>233,506</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281,753</w:t>
            </w: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Mining</w:t>
            </w:r>
          </w:p>
        </w:tc>
        <w:tc>
          <w:tcPr>
            <w:tcW w:w="1680" w:type="dxa"/>
            <w:vAlign w:val="bottom"/>
          </w:tcPr>
          <w:p>
            <w:pPr>
              <w:jc w:val="right"/>
              <w:spacing w:after="0"/>
              <w:rPr>
                <w:sz w:val="20"/>
                <w:szCs w:val="20"/>
                <w:color w:val="auto"/>
              </w:rPr>
            </w:pPr>
            <w:r>
              <w:rPr>
                <w:rFonts w:ascii="Arial" w:cs="Arial" w:eastAsia="Arial" w:hAnsi="Arial"/>
                <w:sz w:val="18"/>
                <w:szCs w:val="18"/>
                <w:color w:val="auto"/>
              </w:rPr>
              <w:t>233,355</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227,879</w:t>
            </w: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Electricity, gas and water</w:t>
            </w:r>
          </w:p>
        </w:tc>
        <w:tc>
          <w:tcPr>
            <w:tcW w:w="1680" w:type="dxa"/>
            <w:vAlign w:val="bottom"/>
          </w:tcPr>
          <w:p>
            <w:pPr>
              <w:jc w:val="right"/>
              <w:spacing w:after="0"/>
              <w:rPr>
                <w:sz w:val="20"/>
                <w:szCs w:val="20"/>
                <w:color w:val="auto"/>
              </w:rPr>
            </w:pPr>
            <w:r>
              <w:rPr>
                <w:rFonts w:ascii="Arial" w:cs="Arial" w:eastAsia="Arial" w:hAnsi="Arial"/>
                <w:sz w:val="18"/>
                <w:szCs w:val="18"/>
                <w:color w:val="auto"/>
              </w:rPr>
              <w:t>211,610</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302,976</w:t>
            </w: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Communications, storage and transportation</w:t>
            </w:r>
          </w:p>
        </w:tc>
        <w:tc>
          <w:tcPr>
            <w:tcW w:w="1680" w:type="dxa"/>
            <w:vAlign w:val="bottom"/>
          </w:tcPr>
          <w:p>
            <w:pPr>
              <w:jc w:val="right"/>
              <w:spacing w:after="0"/>
              <w:rPr>
                <w:sz w:val="20"/>
                <w:szCs w:val="20"/>
                <w:color w:val="auto"/>
              </w:rPr>
            </w:pPr>
            <w:r>
              <w:rPr>
                <w:rFonts w:ascii="Arial" w:cs="Arial" w:eastAsia="Arial" w:hAnsi="Arial"/>
                <w:sz w:val="18"/>
                <w:szCs w:val="18"/>
                <w:color w:val="auto"/>
              </w:rPr>
              <w:t>189,612</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209,174</w:t>
            </w: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Agriculture</w:t>
            </w:r>
          </w:p>
        </w:tc>
        <w:tc>
          <w:tcPr>
            <w:tcW w:w="1680" w:type="dxa"/>
            <w:vAlign w:val="bottom"/>
          </w:tcPr>
          <w:p>
            <w:pPr>
              <w:jc w:val="right"/>
              <w:spacing w:after="0"/>
              <w:rPr>
                <w:sz w:val="20"/>
                <w:szCs w:val="20"/>
                <w:color w:val="auto"/>
              </w:rPr>
            </w:pPr>
            <w:r>
              <w:rPr>
                <w:rFonts w:ascii="Arial" w:cs="Arial" w:eastAsia="Arial" w:hAnsi="Arial"/>
                <w:sz w:val="18"/>
                <w:szCs w:val="18"/>
                <w:color w:val="auto"/>
              </w:rPr>
              <w:t>142,697</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158,500</w:t>
            </w: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Education, health and other services</w:t>
            </w:r>
          </w:p>
        </w:tc>
        <w:tc>
          <w:tcPr>
            <w:tcW w:w="1680" w:type="dxa"/>
            <w:vAlign w:val="bottom"/>
          </w:tcPr>
          <w:p>
            <w:pPr>
              <w:jc w:val="right"/>
              <w:spacing w:after="0"/>
              <w:rPr>
                <w:sz w:val="20"/>
                <w:szCs w:val="20"/>
                <w:color w:val="auto"/>
              </w:rPr>
            </w:pPr>
            <w:r>
              <w:rPr>
                <w:rFonts w:ascii="Arial" w:cs="Arial" w:eastAsia="Arial" w:hAnsi="Arial"/>
                <w:sz w:val="18"/>
                <w:szCs w:val="18"/>
                <w:color w:val="auto"/>
              </w:rPr>
              <w:t>106,296</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93,851</w:t>
            </w: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Financial services</w:t>
            </w:r>
          </w:p>
        </w:tc>
        <w:tc>
          <w:tcPr>
            <w:tcW w:w="1680" w:type="dxa"/>
            <w:vAlign w:val="bottom"/>
          </w:tcPr>
          <w:p>
            <w:pPr>
              <w:jc w:val="right"/>
              <w:spacing w:after="0"/>
              <w:rPr>
                <w:sz w:val="20"/>
                <w:szCs w:val="20"/>
                <w:color w:val="auto"/>
              </w:rPr>
            </w:pPr>
            <w:r>
              <w:rPr>
                <w:rFonts w:ascii="Arial" w:cs="Arial" w:eastAsia="Arial" w:hAnsi="Arial"/>
                <w:sz w:val="18"/>
                <w:szCs w:val="18"/>
                <w:color w:val="auto"/>
              </w:rPr>
              <w:t>96,371</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210,404</w:t>
            </w: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Fishing</w:t>
            </w:r>
          </w:p>
        </w:tc>
        <w:tc>
          <w:tcPr>
            <w:tcW w:w="1680" w:type="dxa"/>
            <w:vAlign w:val="bottom"/>
          </w:tcPr>
          <w:p>
            <w:pPr>
              <w:jc w:val="right"/>
              <w:spacing w:after="0"/>
              <w:rPr>
                <w:sz w:val="20"/>
                <w:szCs w:val="20"/>
                <w:color w:val="auto"/>
              </w:rPr>
            </w:pPr>
            <w:r>
              <w:rPr>
                <w:rFonts w:ascii="Arial" w:cs="Arial" w:eastAsia="Arial" w:hAnsi="Arial"/>
                <w:sz w:val="18"/>
                <w:szCs w:val="18"/>
                <w:color w:val="auto"/>
              </w:rPr>
              <w:t>90,795</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104,604</w:t>
            </w: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Construction</w:t>
            </w:r>
          </w:p>
        </w:tc>
        <w:tc>
          <w:tcPr>
            <w:tcW w:w="1680" w:type="dxa"/>
            <w:vAlign w:val="bottom"/>
          </w:tcPr>
          <w:p>
            <w:pPr>
              <w:jc w:val="right"/>
              <w:spacing w:after="0"/>
              <w:rPr>
                <w:sz w:val="20"/>
                <w:szCs w:val="20"/>
                <w:color w:val="auto"/>
              </w:rPr>
            </w:pPr>
            <w:r>
              <w:rPr>
                <w:rFonts w:ascii="Arial" w:cs="Arial" w:eastAsia="Arial" w:hAnsi="Arial"/>
                <w:sz w:val="18"/>
                <w:szCs w:val="18"/>
                <w:color w:val="auto"/>
              </w:rPr>
              <w:t>70,676</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86,632</w:t>
            </w: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Other</w:t>
            </w:r>
          </w:p>
        </w:tc>
        <w:tc>
          <w:tcPr>
            <w:tcW w:w="1680" w:type="dxa"/>
            <w:vAlign w:val="bottom"/>
          </w:tcPr>
          <w:p>
            <w:pPr>
              <w:jc w:val="right"/>
              <w:spacing w:after="0"/>
              <w:rPr>
                <w:sz w:val="20"/>
                <w:szCs w:val="20"/>
                <w:color w:val="auto"/>
              </w:rPr>
            </w:pPr>
            <w:r>
              <w:rPr>
                <w:rFonts w:ascii="Arial" w:cs="Arial" w:eastAsia="Arial" w:hAnsi="Arial"/>
                <w:sz w:val="18"/>
                <w:szCs w:val="18"/>
                <w:color w:val="auto"/>
              </w:rPr>
              <w:t>252,028</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500,041</w:t>
            </w: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7"/>
        </w:trPr>
        <w:tc>
          <w:tcPr>
            <w:tcW w:w="45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Total</w:t>
            </w: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99"/>
        </w:trPr>
        <w:tc>
          <w:tcPr>
            <w:tcW w:w="4580" w:type="dxa"/>
            <w:vAlign w:val="bottom"/>
            <w:vMerge w:val="continue"/>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4,568,364</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4,908,494</w:t>
            </w: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4580" w:type="dxa"/>
            <w:vAlign w:val="bottom"/>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89"/>
        </w:trPr>
        <w:tc>
          <w:tcPr>
            <w:tcW w:w="4580" w:type="dxa"/>
            <w:vAlign w:val="bottom"/>
          </w:tcPr>
          <w:p>
            <w:pPr>
              <w:spacing w:after="0"/>
              <w:rPr>
                <w:sz w:val="24"/>
                <w:szCs w:val="24"/>
                <w:color w:val="auto"/>
              </w:rPr>
            </w:pPr>
          </w:p>
        </w:tc>
        <w:tc>
          <w:tcPr>
            <w:tcW w:w="1680" w:type="dxa"/>
            <w:vAlign w:val="bottom"/>
          </w:tcPr>
          <w:p>
            <w:pPr>
              <w:jc w:val="right"/>
              <w:ind w:right="292"/>
              <w:spacing w:after="0"/>
              <w:rPr>
                <w:sz w:val="20"/>
                <w:szCs w:val="20"/>
                <w:color w:val="auto"/>
              </w:rPr>
            </w:pPr>
            <w:r>
              <w:rPr>
                <w:rFonts w:ascii="Arial" w:cs="Arial" w:eastAsia="Arial" w:hAnsi="Arial"/>
                <w:sz w:val="18"/>
                <w:szCs w:val="18"/>
                <w:color w:val="auto"/>
              </w:rPr>
              <w:t>F-29</w:t>
            </w: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58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3954145</wp:posOffset>
            </wp:positionH>
            <wp:positionV relativeFrom="paragraph">
              <wp:posOffset>-963930</wp:posOffset>
            </wp:positionV>
            <wp:extent cx="34290" cy="342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5043805</wp:posOffset>
            </wp:positionH>
            <wp:positionV relativeFrom="paragraph">
              <wp:posOffset>-963930</wp:posOffset>
            </wp:positionV>
            <wp:extent cx="34290" cy="342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-963930</wp:posOffset>
            </wp:positionV>
            <wp:extent cx="34290" cy="3429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-963930</wp:posOffset>
            </wp:positionV>
            <wp:extent cx="34290" cy="342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-466725</wp:posOffset>
            </wp:positionV>
            <wp:extent cx="12700" cy="889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-466725</wp:posOffset>
            </wp:positionV>
            <wp:extent cx="12700" cy="88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-466725</wp:posOffset>
            </wp:positionV>
            <wp:extent cx="12700" cy="88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-466725</wp:posOffset>
            </wp:positionV>
            <wp:extent cx="12700" cy="88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-466725</wp:posOffset>
            </wp:positionV>
            <wp:extent cx="12700" cy="88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-466725</wp:posOffset>
            </wp:positionV>
            <wp:extent cx="12700" cy="88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-466725</wp:posOffset>
            </wp:positionV>
            <wp:extent cx="12700" cy="889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-466725</wp:posOffset>
            </wp:positionV>
            <wp:extent cx="12700" cy="88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color w:val="auto"/>
        </w:rPr>
        <w:t>(d) As of December 31, 2003 and 2002, the credit risk classification of the Group’s loan portfolio is as follows: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74"/>
        </w:trPr>
        <w:tc>
          <w:tcPr>
            <w:tcW w:w="1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2003</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2002</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22"/>
        </w:trPr>
        <w:tc>
          <w:tcPr>
            <w:tcW w:w="1800" w:type="dxa"/>
            <w:vAlign w:val="bottom"/>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r>
      <w:tr>
        <w:trPr>
          <w:trHeight w:val="278"/>
        </w:trPr>
        <w:tc>
          <w:tcPr>
            <w:tcW w:w="18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0"/>
              </w:rPr>
              <w:t>Direct</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Indirect</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Direct</w:t>
            </w: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Indirect</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4"/>
        </w:trPr>
        <w:tc>
          <w:tcPr>
            <w:tcW w:w="1800" w:type="dxa"/>
            <w:vAlign w:val="bottom"/>
          </w:tcPr>
          <w:p>
            <w:pPr>
              <w:spacing w:after="0"/>
              <w:rPr>
                <w:sz w:val="20"/>
                <w:szCs w:val="20"/>
                <w:color w:val="auto"/>
              </w:rPr>
            </w:pPr>
            <w:r>
              <w:rPr>
                <w:rFonts w:ascii="Arial" w:cs="Arial" w:eastAsia="Arial" w:hAnsi="Arial"/>
                <w:sz w:val="14"/>
                <w:szCs w:val="14"/>
                <w:b w:val="1"/>
                <w:bCs w:val="1"/>
                <w:color w:val="auto"/>
              </w:rPr>
              <w:t>Risk category</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2"/>
              </w:rPr>
              <w:t>credits</w:t>
            </w: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7"/>
              </w:rPr>
              <w:t>credits</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jc w:val="right"/>
              <w:ind w:right="192"/>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2"/>
              </w:rPr>
              <w:t>credits</w:t>
            </w: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credits</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jc w:val="right"/>
              <w:ind w:right="192"/>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18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6"/>
              </w:rPr>
              <w:t>US$(000)</w:t>
            </w:r>
          </w:p>
        </w:tc>
        <w:tc>
          <w:tcPr>
            <w:tcW w:w="8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0" w:type="dxa"/>
            <w:vAlign w:val="bottom"/>
            <w:gridSpan w:val="3"/>
          </w:tcPr>
          <w:p>
            <w:pPr>
              <w:jc w:val="center"/>
              <w:ind w:right="240"/>
              <w:spacing w:after="0"/>
              <w:rPr>
                <w:sz w:val="20"/>
                <w:szCs w:val="20"/>
                <w:color w:val="auto"/>
              </w:rPr>
            </w:pPr>
            <w:r>
              <w:rPr>
                <w:rFonts w:ascii="Arial" w:cs="Arial" w:eastAsia="Arial" w:hAnsi="Arial"/>
                <w:sz w:val="14"/>
                <w:szCs w:val="14"/>
                <w:color w:val="auto"/>
                <w:w w:val="86"/>
              </w:rPr>
              <w:t>US$(000)</w:t>
            </w:r>
          </w:p>
        </w:tc>
        <w:tc>
          <w:tcPr>
            <w:tcW w:w="560" w:type="dxa"/>
            <w:vAlign w:val="bottom"/>
          </w:tcPr>
          <w:p>
            <w:pPr>
              <w:jc w:val="right"/>
              <w:ind w:right="272"/>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US$(000)</w:t>
            </w: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US$(000)</w:t>
            </w:r>
          </w:p>
        </w:tc>
        <w:tc>
          <w:tcPr>
            <w:tcW w:w="8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0" w:type="dxa"/>
            <w:vAlign w:val="bottom"/>
            <w:gridSpan w:val="3"/>
          </w:tcPr>
          <w:p>
            <w:pPr>
              <w:jc w:val="center"/>
              <w:ind w:right="240"/>
              <w:spacing w:after="0"/>
              <w:rPr>
                <w:sz w:val="20"/>
                <w:szCs w:val="20"/>
                <w:color w:val="auto"/>
              </w:rPr>
            </w:pPr>
            <w:r>
              <w:rPr>
                <w:rFonts w:ascii="Arial" w:cs="Arial" w:eastAsia="Arial" w:hAnsi="Arial"/>
                <w:sz w:val="14"/>
                <w:szCs w:val="14"/>
                <w:color w:val="auto"/>
                <w:w w:val="86"/>
              </w:rPr>
              <w:t>US$(000)</w:t>
            </w:r>
          </w:p>
        </w:tc>
        <w:tc>
          <w:tcPr>
            <w:tcW w:w="560" w:type="dxa"/>
            <w:vAlign w:val="bottom"/>
          </w:tcPr>
          <w:p>
            <w:pPr>
              <w:jc w:val="right"/>
              <w:ind w:right="272"/>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US$(000)</w:t>
            </w:r>
          </w:p>
        </w:tc>
        <w:tc>
          <w:tcPr>
            <w:tcW w:w="8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r>
      <w:tr>
        <w:trPr>
          <w:trHeight w:val="351"/>
        </w:trPr>
        <w:tc>
          <w:tcPr>
            <w:tcW w:w="1800" w:type="dxa"/>
            <w:vAlign w:val="bottom"/>
          </w:tcPr>
          <w:p>
            <w:pPr>
              <w:spacing w:after="0"/>
              <w:rPr>
                <w:sz w:val="20"/>
                <w:szCs w:val="20"/>
                <w:color w:val="auto"/>
              </w:rPr>
            </w:pPr>
            <w:r>
              <w:rPr>
                <w:rFonts w:ascii="Arial" w:cs="Arial" w:eastAsia="Arial" w:hAnsi="Arial"/>
                <w:sz w:val="14"/>
                <w:szCs w:val="14"/>
                <w:color w:val="auto"/>
              </w:rPr>
              <w:t>Normal</w:t>
            </w:r>
          </w:p>
        </w:tc>
        <w:tc>
          <w:tcPr>
            <w:tcW w:w="780" w:type="dxa"/>
            <w:vAlign w:val="bottom"/>
          </w:tcPr>
          <w:p>
            <w:pPr>
              <w:jc w:val="right"/>
              <w:spacing w:after="0"/>
              <w:rPr>
                <w:sz w:val="20"/>
                <w:szCs w:val="20"/>
                <w:color w:val="auto"/>
              </w:rPr>
            </w:pPr>
            <w:r>
              <w:rPr>
                <w:rFonts w:ascii="Arial" w:cs="Arial" w:eastAsia="Arial" w:hAnsi="Arial"/>
                <w:sz w:val="14"/>
                <w:szCs w:val="14"/>
                <w:color w:val="auto"/>
              </w:rPr>
              <w:t>3,480,701</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76.2</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682,732</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87.3</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4,163,433</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77.8</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3,633,983</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74.0</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863,475</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90.2</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4,497,458</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76.7</w:t>
            </w:r>
          </w:p>
        </w:tc>
      </w:tr>
      <w:tr>
        <w:trPr>
          <w:trHeight w:val="176"/>
        </w:trPr>
        <w:tc>
          <w:tcPr>
            <w:tcW w:w="1800" w:type="dxa"/>
            <w:vAlign w:val="bottom"/>
          </w:tcPr>
          <w:p>
            <w:pPr>
              <w:spacing w:after="0"/>
              <w:rPr>
                <w:sz w:val="20"/>
                <w:szCs w:val="20"/>
                <w:color w:val="auto"/>
              </w:rPr>
            </w:pPr>
            <w:r>
              <w:rPr>
                <w:rFonts w:ascii="Arial" w:cs="Arial" w:eastAsia="Arial" w:hAnsi="Arial"/>
                <w:sz w:val="14"/>
                <w:szCs w:val="14"/>
                <w:color w:val="auto"/>
              </w:rPr>
              <w:t>Potential problems</w:t>
            </w:r>
          </w:p>
        </w:tc>
        <w:tc>
          <w:tcPr>
            <w:tcW w:w="780" w:type="dxa"/>
            <w:vAlign w:val="bottom"/>
          </w:tcPr>
          <w:p>
            <w:pPr>
              <w:jc w:val="right"/>
              <w:spacing w:after="0"/>
              <w:rPr>
                <w:sz w:val="20"/>
                <w:szCs w:val="20"/>
                <w:color w:val="auto"/>
              </w:rPr>
            </w:pPr>
            <w:r>
              <w:rPr>
                <w:rFonts w:ascii="Arial" w:cs="Arial" w:eastAsia="Arial" w:hAnsi="Arial"/>
                <w:sz w:val="14"/>
                <w:szCs w:val="14"/>
                <w:color w:val="auto"/>
              </w:rPr>
              <w:t>437,682</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9.6</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67,551</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8.6</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505,233</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9.4</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456,056</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9.3</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66,488</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6.9</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522,544</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8.9</w:t>
            </w:r>
          </w:p>
        </w:tc>
      </w:tr>
      <w:tr>
        <w:trPr>
          <w:trHeight w:val="176"/>
        </w:trPr>
        <w:tc>
          <w:tcPr>
            <w:tcW w:w="1800" w:type="dxa"/>
            <w:vAlign w:val="bottom"/>
          </w:tcPr>
          <w:p>
            <w:pPr>
              <w:spacing w:after="0"/>
              <w:rPr>
                <w:sz w:val="20"/>
                <w:szCs w:val="20"/>
                <w:color w:val="auto"/>
              </w:rPr>
            </w:pPr>
            <w:r>
              <w:rPr>
                <w:rFonts w:ascii="Arial" w:cs="Arial" w:eastAsia="Arial" w:hAnsi="Arial"/>
                <w:sz w:val="14"/>
                <w:szCs w:val="14"/>
                <w:color w:val="auto"/>
              </w:rPr>
              <w:t>Substandard</w:t>
            </w:r>
          </w:p>
        </w:tc>
        <w:tc>
          <w:tcPr>
            <w:tcW w:w="780" w:type="dxa"/>
            <w:vAlign w:val="bottom"/>
          </w:tcPr>
          <w:p>
            <w:pPr>
              <w:jc w:val="right"/>
              <w:spacing w:after="0"/>
              <w:rPr>
                <w:sz w:val="20"/>
                <w:szCs w:val="20"/>
                <w:color w:val="auto"/>
              </w:rPr>
            </w:pPr>
            <w:r>
              <w:rPr>
                <w:rFonts w:ascii="Arial" w:cs="Arial" w:eastAsia="Arial" w:hAnsi="Arial"/>
                <w:sz w:val="14"/>
                <w:szCs w:val="14"/>
                <w:color w:val="auto"/>
              </w:rPr>
              <w:t>240,316</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5.3</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25,266</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3.2</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265,582</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5.0</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334,423</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6.8</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18,895</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2.0</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353,318</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6.0</w:t>
            </w:r>
          </w:p>
        </w:tc>
      </w:tr>
      <w:tr>
        <w:trPr>
          <w:trHeight w:val="176"/>
        </w:trPr>
        <w:tc>
          <w:tcPr>
            <w:tcW w:w="1800" w:type="dxa"/>
            <w:vAlign w:val="bottom"/>
          </w:tcPr>
          <w:p>
            <w:pPr>
              <w:spacing w:after="0"/>
              <w:rPr>
                <w:sz w:val="20"/>
                <w:szCs w:val="20"/>
                <w:color w:val="auto"/>
              </w:rPr>
            </w:pPr>
            <w:r>
              <w:rPr>
                <w:rFonts w:ascii="Arial" w:cs="Arial" w:eastAsia="Arial" w:hAnsi="Arial"/>
                <w:sz w:val="14"/>
                <w:szCs w:val="14"/>
                <w:color w:val="auto"/>
              </w:rPr>
              <w:t>Doubtful</w:t>
            </w:r>
          </w:p>
        </w:tc>
        <w:tc>
          <w:tcPr>
            <w:tcW w:w="780" w:type="dxa"/>
            <w:vAlign w:val="bottom"/>
          </w:tcPr>
          <w:p>
            <w:pPr>
              <w:jc w:val="right"/>
              <w:spacing w:after="0"/>
              <w:rPr>
                <w:sz w:val="20"/>
                <w:szCs w:val="20"/>
                <w:color w:val="auto"/>
              </w:rPr>
            </w:pPr>
            <w:r>
              <w:rPr>
                <w:rFonts w:ascii="Arial" w:cs="Arial" w:eastAsia="Arial" w:hAnsi="Arial"/>
                <w:sz w:val="14"/>
                <w:szCs w:val="14"/>
                <w:color w:val="auto"/>
              </w:rPr>
              <w:t>266,723</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5.8</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4,928</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0.6</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271,651</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5.1</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239,101</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4.9</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6,324</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0.7</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245,425</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4.2</w:t>
            </w:r>
          </w:p>
        </w:tc>
      </w:tr>
      <w:tr>
        <w:trPr>
          <w:trHeight w:val="176"/>
        </w:trPr>
        <w:tc>
          <w:tcPr>
            <w:tcW w:w="1800" w:type="dxa"/>
            <w:vAlign w:val="bottom"/>
          </w:tcPr>
          <w:p>
            <w:pPr>
              <w:spacing w:after="0"/>
              <w:rPr>
                <w:sz w:val="20"/>
                <w:szCs w:val="20"/>
                <w:color w:val="auto"/>
              </w:rPr>
            </w:pPr>
            <w:r>
              <w:rPr>
                <w:rFonts w:ascii="Arial" w:cs="Arial" w:eastAsia="Arial" w:hAnsi="Arial"/>
                <w:sz w:val="14"/>
                <w:szCs w:val="14"/>
                <w:color w:val="auto"/>
              </w:rPr>
              <w:t>Loss</w:t>
            </w:r>
          </w:p>
        </w:tc>
        <w:tc>
          <w:tcPr>
            <w:tcW w:w="780" w:type="dxa"/>
            <w:vAlign w:val="bottom"/>
          </w:tcPr>
          <w:p>
            <w:pPr>
              <w:jc w:val="right"/>
              <w:spacing w:after="0"/>
              <w:rPr>
                <w:sz w:val="20"/>
                <w:szCs w:val="20"/>
                <w:color w:val="auto"/>
              </w:rPr>
            </w:pPr>
            <w:r>
              <w:rPr>
                <w:rFonts w:ascii="Arial" w:cs="Arial" w:eastAsia="Arial" w:hAnsi="Arial"/>
                <w:sz w:val="14"/>
                <w:szCs w:val="14"/>
                <w:color w:val="auto"/>
              </w:rPr>
              <w:t>142,942</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3.1</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2,409</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0.3</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145,351</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2.7</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244,931</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5.0</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1,748</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0.2</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246,679</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4.2</w:t>
            </w:r>
          </w:p>
        </w:tc>
      </w:tr>
      <w:tr>
        <w:trPr>
          <w:trHeight w:val="122"/>
        </w:trPr>
        <w:tc>
          <w:tcPr>
            <w:tcW w:w="1800" w:type="dxa"/>
            <w:vAlign w:val="bottom"/>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r>
      <w:tr>
        <w:trPr>
          <w:trHeight w:val="479"/>
        </w:trPr>
        <w:tc>
          <w:tcPr>
            <w:tcW w:w="18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4,568,364</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100.0</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782,886</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100.0</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5,351,250</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w w:val="79"/>
              </w:rPr>
              <w:t>100.0</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4,908,494</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100.0</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956,930</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100.0</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5,865,424</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100.0</w:t>
            </w:r>
          </w:p>
        </w:tc>
      </w:tr>
      <w:tr>
        <w:trPr>
          <w:trHeight w:val="132"/>
        </w:trPr>
        <w:tc>
          <w:tcPr>
            <w:tcW w:w="180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4177665</wp:posOffset>
            </wp:positionH>
            <wp:positionV relativeFrom="paragraph">
              <wp:posOffset>-1583690</wp:posOffset>
            </wp:positionV>
            <wp:extent cx="34290" cy="342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-1583690</wp:posOffset>
            </wp:positionV>
            <wp:extent cx="34290" cy="3429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1638935</wp:posOffset>
            </wp:positionH>
            <wp:positionV relativeFrom="paragraph">
              <wp:posOffset>-425450</wp:posOffset>
            </wp:positionV>
            <wp:extent cx="34290" cy="342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-425450</wp:posOffset>
            </wp:positionV>
            <wp:extent cx="34290" cy="3429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2659380</wp:posOffset>
            </wp:positionH>
            <wp:positionV relativeFrom="paragraph">
              <wp:posOffset>-425450</wp:posOffset>
            </wp:positionV>
            <wp:extent cx="34290" cy="342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3165475</wp:posOffset>
            </wp:positionH>
            <wp:positionV relativeFrom="paragraph">
              <wp:posOffset>-425450</wp:posOffset>
            </wp:positionV>
            <wp:extent cx="34290" cy="3429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3671570</wp:posOffset>
            </wp:positionH>
            <wp:positionV relativeFrom="paragraph">
              <wp:posOffset>-425450</wp:posOffset>
            </wp:positionV>
            <wp:extent cx="34290" cy="3429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4177665</wp:posOffset>
            </wp:positionH>
            <wp:positionV relativeFrom="paragraph">
              <wp:posOffset>-425450</wp:posOffset>
            </wp:positionV>
            <wp:extent cx="34290" cy="342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4683125</wp:posOffset>
            </wp:positionH>
            <wp:positionV relativeFrom="paragraph">
              <wp:posOffset>-425450</wp:posOffset>
            </wp:positionV>
            <wp:extent cx="34290" cy="3429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-425450</wp:posOffset>
            </wp:positionV>
            <wp:extent cx="34290" cy="342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5695315</wp:posOffset>
            </wp:positionH>
            <wp:positionV relativeFrom="paragraph">
              <wp:posOffset>-425450</wp:posOffset>
            </wp:positionV>
            <wp:extent cx="34290" cy="3429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6201410</wp:posOffset>
            </wp:positionH>
            <wp:positionV relativeFrom="paragraph">
              <wp:posOffset>-425450</wp:posOffset>
            </wp:positionV>
            <wp:extent cx="34290" cy="3429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6707505</wp:posOffset>
            </wp:positionH>
            <wp:positionV relativeFrom="paragraph">
              <wp:posOffset>-425450</wp:posOffset>
            </wp:positionV>
            <wp:extent cx="34290" cy="342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-425450</wp:posOffset>
            </wp:positionV>
            <wp:extent cx="34290" cy="3429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1649730</wp:posOffset>
            </wp:positionH>
            <wp:positionV relativeFrom="paragraph">
              <wp:posOffset>-14605</wp:posOffset>
            </wp:positionV>
            <wp:extent cx="12700" cy="88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1160780</wp:posOffset>
            </wp:positionH>
            <wp:positionV relativeFrom="paragraph">
              <wp:posOffset>-14605</wp:posOffset>
            </wp:positionV>
            <wp:extent cx="12700" cy="889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2164080</wp:posOffset>
            </wp:positionH>
            <wp:positionV relativeFrom="paragraph">
              <wp:posOffset>-14605</wp:posOffset>
            </wp:positionV>
            <wp:extent cx="12700" cy="889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-14605</wp:posOffset>
            </wp:positionV>
            <wp:extent cx="12700" cy="88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2670175</wp:posOffset>
            </wp:positionH>
            <wp:positionV relativeFrom="paragraph">
              <wp:posOffset>-14605</wp:posOffset>
            </wp:positionV>
            <wp:extent cx="12700" cy="88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-14605</wp:posOffset>
            </wp:positionV>
            <wp:extent cx="12700" cy="889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-14605</wp:posOffset>
            </wp:positionV>
            <wp:extent cx="12700" cy="889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-14605</wp:posOffset>
            </wp:positionV>
            <wp:extent cx="12700" cy="889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-14605</wp:posOffset>
            </wp:positionV>
            <wp:extent cx="12700" cy="88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-14605</wp:posOffset>
            </wp:positionV>
            <wp:extent cx="12700" cy="889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-14605</wp:posOffset>
            </wp:positionV>
            <wp:extent cx="12700" cy="889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-14605</wp:posOffset>
            </wp:positionV>
            <wp:extent cx="12700" cy="889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-14605</wp:posOffset>
            </wp:positionV>
            <wp:extent cx="12700" cy="889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-14605</wp:posOffset>
            </wp:positionV>
            <wp:extent cx="12700" cy="889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-14605</wp:posOffset>
            </wp:positionV>
            <wp:extent cx="12700" cy="889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-14605</wp:posOffset>
            </wp:positionV>
            <wp:extent cx="12700" cy="889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-14605</wp:posOffset>
            </wp:positionV>
            <wp:extent cx="12700" cy="889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-14605</wp:posOffset>
            </wp:positionV>
            <wp:extent cx="12700" cy="889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-14605</wp:posOffset>
            </wp:positionV>
            <wp:extent cx="12700" cy="889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-14605</wp:posOffset>
            </wp:positionV>
            <wp:extent cx="12700" cy="889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-14605</wp:posOffset>
            </wp:positionV>
            <wp:extent cx="12700" cy="889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-14605</wp:posOffset>
            </wp:positionV>
            <wp:extent cx="12700" cy="889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-14605</wp:posOffset>
            </wp:positionV>
            <wp:extent cx="12700" cy="889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-14605</wp:posOffset>
            </wp:positionV>
            <wp:extent cx="12700" cy="889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59320" cy="3429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ectPr>
          <w:pgSz w:w="11900" w:h="16838" w:orient="portrait"/>
          <w:cols w:equalWidth="0" w:num="1">
            <w:col w:w="11400"/>
          </w:cols>
          <w:pgMar w:left="240" w:top="347" w:right="259" w:bottom="1440" w:gutter="0" w:footer="0" w:header="0"/>
        </w:sectPr>
      </w:pPr>
    </w:p>
    <w:bookmarkStart w:id="158" w:name="page159"/>
    <w:bookmarkEnd w:id="158"/>
    <w:p>
      <w:pPr>
        <w:spacing w:after="0"/>
        <w:rPr>
          <w:sz w:val="20"/>
          <w:szCs w:val="20"/>
          <w:color w:val="auto"/>
        </w:rPr>
      </w:pPr>
      <w:r>
        <w:rPr>
          <w:rFonts w:ascii="Arial" w:cs="Arial" w:eastAsia="Arial" w:hAnsi="Arial"/>
          <w:sz w:val="16"/>
          <w:szCs w:val="16"/>
          <w:color w:val="auto"/>
        </w:rPr>
        <w:t>(e) As of December 31 2003 and 2002, the Group’s structure of its direct loan portfolio by the country in which its clients are located was as follows:</w:t>
      </w: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7940" w:type="dxa"/>
            <w:vAlign w:val="bottom"/>
          </w:tcPr>
          <w:p>
            <w:pPr>
              <w:spacing w:after="0"/>
              <w:rPr>
                <w:sz w:val="19"/>
                <w:szCs w:val="19"/>
                <w:color w:val="auto"/>
              </w:rPr>
            </w:pPr>
          </w:p>
        </w:tc>
        <w:tc>
          <w:tcPr>
            <w:tcW w:w="1700" w:type="dxa"/>
            <w:vAlign w:val="bottom"/>
          </w:tcPr>
          <w:p>
            <w:pPr>
              <w:jc w:val="right"/>
              <w:ind w:right="612"/>
              <w:spacing w:after="0"/>
              <w:rPr>
                <w:sz w:val="20"/>
                <w:szCs w:val="20"/>
                <w:color w:val="auto"/>
              </w:rPr>
            </w:pPr>
            <w:r>
              <w:rPr>
                <w:rFonts w:ascii="Arial" w:cs="Arial" w:eastAsia="Arial" w:hAnsi="Arial"/>
                <w:sz w:val="18"/>
                <w:szCs w:val="18"/>
                <w:b w:val="1"/>
                <w:bCs w:val="1"/>
                <w:color w:val="auto"/>
              </w:rPr>
              <w:t>2003</w:t>
            </w:r>
          </w:p>
        </w:tc>
        <w:tc>
          <w:tcPr>
            <w:tcW w:w="1720" w:type="dxa"/>
            <w:vAlign w:val="bottom"/>
            <w:gridSpan w:val="2"/>
          </w:tcPr>
          <w:p>
            <w:pPr>
              <w:jc w:val="right"/>
              <w:ind w:right="612"/>
              <w:spacing w:after="0"/>
              <w:rPr>
                <w:sz w:val="20"/>
                <w:szCs w:val="20"/>
                <w:color w:val="auto"/>
              </w:rPr>
            </w:pPr>
            <w:r>
              <w:rPr>
                <w:rFonts w:ascii="Arial" w:cs="Arial" w:eastAsia="Arial" w:hAnsi="Arial"/>
                <w:sz w:val="18"/>
                <w:szCs w:val="18"/>
                <w:b w:val="1"/>
                <w:bCs w:val="1"/>
                <w:color w:val="auto"/>
              </w:rPr>
              <w:t>2002</w:t>
            </w:r>
          </w:p>
        </w:tc>
        <w:tc>
          <w:tcPr>
            <w:tcW w:w="0" w:type="dxa"/>
            <w:vAlign w:val="bottom"/>
          </w:tcPr>
          <w:p>
            <w:pPr>
              <w:spacing w:after="0"/>
              <w:rPr>
                <w:sz w:val="1"/>
                <w:szCs w:val="1"/>
                <w:color w:val="auto"/>
              </w:rPr>
            </w:pPr>
          </w:p>
        </w:tc>
      </w:tr>
      <w:tr>
        <w:trPr>
          <w:trHeight w:val="243"/>
        </w:trPr>
        <w:tc>
          <w:tcPr>
            <w:tcW w:w="7940" w:type="dxa"/>
            <w:vAlign w:val="bottom"/>
          </w:tcPr>
          <w:p>
            <w:pPr>
              <w:spacing w:after="0"/>
              <w:rPr>
                <w:sz w:val="21"/>
                <w:szCs w:val="21"/>
                <w:color w:val="auto"/>
              </w:rPr>
            </w:pPr>
          </w:p>
        </w:tc>
        <w:tc>
          <w:tcPr>
            <w:tcW w:w="1700" w:type="dxa"/>
            <w:vAlign w:val="bottom"/>
          </w:tcPr>
          <w:p>
            <w:pPr>
              <w:jc w:val="right"/>
              <w:ind w:right="412"/>
              <w:spacing w:after="0"/>
              <w:rPr>
                <w:sz w:val="20"/>
                <w:szCs w:val="20"/>
                <w:color w:val="auto"/>
              </w:rPr>
            </w:pPr>
            <w:r>
              <w:rPr>
                <w:rFonts w:ascii="Arial" w:cs="Arial" w:eastAsia="Arial" w:hAnsi="Arial"/>
                <w:sz w:val="18"/>
                <w:szCs w:val="18"/>
                <w:color w:val="auto"/>
              </w:rPr>
              <w:t>US$(000)</w:t>
            </w:r>
          </w:p>
        </w:tc>
        <w:tc>
          <w:tcPr>
            <w:tcW w:w="20" w:type="dxa"/>
            <w:vAlign w:val="bottom"/>
          </w:tcPr>
          <w:p>
            <w:pPr>
              <w:spacing w:after="0"/>
              <w:rPr>
                <w:sz w:val="21"/>
                <w:szCs w:val="21"/>
                <w:color w:val="auto"/>
              </w:rPr>
            </w:pPr>
          </w:p>
        </w:tc>
        <w:tc>
          <w:tcPr>
            <w:tcW w:w="1700" w:type="dxa"/>
            <w:vAlign w:val="bottom"/>
          </w:tcPr>
          <w:p>
            <w:pPr>
              <w:jc w:val="right"/>
              <w:ind w:right="412"/>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486"/>
        </w:trPr>
        <w:tc>
          <w:tcPr>
            <w:tcW w:w="7940" w:type="dxa"/>
            <w:vAlign w:val="bottom"/>
          </w:tcPr>
          <w:p>
            <w:pPr>
              <w:spacing w:after="0"/>
              <w:rPr>
                <w:sz w:val="20"/>
                <w:szCs w:val="20"/>
                <w:color w:val="auto"/>
              </w:rPr>
            </w:pPr>
            <w:r>
              <w:rPr>
                <w:rFonts w:ascii="Arial" w:cs="Arial" w:eastAsia="Arial" w:hAnsi="Arial"/>
                <w:sz w:val="18"/>
                <w:szCs w:val="18"/>
                <w:b w:val="1"/>
                <w:bCs w:val="1"/>
                <w:color w:val="auto"/>
              </w:rPr>
              <w:t>Country</w:t>
            </w: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940" w:type="dxa"/>
            <w:vAlign w:val="bottom"/>
          </w:tcPr>
          <w:p>
            <w:pPr>
              <w:spacing w:after="0"/>
              <w:rPr>
                <w:sz w:val="20"/>
                <w:szCs w:val="20"/>
                <w:color w:val="auto"/>
              </w:rPr>
            </w:pPr>
            <w:r>
              <w:rPr>
                <w:rFonts w:ascii="Arial" w:cs="Arial" w:eastAsia="Arial" w:hAnsi="Arial"/>
                <w:sz w:val="18"/>
                <w:szCs w:val="18"/>
                <w:color w:val="auto"/>
              </w:rPr>
              <w:t>Peru</w:t>
            </w:r>
          </w:p>
        </w:tc>
        <w:tc>
          <w:tcPr>
            <w:tcW w:w="1700" w:type="dxa"/>
            <w:vAlign w:val="bottom"/>
          </w:tcPr>
          <w:p>
            <w:pPr>
              <w:jc w:val="right"/>
              <w:spacing w:after="0"/>
              <w:rPr>
                <w:sz w:val="20"/>
                <w:szCs w:val="20"/>
                <w:color w:val="auto"/>
              </w:rPr>
            </w:pPr>
            <w:r>
              <w:rPr>
                <w:rFonts w:ascii="Arial" w:cs="Arial" w:eastAsia="Arial" w:hAnsi="Arial"/>
                <w:sz w:val="18"/>
                <w:szCs w:val="18"/>
                <w:color w:val="auto"/>
              </w:rPr>
              <w:t>3,937,093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4,293,097</w:t>
            </w:r>
          </w:p>
        </w:tc>
        <w:tc>
          <w:tcPr>
            <w:tcW w:w="0" w:type="dxa"/>
            <w:vAlign w:val="bottom"/>
          </w:tcPr>
          <w:p>
            <w:pPr>
              <w:spacing w:after="0"/>
              <w:rPr>
                <w:sz w:val="1"/>
                <w:szCs w:val="1"/>
                <w:color w:val="auto"/>
              </w:rPr>
            </w:pPr>
          </w:p>
        </w:tc>
      </w:tr>
      <w:tr>
        <w:trPr>
          <w:trHeight w:val="243"/>
        </w:trPr>
        <w:tc>
          <w:tcPr>
            <w:tcW w:w="7940" w:type="dxa"/>
            <w:vAlign w:val="bottom"/>
          </w:tcPr>
          <w:p>
            <w:pPr>
              <w:spacing w:after="0"/>
              <w:rPr>
                <w:sz w:val="20"/>
                <w:szCs w:val="20"/>
                <w:color w:val="auto"/>
              </w:rPr>
            </w:pPr>
            <w:r>
              <w:rPr>
                <w:rFonts w:ascii="Arial" w:cs="Arial" w:eastAsia="Arial" w:hAnsi="Arial"/>
                <w:sz w:val="18"/>
                <w:szCs w:val="18"/>
                <w:color w:val="auto"/>
              </w:rPr>
              <w:t>Bolivia</w:t>
            </w:r>
          </w:p>
        </w:tc>
        <w:tc>
          <w:tcPr>
            <w:tcW w:w="1700" w:type="dxa"/>
            <w:vAlign w:val="bottom"/>
          </w:tcPr>
          <w:p>
            <w:pPr>
              <w:jc w:val="right"/>
              <w:spacing w:after="0"/>
              <w:rPr>
                <w:sz w:val="20"/>
                <w:szCs w:val="20"/>
                <w:color w:val="auto"/>
              </w:rPr>
            </w:pPr>
            <w:r>
              <w:rPr>
                <w:rFonts w:ascii="Arial" w:cs="Arial" w:eastAsia="Arial" w:hAnsi="Arial"/>
                <w:sz w:val="18"/>
                <w:szCs w:val="18"/>
                <w:color w:val="auto"/>
              </w:rPr>
              <w:t>340,382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313,968</w:t>
            </w:r>
          </w:p>
        </w:tc>
        <w:tc>
          <w:tcPr>
            <w:tcW w:w="0" w:type="dxa"/>
            <w:vAlign w:val="bottom"/>
          </w:tcPr>
          <w:p>
            <w:pPr>
              <w:spacing w:after="0"/>
              <w:rPr>
                <w:sz w:val="1"/>
                <w:szCs w:val="1"/>
                <w:color w:val="auto"/>
              </w:rPr>
            </w:pPr>
          </w:p>
        </w:tc>
      </w:tr>
      <w:tr>
        <w:trPr>
          <w:trHeight w:val="243"/>
        </w:trPr>
        <w:tc>
          <w:tcPr>
            <w:tcW w:w="7940" w:type="dxa"/>
            <w:vAlign w:val="bottom"/>
          </w:tcPr>
          <w:p>
            <w:pPr>
              <w:spacing w:after="0"/>
              <w:rPr>
                <w:sz w:val="20"/>
                <w:szCs w:val="20"/>
                <w:color w:val="auto"/>
              </w:rPr>
            </w:pPr>
            <w:r>
              <w:rPr>
                <w:rFonts w:ascii="Arial" w:cs="Arial" w:eastAsia="Arial" w:hAnsi="Arial"/>
                <w:sz w:val="18"/>
                <w:szCs w:val="18"/>
                <w:color w:val="auto"/>
              </w:rPr>
              <w:t>Colombia</w:t>
            </w:r>
          </w:p>
        </w:tc>
        <w:tc>
          <w:tcPr>
            <w:tcW w:w="1700" w:type="dxa"/>
            <w:vAlign w:val="bottom"/>
          </w:tcPr>
          <w:p>
            <w:pPr>
              <w:jc w:val="right"/>
              <w:spacing w:after="0"/>
              <w:rPr>
                <w:sz w:val="20"/>
                <w:szCs w:val="20"/>
                <w:color w:val="auto"/>
              </w:rPr>
            </w:pPr>
            <w:r>
              <w:rPr>
                <w:rFonts w:ascii="Arial" w:cs="Arial" w:eastAsia="Arial" w:hAnsi="Arial"/>
                <w:sz w:val="18"/>
                <w:szCs w:val="18"/>
                <w:color w:val="auto"/>
              </w:rPr>
              <w:t>222,085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224,258</w:t>
            </w:r>
          </w:p>
        </w:tc>
        <w:tc>
          <w:tcPr>
            <w:tcW w:w="0" w:type="dxa"/>
            <w:vAlign w:val="bottom"/>
          </w:tcPr>
          <w:p>
            <w:pPr>
              <w:spacing w:after="0"/>
              <w:rPr>
                <w:sz w:val="1"/>
                <w:szCs w:val="1"/>
                <w:color w:val="auto"/>
              </w:rPr>
            </w:pPr>
          </w:p>
        </w:tc>
      </w:tr>
      <w:tr>
        <w:trPr>
          <w:trHeight w:val="243"/>
        </w:trPr>
        <w:tc>
          <w:tcPr>
            <w:tcW w:w="7940" w:type="dxa"/>
            <w:vAlign w:val="bottom"/>
          </w:tcPr>
          <w:p>
            <w:pPr>
              <w:spacing w:after="0"/>
              <w:rPr>
                <w:sz w:val="20"/>
                <w:szCs w:val="20"/>
                <w:color w:val="auto"/>
              </w:rPr>
            </w:pPr>
            <w:r>
              <w:rPr>
                <w:rFonts w:ascii="Arial" w:cs="Arial" w:eastAsia="Arial" w:hAnsi="Arial"/>
                <w:sz w:val="18"/>
                <w:szCs w:val="18"/>
                <w:color w:val="auto"/>
              </w:rPr>
              <w:t>Other</w:t>
            </w:r>
          </w:p>
        </w:tc>
        <w:tc>
          <w:tcPr>
            <w:tcW w:w="1700" w:type="dxa"/>
            <w:vAlign w:val="bottom"/>
          </w:tcPr>
          <w:p>
            <w:pPr>
              <w:jc w:val="right"/>
              <w:spacing w:after="0"/>
              <w:rPr>
                <w:sz w:val="20"/>
                <w:szCs w:val="20"/>
                <w:color w:val="auto"/>
              </w:rPr>
            </w:pPr>
            <w:r>
              <w:rPr>
                <w:rFonts w:ascii="Arial" w:cs="Arial" w:eastAsia="Arial" w:hAnsi="Arial"/>
                <w:sz w:val="18"/>
                <w:szCs w:val="18"/>
                <w:color w:val="auto"/>
              </w:rPr>
              <w:t>68,804</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77,171</w:t>
            </w:r>
          </w:p>
        </w:tc>
        <w:tc>
          <w:tcPr>
            <w:tcW w:w="0" w:type="dxa"/>
            <w:vAlign w:val="bottom"/>
          </w:tcPr>
          <w:p>
            <w:pPr>
              <w:spacing w:after="0"/>
              <w:rPr>
                <w:sz w:val="1"/>
                <w:szCs w:val="1"/>
                <w:color w:val="auto"/>
              </w:rPr>
            </w:pPr>
          </w:p>
        </w:tc>
      </w:tr>
      <w:tr>
        <w:trPr>
          <w:trHeight w:val="137"/>
        </w:trPr>
        <w:tc>
          <w:tcPr>
            <w:tcW w:w="794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599"/>
        </w:trPr>
        <w:tc>
          <w:tcPr>
            <w:tcW w:w="7940" w:type="dxa"/>
            <w:vAlign w:val="bottom"/>
            <w:vMerge w:val="continue"/>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4,568,364</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4,908,494</w:t>
            </w:r>
          </w:p>
        </w:tc>
        <w:tc>
          <w:tcPr>
            <w:tcW w:w="0" w:type="dxa"/>
            <w:vAlign w:val="bottom"/>
          </w:tcPr>
          <w:p>
            <w:pPr>
              <w:spacing w:after="0"/>
              <w:rPr>
                <w:sz w:val="1"/>
                <w:szCs w:val="1"/>
                <w:color w:val="auto"/>
              </w:rPr>
            </w:pPr>
          </w:p>
        </w:tc>
      </w:tr>
      <w:tr>
        <w:trPr>
          <w:trHeight w:val="147"/>
        </w:trPr>
        <w:tc>
          <w:tcPr>
            <w:tcW w:w="794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6123940</wp:posOffset>
            </wp:positionH>
            <wp:positionV relativeFrom="paragraph">
              <wp:posOffset>-511810</wp:posOffset>
            </wp:positionV>
            <wp:extent cx="34290" cy="3429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-511810</wp:posOffset>
            </wp:positionV>
            <wp:extent cx="34290" cy="3429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-14605</wp:posOffset>
            </wp:positionV>
            <wp:extent cx="12700" cy="889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-14605</wp:posOffset>
            </wp:positionV>
            <wp:extent cx="12700" cy="889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-14605</wp:posOffset>
            </wp:positionV>
            <wp:extent cx="12700" cy="889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-14605</wp:posOffset>
            </wp:positionV>
            <wp:extent cx="12700" cy="889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(f) The movement in the allowance for credit losses (direct and indirect loans) is shown below:</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6240" w:type="dxa"/>
            <w:vAlign w:val="bottom"/>
          </w:tcPr>
          <w:p>
            <w:pPr>
              <w:spacing w:after="0"/>
              <w:rPr>
                <w:sz w:val="19"/>
                <w:szCs w:val="19"/>
                <w:color w:val="auto"/>
              </w:rPr>
            </w:pPr>
          </w:p>
        </w:tc>
        <w:tc>
          <w:tcPr>
            <w:tcW w:w="1680" w:type="dxa"/>
            <w:vAlign w:val="bottom"/>
          </w:tcPr>
          <w:p>
            <w:pPr>
              <w:jc w:val="right"/>
              <w:ind w:right="592"/>
              <w:spacing w:after="0"/>
              <w:rPr>
                <w:sz w:val="20"/>
                <w:szCs w:val="20"/>
                <w:color w:val="auto"/>
              </w:rPr>
            </w:pPr>
            <w:r>
              <w:rPr>
                <w:rFonts w:ascii="Arial" w:cs="Arial" w:eastAsia="Arial" w:hAnsi="Arial"/>
                <w:sz w:val="18"/>
                <w:szCs w:val="18"/>
                <w:b w:val="1"/>
                <w:bCs w:val="1"/>
                <w:color w:val="auto"/>
              </w:rPr>
              <w:t>2003</w:t>
            </w:r>
          </w:p>
        </w:tc>
        <w:tc>
          <w:tcPr>
            <w:tcW w:w="1720" w:type="dxa"/>
            <w:vAlign w:val="bottom"/>
            <w:gridSpan w:val="2"/>
          </w:tcPr>
          <w:p>
            <w:pPr>
              <w:jc w:val="right"/>
              <w:ind w:right="612"/>
              <w:spacing w:after="0"/>
              <w:rPr>
                <w:sz w:val="20"/>
                <w:szCs w:val="20"/>
                <w:color w:val="auto"/>
              </w:rPr>
            </w:pPr>
            <w:r>
              <w:rPr>
                <w:rFonts w:ascii="Arial" w:cs="Arial" w:eastAsia="Arial" w:hAnsi="Arial"/>
                <w:sz w:val="18"/>
                <w:szCs w:val="18"/>
                <w:b w:val="1"/>
                <w:bCs w:val="1"/>
                <w:color w:val="auto"/>
              </w:rPr>
              <w:t>2002</w:t>
            </w:r>
          </w:p>
        </w:tc>
        <w:tc>
          <w:tcPr>
            <w:tcW w:w="20" w:type="dxa"/>
            <w:vAlign w:val="bottom"/>
          </w:tcPr>
          <w:p>
            <w:pPr>
              <w:spacing w:after="0"/>
              <w:rPr>
                <w:sz w:val="19"/>
                <w:szCs w:val="19"/>
                <w:color w:val="auto"/>
              </w:rPr>
            </w:pPr>
          </w:p>
        </w:tc>
        <w:tc>
          <w:tcPr>
            <w:tcW w:w="1700" w:type="dxa"/>
            <w:vAlign w:val="bottom"/>
          </w:tcPr>
          <w:p>
            <w:pPr>
              <w:jc w:val="right"/>
              <w:ind w:right="612"/>
              <w:spacing w:after="0"/>
              <w:rPr>
                <w:sz w:val="20"/>
                <w:szCs w:val="20"/>
                <w:color w:val="auto"/>
              </w:rPr>
            </w:pPr>
            <w:r>
              <w:rPr>
                <w:rFonts w:ascii="Arial" w:cs="Arial" w:eastAsia="Arial" w:hAnsi="Arial"/>
                <w:sz w:val="18"/>
                <w:szCs w:val="18"/>
                <w:b w:val="1"/>
                <w:bCs w:val="1"/>
                <w:color w:val="auto"/>
              </w:rPr>
              <w:t>2001</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1"/>
                <w:szCs w:val="21"/>
                <w:color w:val="auto"/>
              </w:rPr>
            </w:pPr>
          </w:p>
        </w:tc>
        <w:tc>
          <w:tcPr>
            <w:tcW w:w="1680" w:type="dxa"/>
            <w:vAlign w:val="bottom"/>
          </w:tcPr>
          <w:p>
            <w:pPr>
              <w:jc w:val="right"/>
              <w:ind w:right="412"/>
              <w:spacing w:after="0"/>
              <w:rPr>
                <w:sz w:val="20"/>
                <w:szCs w:val="20"/>
                <w:color w:val="auto"/>
              </w:rPr>
            </w:pPr>
            <w:r>
              <w:rPr>
                <w:rFonts w:ascii="Arial" w:cs="Arial" w:eastAsia="Arial" w:hAnsi="Arial"/>
                <w:sz w:val="18"/>
                <w:szCs w:val="18"/>
                <w:color w:val="auto"/>
              </w:rPr>
              <w:t>US$(000)</w:t>
            </w:r>
          </w:p>
        </w:tc>
        <w:tc>
          <w:tcPr>
            <w:tcW w:w="20" w:type="dxa"/>
            <w:vAlign w:val="bottom"/>
          </w:tcPr>
          <w:p>
            <w:pPr>
              <w:spacing w:after="0"/>
              <w:rPr>
                <w:sz w:val="21"/>
                <w:szCs w:val="21"/>
                <w:color w:val="auto"/>
              </w:rPr>
            </w:pPr>
          </w:p>
        </w:tc>
        <w:tc>
          <w:tcPr>
            <w:tcW w:w="1720" w:type="dxa"/>
            <w:vAlign w:val="bottom"/>
            <w:gridSpan w:val="2"/>
          </w:tcPr>
          <w:p>
            <w:pPr>
              <w:ind w:left="500"/>
              <w:spacing w:after="0"/>
              <w:rPr>
                <w:sz w:val="20"/>
                <w:szCs w:val="20"/>
                <w:color w:val="auto"/>
              </w:rPr>
            </w:pPr>
            <w:r>
              <w:rPr>
                <w:rFonts w:ascii="Arial" w:cs="Arial" w:eastAsia="Arial" w:hAnsi="Arial"/>
                <w:sz w:val="18"/>
                <w:szCs w:val="18"/>
                <w:color w:val="auto"/>
              </w:rPr>
              <w:t>US$(000)</w:t>
            </w:r>
          </w:p>
        </w:tc>
        <w:tc>
          <w:tcPr>
            <w:tcW w:w="1700" w:type="dxa"/>
            <w:vAlign w:val="bottom"/>
          </w:tcPr>
          <w:p>
            <w:pPr>
              <w:jc w:val="right"/>
              <w:ind w:right="412"/>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486"/>
        </w:trPr>
        <w:tc>
          <w:tcPr>
            <w:tcW w:w="6240" w:type="dxa"/>
            <w:vAlign w:val="bottom"/>
          </w:tcPr>
          <w:p>
            <w:pPr>
              <w:spacing w:after="0"/>
              <w:rPr>
                <w:sz w:val="20"/>
                <w:szCs w:val="20"/>
                <w:color w:val="auto"/>
              </w:rPr>
            </w:pPr>
            <w:r>
              <w:rPr>
                <w:rFonts w:ascii="Arial" w:cs="Arial" w:eastAsia="Arial" w:hAnsi="Arial"/>
                <w:sz w:val="18"/>
                <w:szCs w:val="18"/>
                <w:b w:val="1"/>
                <w:bCs w:val="1"/>
                <w:color w:val="auto"/>
              </w:rPr>
              <w:t>Balances at January 1</w:t>
            </w:r>
          </w:p>
        </w:tc>
        <w:tc>
          <w:tcPr>
            <w:tcW w:w="1680" w:type="dxa"/>
            <w:vAlign w:val="bottom"/>
          </w:tcPr>
          <w:p>
            <w:pPr>
              <w:jc w:val="right"/>
              <w:spacing w:after="0"/>
              <w:rPr>
                <w:sz w:val="20"/>
                <w:szCs w:val="20"/>
                <w:color w:val="auto"/>
              </w:rPr>
            </w:pPr>
            <w:r>
              <w:rPr>
                <w:rFonts w:ascii="Arial" w:cs="Arial" w:eastAsia="Arial" w:hAnsi="Arial"/>
                <w:sz w:val="18"/>
                <w:szCs w:val="18"/>
                <w:color w:val="auto"/>
              </w:rPr>
              <w:t>424,031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344,433</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341,487</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Provision</w:t>
            </w:r>
          </w:p>
        </w:tc>
        <w:tc>
          <w:tcPr>
            <w:tcW w:w="1680" w:type="dxa"/>
            <w:vAlign w:val="bottom"/>
          </w:tcPr>
          <w:p>
            <w:pPr>
              <w:jc w:val="right"/>
              <w:spacing w:after="0"/>
              <w:rPr>
                <w:sz w:val="20"/>
                <w:szCs w:val="20"/>
                <w:color w:val="auto"/>
              </w:rPr>
            </w:pPr>
            <w:r>
              <w:rPr>
                <w:rFonts w:ascii="Arial" w:cs="Arial" w:eastAsia="Arial" w:hAnsi="Arial"/>
                <w:sz w:val="18"/>
                <w:szCs w:val="18"/>
                <w:color w:val="auto"/>
              </w:rPr>
              <w:t>66,421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99,596</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119,422</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Recoveries of written off loans</w:t>
            </w:r>
          </w:p>
        </w:tc>
        <w:tc>
          <w:tcPr>
            <w:tcW w:w="1680" w:type="dxa"/>
            <w:vAlign w:val="bottom"/>
          </w:tcPr>
          <w:p>
            <w:pPr>
              <w:jc w:val="right"/>
              <w:spacing w:after="0"/>
              <w:rPr>
                <w:sz w:val="20"/>
                <w:szCs w:val="20"/>
                <w:color w:val="auto"/>
              </w:rPr>
            </w:pPr>
            <w:r>
              <w:rPr>
                <w:rFonts w:ascii="Arial" w:cs="Arial" w:eastAsia="Arial" w:hAnsi="Arial"/>
                <w:sz w:val="18"/>
                <w:szCs w:val="18"/>
                <w:color w:val="auto"/>
              </w:rPr>
              <w:t>17,416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12,050</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14,935</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Allowance for the loan portfolio acquired from BSCH - Peru</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122,841</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Loan portfolio sold and written-off</w:t>
            </w:r>
          </w:p>
        </w:tc>
        <w:tc>
          <w:tcPr>
            <w:tcW w:w="1680" w:type="dxa"/>
            <w:vAlign w:val="bottom"/>
          </w:tcPr>
          <w:p>
            <w:pPr>
              <w:jc w:val="right"/>
              <w:spacing w:after="0"/>
              <w:rPr>
                <w:sz w:val="20"/>
                <w:szCs w:val="20"/>
                <w:color w:val="auto"/>
              </w:rPr>
            </w:pPr>
            <w:r>
              <w:rPr>
                <w:rFonts w:ascii="Arial" w:cs="Arial" w:eastAsia="Arial" w:hAnsi="Arial"/>
                <w:sz w:val="18"/>
                <w:szCs w:val="18"/>
                <w:color w:val="auto"/>
              </w:rPr>
              <w:t>(185,688)</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(150,102)</w:t>
            </w:r>
          </w:p>
        </w:tc>
        <w:tc>
          <w:tcPr>
            <w:tcW w:w="1700" w:type="dxa"/>
            <w:vAlign w:val="bottom"/>
          </w:tcPr>
          <w:p>
            <w:pPr>
              <w:jc w:val="right"/>
              <w:spacing w:after="0"/>
              <w:rPr>
                <w:sz w:val="20"/>
                <w:szCs w:val="20"/>
                <w:color w:val="auto"/>
              </w:rPr>
            </w:pPr>
            <w:r>
              <w:rPr>
                <w:rFonts w:ascii="Arial" w:cs="Arial" w:eastAsia="Arial" w:hAnsi="Arial"/>
                <w:sz w:val="18"/>
                <w:szCs w:val="18"/>
                <w:color w:val="auto"/>
              </w:rPr>
              <w:t>(124,690)</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Translation result</w:t>
            </w:r>
          </w:p>
        </w:tc>
        <w:tc>
          <w:tcPr>
            <w:tcW w:w="1680" w:type="dxa"/>
            <w:vAlign w:val="bottom"/>
          </w:tcPr>
          <w:p>
            <w:pPr>
              <w:jc w:val="right"/>
              <w:spacing w:after="0"/>
              <w:rPr>
                <w:sz w:val="20"/>
                <w:szCs w:val="20"/>
                <w:color w:val="auto"/>
              </w:rPr>
            </w:pPr>
            <w:r>
              <w:rPr>
                <w:rFonts w:ascii="Arial" w:cs="Arial" w:eastAsia="Arial" w:hAnsi="Arial"/>
                <w:sz w:val="18"/>
                <w:szCs w:val="18"/>
                <w:color w:val="auto"/>
              </w:rPr>
              <w:t>4,497</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(4,787)</w:t>
            </w:r>
          </w:p>
        </w:tc>
        <w:tc>
          <w:tcPr>
            <w:tcW w:w="1700" w:type="dxa"/>
            <w:vAlign w:val="bottom"/>
          </w:tcPr>
          <w:p>
            <w:pPr>
              <w:jc w:val="right"/>
              <w:spacing w:after="0"/>
              <w:rPr>
                <w:sz w:val="20"/>
                <w:szCs w:val="20"/>
                <w:color w:val="auto"/>
              </w:rPr>
            </w:pPr>
            <w:r>
              <w:rPr>
                <w:rFonts w:ascii="Arial" w:cs="Arial" w:eastAsia="Arial" w:hAnsi="Arial"/>
                <w:sz w:val="18"/>
                <w:szCs w:val="18"/>
                <w:color w:val="auto"/>
              </w:rPr>
              <w:t>(6,721)</w:t>
            </w:r>
          </w:p>
        </w:tc>
        <w:tc>
          <w:tcPr>
            <w:tcW w:w="0" w:type="dxa"/>
            <w:vAlign w:val="bottom"/>
          </w:tcPr>
          <w:p>
            <w:pPr>
              <w:spacing w:after="0"/>
              <w:rPr>
                <w:sz w:val="1"/>
                <w:szCs w:val="1"/>
                <w:color w:val="auto"/>
              </w:rPr>
            </w:pPr>
          </w:p>
        </w:tc>
      </w:tr>
      <w:tr>
        <w:trPr>
          <w:trHeight w:val="137"/>
        </w:trPr>
        <w:tc>
          <w:tcPr>
            <w:tcW w:w="6240" w:type="dxa"/>
            <w:vAlign w:val="bottom"/>
            <w:vMerge w:val="restart"/>
          </w:tcPr>
          <w:p>
            <w:pPr>
              <w:spacing w:after="0"/>
              <w:rPr>
                <w:sz w:val="20"/>
                <w:szCs w:val="20"/>
                <w:color w:val="auto"/>
              </w:rPr>
            </w:pPr>
            <w:r>
              <w:rPr>
                <w:rFonts w:ascii="Arial" w:cs="Arial" w:eastAsia="Arial" w:hAnsi="Arial"/>
                <w:sz w:val="18"/>
                <w:szCs w:val="18"/>
                <w:b w:val="1"/>
                <w:bCs w:val="1"/>
                <w:color w:val="auto"/>
              </w:rPr>
              <w:t>Balance at December 31</w:t>
            </w: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599"/>
        </w:trPr>
        <w:tc>
          <w:tcPr>
            <w:tcW w:w="6240" w:type="dxa"/>
            <w:vAlign w:val="bottom"/>
            <w:vMerge w:val="continue"/>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326,677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424,031</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344,433</w:t>
            </w:r>
          </w:p>
        </w:tc>
        <w:tc>
          <w:tcPr>
            <w:tcW w:w="0" w:type="dxa"/>
            <w:vAlign w:val="bottom"/>
          </w:tcPr>
          <w:p>
            <w:pPr>
              <w:spacing w:after="0"/>
              <w:rPr>
                <w:sz w:val="1"/>
                <w:szCs w:val="1"/>
                <w:color w:val="auto"/>
              </w:rPr>
            </w:pPr>
          </w:p>
        </w:tc>
      </w:tr>
      <w:tr>
        <w:trPr>
          <w:trHeight w:val="147"/>
        </w:trPr>
        <w:tc>
          <w:tcPr>
            <w:tcW w:w="6240" w:type="dxa"/>
            <w:vAlign w:val="bottom"/>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5034915</wp:posOffset>
            </wp:positionH>
            <wp:positionV relativeFrom="paragraph">
              <wp:posOffset>-511810</wp:posOffset>
            </wp:positionV>
            <wp:extent cx="34290" cy="3429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-511810</wp:posOffset>
            </wp:positionV>
            <wp:extent cx="34290" cy="3429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-511810</wp:posOffset>
            </wp:positionV>
            <wp:extent cx="34290" cy="3429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-14605</wp:posOffset>
            </wp:positionV>
            <wp:extent cx="12700" cy="889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-14605</wp:posOffset>
            </wp:positionV>
            <wp:extent cx="12700" cy="889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-14605</wp:posOffset>
            </wp:positionV>
            <wp:extent cx="12700" cy="889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-14605</wp:posOffset>
            </wp:positionV>
            <wp:extent cx="12700" cy="889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-14605</wp:posOffset>
            </wp:positionV>
            <wp:extent cx="12700" cy="889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-14605</wp:posOffset>
            </wp:positionV>
            <wp:extent cx="12700" cy="889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2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 Management’s opinion, the allowance for credit losses, according to the IFRS, recorded as of December 31, 2003, 2002 and 2001 are sufficient to cover the potential losses on loans, see note 3(g).</w:t>
      </w:r>
    </w:p>
    <w:p>
      <w:pPr>
        <w:spacing w:after="0" w:line="186" w:lineRule="exact"/>
        <w:rPr>
          <w:sz w:val="20"/>
          <w:szCs w:val="20"/>
          <w:color w:val="auto"/>
        </w:rPr>
      </w:pPr>
    </w:p>
    <w:p>
      <w:pPr>
        <w:ind w:firstLine="8"/>
        <w:spacing w:after="0" w:line="291" w:lineRule="auto"/>
        <w:tabs>
          <w:tab w:leader="none" w:pos="249" w:val="left"/>
        </w:tabs>
        <w:numPr>
          <w:ilvl w:val="0"/>
          <w:numId w:val="44"/>
        </w:numPr>
        <w:rPr>
          <w:rFonts w:ascii="Arial" w:cs="Arial" w:eastAsia="Arial" w:hAnsi="Arial"/>
          <w:sz w:val="16"/>
          <w:szCs w:val="16"/>
          <w:color w:val="auto"/>
        </w:rPr>
      </w:pPr>
      <w:r>
        <w:rPr>
          <w:rFonts w:ascii="Arial" w:cs="Arial" w:eastAsia="Arial" w:hAnsi="Arial"/>
          <w:sz w:val="16"/>
          <w:szCs w:val="16"/>
          <w:color w:val="auto"/>
        </w:rPr>
        <w:t>Loan collateralized by commercial and mortgage loan portfolio - On December 6, 2002, BCP entered into a purchase-sale agreement with a Peruvian financial entity to acquire a commercial loan portfolio up to US$30 million, of which BCP acquired US$24.8 million as of December 31, 2002. As part of the agreement BCP designated the same Peruvian financial entity as the collection agency. As of December 31, 2002, the balance of the portfolio amounted to US$10.2 million, net of the repurchase made until such date for US$14.6 million. In March 2003, the Peruvian financial entity repurchased the total outstanding balance of such portfolio for US$10.2 million. The price paid by the Peruvian financial entity for each repurchase credit was the initial price of acquisition plus a premium equivalent to an annual effective interest rate of 5 percent.</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59320" cy="3429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ectPr>
          <w:pgSz w:w="11900" w:h="16838" w:orient="portrait"/>
          <w:cols w:equalWidth="0" w:num="1">
            <w:col w:w="11400"/>
          </w:cols>
          <w:pgMar w:left="240" w:top="348" w:right="259" w:bottom="1440" w:gutter="0" w:footer="0" w:header="0"/>
        </w:sectPr>
      </w:pPr>
    </w:p>
    <w:bookmarkStart w:id="159" w:name="page160"/>
    <w:bookmarkEnd w:id="159"/>
    <w:p>
      <w:pPr>
        <w:ind w:right="40"/>
        <w:spacing w:after="0" w:line="294" w:lineRule="auto"/>
        <w:rPr>
          <w:sz w:val="20"/>
          <w:szCs w:val="20"/>
          <w:color w:val="auto"/>
        </w:rPr>
      </w:pPr>
      <w:r>
        <w:rPr>
          <w:rFonts w:ascii="Arial" w:cs="Arial" w:eastAsia="Arial" w:hAnsi="Arial"/>
          <w:sz w:val="16"/>
          <w:szCs w:val="16"/>
          <w:color w:val="auto"/>
        </w:rPr>
        <w:t>In addition, as of December 31, 2002, BCP acquired a mortgage loan portfolio amounting to US$72.2 million. The terms of the agreement consider the collection by BCP of a disbursement commission of 0.5 percent, as well as an amount that should withheld as a guarantee equivalent to 15 percent of the principal of the mortgage loans acquired, which was deposited in the BCP. As part of the agreement BCP designated the Peruvian financial entity as the collection agent. The Peruvian financial entity has repurchased this mortgage portfolio, being the agreed price the cost of acquisition plus a premium equivalent to an annual effective interest rate of 5 percent. As of December 31, 2002, the balance of the acquired mortgage credit portfolio amounted to US$71.2 million.</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These operations have been recorded as a commercial loan granted to the Peruvian financial entity that are collateralized with the aforementioned commercial and mortgage loan portfolio.</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aforementioned operations have been completed and cancelled during the year 2003.</w:t>
      </w:r>
    </w:p>
    <w:p>
      <w:pPr>
        <w:spacing w:after="0" w:line="225" w:lineRule="exact"/>
        <w:rPr>
          <w:sz w:val="20"/>
          <w:szCs w:val="20"/>
          <w:color w:val="auto"/>
        </w:rPr>
      </w:pPr>
    </w:p>
    <w:p>
      <w:pPr>
        <w:ind w:right="260" w:firstLine="8"/>
        <w:spacing w:after="0" w:line="268" w:lineRule="auto"/>
        <w:tabs>
          <w:tab w:leader="none" w:pos="249"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important part of the loan portfolio is collateralized with guarantees received from clients, which mainly consist of mortgages; trust assignments, credit instruments, financial instruments, industrial pledges and mercantile pledges.</w:t>
      </w:r>
    </w:p>
    <w:p>
      <w:pPr>
        <w:spacing w:after="0" w:line="185" w:lineRule="exact"/>
        <w:rPr>
          <w:rFonts w:ascii="Arial" w:cs="Arial" w:eastAsia="Arial" w:hAnsi="Arial"/>
          <w:sz w:val="18"/>
          <w:szCs w:val="18"/>
          <w:color w:val="auto"/>
        </w:rPr>
      </w:pPr>
    </w:p>
    <w:p>
      <w:pPr>
        <w:ind w:left="220" w:hanging="212"/>
        <w:spacing w:after="0"/>
        <w:tabs>
          <w:tab w:leader="none" w:pos="2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As of December 31, 2003 and 2002, the gross loan portfolio classified by maturity, based in the remaining period to the repayment date is as follows:</w:t>
      </w: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7900" w:type="dxa"/>
            <w:vAlign w:val="bottom"/>
          </w:tcPr>
          <w:p>
            <w:pPr>
              <w:spacing w:after="0"/>
              <w:rPr>
                <w:sz w:val="19"/>
                <w:szCs w:val="19"/>
                <w:color w:val="auto"/>
              </w:rPr>
            </w:pPr>
          </w:p>
        </w:tc>
        <w:tc>
          <w:tcPr>
            <w:tcW w:w="1680" w:type="dxa"/>
            <w:vAlign w:val="bottom"/>
          </w:tcPr>
          <w:p>
            <w:pPr>
              <w:jc w:val="right"/>
              <w:ind w:right="592"/>
              <w:spacing w:after="0"/>
              <w:rPr>
                <w:sz w:val="20"/>
                <w:szCs w:val="20"/>
                <w:color w:val="auto"/>
              </w:rPr>
            </w:pPr>
            <w:r>
              <w:rPr>
                <w:rFonts w:ascii="Arial" w:cs="Arial" w:eastAsia="Arial" w:hAnsi="Arial"/>
                <w:sz w:val="18"/>
                <w:szCs w:val="18"/>
                <w:b w:val="1"/>
                <w:bCs w:val="1"/>
                <w:color w:val="auto"/>
              </w:rPr>
              <w:t>2003</w:t>
            </w:r>
          </w:p>
        </w:tc>
        <w:tc>
          <w:tcPr>
            <w:tcW w:w="1720" w:type="dxa"/>
            <w:vAlign w:val="bottom"/>
            <w:gridSpan w:val="2"/>
          </w:tcPr>
          <w:p>
            <w:pPr>
              <w:jc w:val="right"/>
              <w:ind w:right="612"/>
              <w:spacing w:after="0"/>
              <w:rPr>
                <w:sz w:val="20"/>
                <w:szCs w:val="20"/>
                <w:color w:val="auto"/>
              </w:rPr>
            </w:pPr>
            <w:r>
              <w:rPr>
                <w:rFonts w:ascii="Arial" w:cs="Arial" w:eastAsia="Arial" w:hAnsi="Arial"/>
                <w:sz w:val="18"/>
                <w:szCs w:val="18"/>
                <w:b w:val="1"/>
                <w:bCs w:val="1"/>
                <w:color w:val="auto"/>
              </w:rPr>
              <w:t>2002</w:t>
            </w:r>
          </w:p>
        </w:tc>
        <w:tc>
          <w:tcPr>
            <w:tcW w:w="0" w:type="dxa"/>
            <w:vAlign w:val="bottom"/>
          </w:tcPr>
          <w:p>
            <w:pPr>
              <w:spacing w:after="0"/>
              <w:rPr>
                <w:sz w:val="1"/>
                <w:szCs w:val="1"/>
                <w:color w:val="auto"/>
              </w:rPr>
            </w:pPr>
          </w:p>
        </w:tc>
      </w:tr>
      <w:tr>
        <w:trPr>
          <w:trHeight w:val="243"/>
        </w:trPr>
        <w:tc>
          <w:tcPr>
            <w:tcW w:w="7900" w:type="dxa"/>
            <w:vAlign w:val="bottom"/>
          </w:tcPr>
          <w:p>
            <w:pPr>
              <w:spacing w:after="0"/>
              <w:rPr>
                <w:sz w:val="21"/>
                <w:szCs w:val="21"/>
                <w:color w:val="auto"/>
              </w:rPr>
            </w:pPr>
          </w:p>
        </w:tc>
        <w:tc>
          <w:tcPr>
            <w:tcW w:w="1680" w:type="dxa"/>
            <w:vAlign w:val="bottom"/>
          </w:tcPr>
          <w:p>
            <w:pPr>
              <w:jc w:val="right"/>
              <w:ind w:right="412"/>
              <w:spacing w:after="0"/>
              <w:rPr>
                <w:sz w:val="20"/>
                <w:szCs w:val="20"/>
                <w:color w:val="auto"/>
              </w:rPr>
            </w:pPr>
            <w:r>
              <w:rPr>
                <w:rFonts w:ascii="Arial" w:cs="Arial" w:eastAsia="Arial" w:hAnsi="Arial"/>
                <w:sz w:val="18"/>
                <w:szCs w:val="18"/>
                <w:color w:val="auto"/>
              </w:rPr>
              <w:t>US$(000)</w:t>
            </w:r>
          </w:p>
        </w:tc>
        <w:tc>
          <w:tcPr>
            <w:tcW w:w="40" w:type="dxa"/>
            <w:vAlign w:val="bottom"/>
          </w:tcPr>
          <w:p>
            <w:pPr>
              <w:spacing w:after="0"/>
              <w:rPr>
                <w:sz w:val="21"/>
                <w:szCs w:val="21"/>
                <w:color w:val="auto"/>
              </w:rPr>
            </w:pPr>
          </w:p>
        </w:tc>
        <w:tc>
          <w:tcPr>
            <w:tcW w:w="1680" w:type="dxa"/>
            <w:vAlign w:val="bottom"/>
          </w:tcPr>
          <w:p>
            <w:pPr>
              <w:jc w:val="right"/>
              <w:ind w:right="412"/>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43"/>
        </w:trPr>
        <w:tc>
          <w:tcPr>
            <w:tcW w:w="7900" w:type="dxa"/>
            <w:vAlign w:val="bottom"/>
          </w:tcPr>
          <w:p>
            <w:pPr>
              <w:spacing w:after="0"/>
              <w:rPr>
                <w:sz w:val="20"/>
                <w:szCs w:val="20"/>
                <w:color w:val="auto"/>
              </w:rPr>
            </w:pPr>
            <w:r>
              <w:rPr>
                <w:rFonts w:ascii="Arial" w:cs="Arial" w:eastAsia="Arial" w:hAnsi="Arial"/>
                <w:sz w:val="18"/>
                <w:szCs w:val="18"/>
                <w:color w:val="auto"/>
              </w:rPr>
              <w:t>Outstanding loans -</w:t>
            </w:r>
          </w:p>
        </w:tc>
        <w:tc>
          <w:tcPr>
            <w:tcW w:w="1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spacing w:after="0"/>
              <w:rPr>
                <w:sz w:val="20"/>
                <w:szCs w:val="20"/>
                <w:color w:val="auto"/>
              </w:rPr>
            </w:pPr>
            <w:r>
              <w:rPr>
                <w:rFonts w:ascii="Arial" w:cs="Arial" w:eastAsia="Arial" w:hAnsi="Arial"/>
                <w:sz w:val="18"/>
                <w:szCs w:val="18"/>
                <w:color w:val="auto"/>
              </w:rPr>
              <w:t>Up to 1 year</w:t>
            </w:r>
          </w:p>
        </w:tc>
        <w:tc>
          <w:tcPr>
            <w:tcW w:w="1680" w:type="dxa"/>
            <w:vAlign w:val="bottom"/>
          </w:tcPr>
          <w:p>
            <w:pPr>
              <w:jc w:val="right"/>
              <w:spacing w:after="0"/>
              <w:rPr>
                <w:sz w:val="20"/>
                <w:szCs w:val="20"/>
                <w:color w:val="auto"/>
              </w:rPr>
            </w:pPr>
            <w:r>
              <w:rPr>
                <w:rFonts w:ascii="Arial" w:cs="Arial" w:eastAsia="Arial" w:hAnsi="Arial"/>
                <w:sz w:val="18"/>
                <w:szCs w:val="18"/>
                <w:color w:val="auto"/>
              </w:rPr>
              <w:t>2,752,828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3,095,916</w:t>
            </w:r>
          </w:p>
        </w:tc>
        <w:tc>
          <w:tcPr>
            <w:tcW w:w="0" w:type="dxa"/>
            <w:vAlign w:val="bottom"/>
          </w:tcPr>
          <w:p>
            <w:pPr>
              <w:spacing w:after="0"/>
              <w:rPr>
                <w:sz w:val="1"/>
                <w:szCs w:val="1"/>
                <w:color w:val="auto"/>
              </w:rPr>
            </w:pPr>
          </w:p>
        </w:tc>
      </w:tr>
      <w:tr>
        <w:trPr>
          <w:trHeight w:val="243"/>
        </w:trPr>
        <w:tc>
          <w:tcPr>
            <w:tcW w:w="7900" w:type="dxa"/>
            <w:vAlign w:val="bottom"/>
          </w:tcPr>
          <w:p>
            <w:pPr>
              <w:spacing w:after="0"/>
              <w:rPr>
                <w:sz w:val="20"/>
                <w:szCs w:val="20"/>
                <w:color w:val="auto"/>
              </w:rPr>
            </w:pPr>
            <w:r>
              <w:rPr>
                <w:rFonts w:ascii="Arial" w:cs="Arial" w:eastAsia="Arial" w:hAnsi="Arial"/>
                <w:sz w:val="18"/>
                <w:szCs w:val="18"/>
                <w:color w:val="auto"/>
              </w:rPr>
              <w:t>From 1 to 5 years</w:t>
            </w:r>
          </w:p>
        </w:tc>
        <w:tc>
          <w:tcPr>
            <w:tcW w:w="1680" w:type="dxa"/>
            <w:vAlign w:val="bottom"/>
          </w:tcPr>
          <w:p>
            <w:pPr>
              <w:jc w:val="right"/>
              <w:spacing w:after="0"/>
              <w:rPr>
                <w:sz w:val="20"/>
                <w:szCs w:val="20"/>
                <w:color w:val="auto"/>
              </w:rPr>
            </w:pPr>
            <w:r>
              <w:rPr>
                <w:rFonts w:ascii="Arial" w:cs="Arial" w:eastAsia="Arial" w:hAnsi="Arial"/>
                <w:sz w:val="18"/>
                <w:szCs w:val="18"/>
                <w:color w:val="auto"/>
              </w:rPr>
              <w:t>1,024,954</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934,179</w:t>
            </w:r>
          </w:p>
        </w:tc>
        <w:tc>
          <w:tcPr>
            <w:tcW w:w="0" w:type="dxa"/>
            <w:vAlign w:val="bottom"/>
          </w:tcPr>
          <w:p>
            <w:pPr>
              <w:spacing w:after="0"/>
              <w:rPr>
                <w:sz w:val="1"/>
                <w:szCs w:val="1"/>
                <w:color w:val="auto"/>
              </w:rPr>
            </w:pPr>
          </w:p>
        </w:tc>
      </w:tr>
      <w:tr>
        <w:trPr>
          <w:trHeight w:val="243"/>
        </w:trPr>
        <w:tc>
          <w:tcPr>
            <w:tcW w:w="7900" w:type="dxa"/>
            <w:vAlign w:val="bottom"/>
          </w:tcPr>
          <w:p>
            <w:pPr>
              <w:spacing w:after="0"/>
              <w:rPr>
                <w:sz w:val="20"/>
                <w:szCs w:val="20"/>
                <w:color w:val="auto"/>
              </w:rPr>
            </w:pPr>
            <w:r>
              <w:rPr>
                <w:rFonts w:ascii="Arial" w:cs="Arial" w:eastAsia="Arial" w:hAnsi="Arial"/>
                <w:sz w:val="18"/>
                <w:szCs w:val="18"/>
                <w:color w:val="auto"/>
              </w:rPr>
              <w:t>Over 5 years</w:t>
            </w:r>
          </w:p>
        </w:tc>
        <w:tc>
          <w:tcPr>
            <w:tcW w:w="1680" w:type="dxa"/>
            <w:vAlign w:val="bottom"/>
          </w:tcPr>
          <w:p>
            <w:pPr>
              <w:jc w:val="right"/>
              <w:spacing w:after="0"/>
              <w:rPr>
                <w:sz w:val="20"/>
                <w:szCs w:val="20"/>
                <w:color w:val="auto"/>
              </w:rPr>
            </w:pPr>
            <w:r>
              <w:rPr>
                <w:rFonts w:ascii="Arial" w:cs="Arial" w:eastAsia="Arial" w:hAnsi="Arial"/>
                <w:sz w:val="18"/>
                <w:szCs w:val="18"/>
                <w:color w:val="auto"/>
              </w:rPr>
              <w:t>534,374</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472,264</w:t>
            </w:r>
          </w:p>
        </w:tc>
        <w:tc>
          <w:tcPr>
            <w:tcW w:w="0" w:type="dxa"/>
            <w:vAlign w:val="bottom"/>
          </w:tcPr>
          <w:p>
            <w:pPr>
              <w:spacing w:after="0"/>
              <w:rPr>
                <w:sz w:val="1"/>
                <w:szCs w:val="1"/>
                <w:color w:val="auto"/>
              </w:rPr>
            </w:pPr>
          </w:p>
        </w:tc>
      </w:tr>
      <w:tr>
        <w:trPr>
          <w:trHeight w:val="486"/>
        </w:trPr>
        <w:tc>
          <w:tcPr>
            <w:tcW w:w="7900" w:type="dxa"/>
            <w:vAlign w:val="bottom"/>
          </w:tcPr>
          <w:p>
            <w:pPr>
              <w:spacing w:after="0"/>
              <w:rPr>
                <w:sz w:val="20"/>
                <w:szCs w:val="20"/>
                <w:color w:val="auto"/>
              </w:rPr>
            </w:pPr>
            <w:r>
              <w:rPr>
                <w:rFonts w:ascii="Arial" w:cs="Arial" w:eastAsia="Arial" w:hAnsi="Arial"/>
                <w:sz w:val="18"/>
                <w:szCs w:val="18"/>
                <w:color w:val="auto"/>
              </w:rPr>
              <w:t>Past due loans -</w:t>
            </w:r>
          </w:p>
        </w:tc>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900" w:type="dxa"/>
            <w:vAlign w:val="bottom"/>
          </w:tcPr>
          <w:p>
            <w:pPr>
              <w:spacing w:after="0"/>
              <w:rPr>
                <w:sz w:val="20"/>
                <w:szCs w:val="20"/>
                <w:color w:val="auto"/>
              </w:rPr>
            </w:pPr>
            <w:r>
              <w:rPr>
                <w:rFonts w:ascii="Arial" w:cs="Arial" w:eastAsia="Arial" w:hAnsi="Arial"/>
                <w:sz w:val="18"/>
                <w:szCs w:val="18"/>
                <w:color w:val="auto"/>
              </w:rPr>
              <w:t>Up to 4 months</w:t>
            </w:r>
          </w:p>
        </w:tc>
        <w:tc>
          <w:tcPr>
            <w:tcW w:w="1680" w:type="dxa"/>
            <w:vAlign w:val="bottom"/>
          </w:tcPr>
          <w:p>
            <w:pPr>
              <w:jc w:val="right"/>
              <w:spacing w:after="0"/>
              <w:rPr>
                <w:sz w:val="20"/>
                <w:szCs w:val="20"/>
                <w:color w:val="auto"/>
              </w:rPr>
            </w:pPr>
            <w:r>
              <w:rPr>
                <w:rFonts w:ascii="Arial" w:cs="Arial" w:eastAsia="Arial" w:hAnsi="Arial"/>
                <w:sz w:val="18"/>
                <w:szCs w:val="18"/>
                <w:color w:val="auto"/>
              </w:rPr>
              <w:t>50,981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82,259</w:t>
            </w:r>
          </w:p>
        </w:tc>
        <w:tc>
          <w:tcPr>
            <w:tcW w:w="0" w:type="dxa"/>
            <w:vAlign w:val="bottom"/>
          </w:tcPr>
          <w:p>
            <w:pPr>
              <w:spacing w:after="0"/>
              <w:rPr>
                <w:sz w:val="1"/>
                <w:szCs w:val="1"/>
                <w:color w:val="auto"/>
              </w:rPr>
            </w:pPr>
          </w:p>
        </w:tc>
      </w:tr>
      <w:tr>
        <w:trPr>
          <w:trHeight w:val="243"/>
        </w:trPr>
        <w:tc>
          <w:tcPr>
            <w:tcW w:w="7900" w:type="dxa"/>
            <w:vAlign w:val="bottom"/>
          </w:tcPr>
          <w:p>
            <w:pPr>
              <w:spacing w:after="0"/>
              <w:rPr>
                <w:sz w:val="20"/>
                <w:szCs w:val="20"/>
                <w:color w:val="auto"/>
              </w:rPr>
            </w:pPr>
            <w:r>
              <w:rPr>
                <w:rFonts w:ascii="Arial" w:cs="Arial" w:eastAsia="Arial" w:hAnsi="Arial"/>
                <w:sz w:val="18"/>
                <w:szCs w:val="18"/>
                <w:color w:val="auto"/>
              </w:rPr>
              <w:t>Over 4 months</w:t>
            </w:r>
          </w:p>
        </w:tc>
        <w:tc>
          <w:tcPr>
            <w:tcW w:w="1680" w:type="dxa"/>
            <w:vAlign w:val="bottom"/>
          </w:tcPr>
          <w:p>
            <w:pPr>
              <w:jc w:val="right"/>
              <w:spacing w:after="0"/>
              <w:rPr>
                <w:sz w:val="20"/>
                <w:szCs w:val="20"/>
                <w:color w:val="auto"/>
              </w:rPr>
            </w:pPr>
            <w:r>
              <w:rPr>
                <w:rFonts w:ascii="Arial" w:cs="Arial" w:eastAsia="Arial" w:hAnsi="Arial"/>
                <w:sz w:val="18"/>
                <w:szCs w:val="18"/>
                <w:color w:val="auto"/>
              </w:rPr>
              <w:t>82,439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91,028</w:t>
            </w:r>
          </w:p>
        </w:tc>
        <w:tc>
          <w:tcPr>
            <w:tcW w:w="0" w:type="dxa"/>
            <w:vAlign w:val="bottom"/>
          </w:tcPr>
          <w:p>
            <w:pPr>
              <w:spacing w:after="0"/>
              <w:rPr>
                <w:sz w:val="1"/>
                <w:szCs w:val="1"/>
                <w:color w:val="auto"/>
              </w:rPr>
            </w:pPr>
          </w:p>
        </w:tc>
      </w:tr>
      <w:tr>
        <w:trPr>
          <w:trHeight w:val="243"/>
        </w:trPr>
        <w:tc>
          <w:tcPr>
            <w:tcW w:w="7900" w:type="dxa"/>
            <w:vAlign w:val="bottom"/>
          </w:tcPr>
          <w:p>
            <w:pPr>
              <w:spacing w:after="0"/>
              <w:rPr>
                <w:sz w:val="20"/>
                <w:szCs w:val="20"/>
                <w:color w:val="auto"/>
              </w:rPr>
            </w:pPr>
            <w:r>
              <w:rPr>
                <w:rFonts w:ascii="Arial" w:cs="Arial" w:eastAsia="Arial" w:hAnsi="Arial"/>
                <w:sz w:val="18"/>
                <w:szCs w:val="18"/>
                <w:color w:val="auto"/>
              </w:rPr>
              <w:t>Under legal collection loans</w:t>
            </w:r>
          </w:p>
        </w:tc>
        <w:tc>
          <w:tcPr>
            <w:tcW w:w="1680" w:type="dxa"/>
            <w:vAlign w:val="bottom"/>
          </w:tcPr>
          <w:p>
            <w:pPr>
              <w:jc w:val="right"/>
              <w:spacing w:after="0"/>
              <w:rPr>
                <w:sz w:val="20"/>
                <w:szCs w:val="20"/>
                <w:color w:val="auto"/>
              </w:rPr>
            </w:pPr>
            <w:r>
              <w:rPr>
                <w:rFonts w:ascii="Arial" w:cs="Arial" w:eastAsia="Arial" w:hAnsi="Arial"/>
                <w:sz w:val="18"/>
                <w:szCs w:val="18"/>
                <w:color w:val="auto"/>
              </w:rPr>
              <w:t>122,788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232,848</w:t>
            </w:r>
          </w:p>
        </w:tc>
        <w:tc>
          <w:tcPr>
            <w:tcW w:w="0" w:type="dxa"/>
            <w:vAlign w:val="bottom"/>
          </w:tcPr>
          <w:p>
            <w:pPr>
              <w:spacing w:after="0"/>
              <w:rPr>
                <w:sz w:val="1"/>
                <w:szCs w:val="1"/>
                <w:color w:val="auto"/>
              </w:rPr>
            </w:pPr>
          </w:p>
        </w:tc>
      </w:tr>
      <w:tr>
        <w:trPr>
          <w:trHeight w:val="137"/>
        </w:trPr>
        <w:tc>
          <w:tcPr>
            <w:tcW w:w="790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168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599"/>
        </w:trPr>
        <w:tc>
          <w:tcPr>
            <w:tcW w:w="7900" w:type="dxa"/>
            <w:vAlign w:val="bottom"/>
            <w:vMerge w:val="continue"/>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4,568,364</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4,908,494</w:t>
            </w:r>
          </w:p>
        </w:tc>
        <w:tc>
          <w:tcPr>
            <w:tcW w:w="0" w:type="dxa"/>
            <w:vAlign w:val="bottom"/>
          </w:tcPr>
          <w:p>
            <w:pPr>
              <w:spacing w:after="0"/>
              <w:rPr>
                <w:sz w:val="1"/>
                <w:szCs w:val="1"/>
                <w:color w:val="auto"/>
              </w:rPr>
            </w:pPr>
          </w:p>
        </w:tc>
      </w:tr>
      <w:tr>
        <w:trPr>
          <w:trHeight w:val="147"/>
        </w:trPr>
        <w:tc>
          <w:tcPr>
            <w:tcW w:w="7900" w:type="dxa"/>
            <w:vAlign w:val="bottom"/>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6089650</wp:posOffset>
            </wp:positionH>
            <wp:positionV relativeFrom="paragraph">
              <wp:posOffset>-511810</wp:posOffset>
            </wp:positionV>
            <wp:extent cx="34290" cy="3429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7178675</wp:posOffset>
            </wp:positionH>
            <wp:positionV relativeFrom="paragraph">
              <wp:posOffset>-511810</wp:posOffset>
            </wp:positionV>
            <wp:extent cx="68580" cy="3429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68580" cy="342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-14605</wp:posOffset>
            </wp:positionV>
            <wp:extent cx="12700" cy="889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-14605</wp:posOffset>
            </wp:positionV>
            <wp:extent cx="12700" cy="889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-14605</wp:posOffset>
            </wp:positionV>
            <wp:extent cx="12700" cy="889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-14605</wp:posOffset>
            </wp:positionV>
            <wp:extent cx="12700" cy="889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7215505</wp:posOffset>
            </wp:positionH>
            <wp:positionV relativeFrom="paragraph">
              <wp:posOffset>-20955</wp:posOffset>
            </wp:positionV>
            <wp:extent cx="21590" cy="2159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21590" cy="21590"/>
                    </a:xfrm>
                    <a:prstGeom prst="rect">
                      <a:avLst/>
                    </a:prstGeom>
                    <a:noFill/>
                  </pic:spPr>
                </pic:pic>
              </a:graphicData>
            </a:graphic>
          </wp:anchor>
        </w:drawing>
      </w:r>
    </w:p>
    <w:p>
      <w:pPr>
        <w:spacing w:after="0" w:line="320"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Interest on past due loans and loans in legal collection are recognized when collected. As of December 31, 2003, 2002 and 2001, the interest income and its respective allowance that had been recorded for these credits amount approximated US$14.0, US$28.3 and US$22.7 million, respectively.</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59320" cy="3429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ectPr>
          <w:pgSz w:w="11900" w:h="16838" w:orient="portrait"/>
          <w:cols w:equalWidth="0" w:num="1">
            <w:col w:w="11400"/>
          </w:cols>
          <w:pgMar w:left="240" w:top="347" w:right="25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b w:val="1"/>
          <w:bCs w:val="1"/>
          <w:color w:val="auto"/>
        </w:rPr>
        <w:t>8. Property, furniture and equipment and accumulated depreciation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 The movement of property, furniture and equipment and accumulated depreciation, for the years ended 2003 and 2002, is as follows: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6"/>
              </w:rPr>
              <w:t>Buildings and</w:t>
            </w: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Furniture ans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4"/>
              </w:rPr>
              <w:t>Vehicles and</w:t>
            </w: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260" w:type="dxa"/>
            <w:vAlign w:val="bottom"/>
          </w:tcPr>
          <w:p>
            <w:pPr>
              <w:spacing w:after="0"/>
              <w:rPr>
                <w:sz w:val="15"/>
                <w:szCs w:val="15"/>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Land</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5"/>
              </w:rPr>
              <w:t>other construction</w:t>
            </w:r>
          </w:p>
        </w:tc>
        <w:tc>
          <w:tcPr>
            <w:tcW w:w="2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Installations</w:t>
            </w:r>
          </w:p>
        </w:tc>
        <w:tc>
          <w:tcPr>
            <w:tcW w:w="11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4"/>
              </w:rPr>
              <w:t>equipment</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4"/>
              </w:rPr>
              <w:t>equipment</w:t>
            </w:r>
          </w:p>
        </w:tc>
        <w:tc>
          <w:tcPr>
            <w:tcW w:w="40" w:type="dxa"/>
            <w:vAlign w:val="bottom"/>
          </w:tcPr>
          <w:p>
            <w:pPr>
              <w:spacing w:after="0"/>
              <w:rPr>
                <w:sz w:val="15"/>
                <w:szCs w:val="15"/>
                <w:color w:val="auto"/>
              </w:rPr>
            </w:pPr>
          </w:p>
        </w:tc>
        <w:tc>
          <w:tcPr>
            <w:tcW w:w="11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6"/>
              </w:rPr>
              <w:t>Work in progress</w:t>
            </w:r>
          </w:p>
        </w:tc>
        <w:tc>
          <w:tcPr>
            <w:tcW w:w="1100" w:type="dxa"/>
            <w:vAlign w:val="bottom"/>
          </w:tcPr>
          <w:p>
            <w:pPr>
              <w:jc w:val="right"/>
              <w:ind w:right="372"/>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1120" w:type="dxa"/>
            <w:vAlign w:val="bottom"/>
          </w:tcPr>
          <w:p>
            <w:pPr>
              <w:jc w:val="right"/>
              <w:ind w:right="372"/>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176"/>
        </w:trPr>
        <w:tc>
          <w:tcPr>
            <w:tcW w:w="2260" w:type="dxa"/>
            <w:vAlign w:val="bottom"/>
          </w:tcPr>
          <w:p>
            <w:pPr>
              <w:spacing w:after="0"/>
              <w:rPr>
                <w:sz w:val="15"/>
                <w:szCs w:val="15"/>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4"/>
                <w:szCs w:val="14"/>
                <w:color w:val="auto"/>
                <w:w w:val="90"/>
              </w:rPr>
              <w:t>US$(000)</w:t>
            </w:r>
          </w:p>
        </w:tc>
        <w:tc>
          <w:tcPr>
            <w:tcW w:w="1120" w:type="dxa"/>
            <w:vAlign w:val="bottom"/>
          </w:tcPr>
          <w:p>
            <w:pPr>
              <w:jc w:val="center"/>
              <w:spacing w:after="0"/>
              <w:rPr>
                <w:sz w:val="20"/>
                <w:szCs w:val="20"/>
                <w:color w:val="auto"/>
              </w:rPr>
            </w:pPr>
            <w:r>
              <w:rPr>
                <w:rFonts w:ascii="Arial" w:cs="Arial" w:eastAsia="Arial" w:hAnsi="Arial"/>
                <w:sz w:val="14"/>
                <w:szCs w:val="14"/>
                <w:color w:val="auto"/>
                <w:w w:val="90"/>
              </w:rPr>
              <w:t>US$(000)</w:t>
            </w:r>
          </w:p>
        </w:tc>
        <w:tc>
          <w:tcPr>
            <w:tcW w:w="20" w:type="dxa"/>
            <w:vAlign w:val="bottom"/>
          </w:tcPr>
          <w:p>
            <w:pPr>
              <w:spacing w:after="0"/>
              <w:rPr>
                <w:sz w:val="15"/>
                <w:szCs w:val="15"/>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4"/>
                <w:szCs w:val="14"/>
                <w:color w:val="auto"/>
              </w:rPr>
              <w:t>US$(000)</w:t>
            </w:r>
          </w:p>
        </w:tc>
        <w:tc>
          <w:tcPr>
            <w:tcW w:w="1140" w:type="dxa"/>
            <w:vAlign w:val="bottom"/>
            <w:gridSpan w:val="2"/>
          </w:tcPr>
          <w:p>
            <w:pPr>
              <w:jc w:val="center"/>
              <w:ind w:right="20"/>
              <w:spacing w:after="0"/>
              <w:rPr>
                <w:sz w:val="20"/>
                <w:szCs w:val="20"/>
                <w:color w:val="auto"/>
              </w:rPr>
            </w:pPr>
            <w:r>
              <w:rPr>
                <w:rFonts w:ascii="Arial" w:cs="Arial" w:eastAsia="Arial" w:hAnsi="Arial"/>
                <w:sz w:val="14"/>
                <w:szCs w:val="14"/>
                <w:color w:val="auto"/>
                <w:w w:val="86"/>
              </w:rPr>
              <w:t>US$(000)</w:t>
            </w:r>
          </w:p>
        </w:tc>
        <w:tc>
          <w:tcPr>
            <w:tcW w:w="1100" w:type="dxa"/>
            <w:vAlign w:val="bottom"/>
          </w:tcPr>
          <w:p>
            <w:pPr>
              <w:jc w:val="center"/>
              <w:spacing w:after="0"/>
              <w:rPr>
                <w:sz w:val="20"/>
                <w:szCs w:val="20"/>
                <w:color w:val="auto"/>
              </w:rPr>
            </w:pPr>
            <w:r>
              <w:rPr>
                <w:rFonts w:ascii="Arial" w:cs="Arial" w:eastAsia="Arial" w:hAnsi="Arial"/>
                <w:sz w:val="14"/>
                <w:szCs w:val="14"/>
                <w:color w:val="auto"/>
                <w:w w:val="90"/>
              </w:rPr>
              <w:t>US$(000)</w:t>
            </w:r>
          </w:p>
        </w:tc>
        <w:tc>
          <w:tcPr>
            <w:tcW w:w="40" w:type="dxa"/>
            <w:vAlign w:val="bottom"/>
          </w:tcPr>
          <w:p>
            <w:pPr>
              <w:spacing w:after="0"/>
              <w:rPr>
                <w:sz w:val="15"/>
                <w:szCs w:val="15"/>
                <w:color w:val="auto"/>
              </w:rPr>
            </w:pPr>
          </w:p>
        </w:tc>
        <w:tc>
          <w:tcPr>
            <w:tcW w:w="1140" w:type="dxa"/>
            <w:vAlign w:val="bottom"/>
            <w:gridSpan w:val="2"/>
          </w:tcPr>
          <w:p>
            <w:pPr>
              <w:jc w:val="center"/>
              <w:ind w:right="40"/>
              <w:spacing w:after="0"/>
              <w:rPr>
                <w:sz w:val="20"/>
                <w:szCs w:val="20"/>
                <w:color w:val="auto"/>
              </w:rPr>
            </w:pPr>
            <w:r>
              <w:rPr>
                <w:rFonts w:ascii="Arial" w:cs="Arial" w:eastAsia="Arial" w:hAnsi="Arial"/>
                <w:sz w:val="14"/>
                <w:szCs w:val="14"/>
                <w:color w:val="auto"/>
                <w:w w:val="90"/>
              </w:rPr>
              <w:t>US$(000)</w:t>
            </w:r>
          </w:p>
        </w:tc>
        <w:tc>
          <w:tcPr>
            <w:tcW w:w="1120" w:type="dxa"/>
            <w:vAlign w:val="bottom"/>
            <w:gridSpan w:val="2"/>
          </w:tcPr>
          <w:p>
            <w:pPr>
              <w:ind w:left="280"/>
              <w:spacing w:after="0"/>
              <w:rPr>
                <w:sz w:val="20"/>
                <w:szCs w:val="20"/>
                <w:color w:val="auto"/>
              </w:rPr>
            </w:pPr>
            <w:r>
              <w:rPr>
                <w:rFonts w:ascii="Arial" w:cs="Arial" w:eastAsia="Arial" w:hAnsi="Arial"/>
                <w:sz w:val="14"/>
                <w:szCs w:val="14"/>
                <w:color w:val="auto"/>
              </w:rPr>
              <w:t>US$(000)</w:t>
            </w:r>
          </w:p>
        </w:tc>
        <w:tc>
          <w:tcPr>
            <w:tcW w:w="1120" w:type="dxa"/>
            <w:vAlign w:val="bottom"/>
          </w:tcPr>
          <w:p>
            <w:pPr>
              <w:jc w:val="right"/>
              <w:ind w:right="232"/>
              <w:spacing w:after="0"/>
              <w:rPr>
                <w:sz w:val="20"/>
                <w:szCs w:val="20"/>
                <w:color w:val="auto"/>
              </w:rPr>
            </w:pPr>
            <w:r>
              <w:rPr>
                <w:rFonts w:ascii="Arial" w:cs="Arial" w:eastAsia="Arial" w:hAnsi="Arial"/>
                <w:sz w:val="14"/>
                <w:szCs w:val="14"/>
                <w:color w:val="auto"/>
              </w:rPr>
              <w:t>US$(000)</w:t>
            </w:r>
          </w:p>
        </w:tc>
        <w:tc>
          <w:tcPr>
            <w:tcW w:w="0" w:type="dxa"/>
            <w:vAlign w:val="bottom"/>
          </w:tcPr>
          <w:p>
            <w:pPr>
              <w:spacing w:after="0"/>
              <w:rPr>
                <w:sz w:val="1"/>
                <w:szCs w:val="1"/>
                <w:color w:val="auto"/>
              </w:rPr>
            </w:pPr>
          </w:p>
        </w:tc>
      </w:tr>
      <w:tr>
        <w:trPr>
          <w:trHeight w:val="351"/>
        </w:trPr>
        <w:tc>
          <w:tcPr>
            <w:tcW w:w="2260" w:type="dxa"/>
            <w:vAlign w:val="bottom"/>
          </w:tcPr>
          <w:p>
            <w:pPr>
              <w:spacing w:after="0"/>
              <w:rPr>
                <w:sz w:val="20"/>
                <w:szCs w:val="20"/>
                <w:color w:val="auto"/>
              </w:rPr>
            </w:pPr>
            <w:r>
              <w:rPr>
                <w:rFonts w:ascii="Arial" w:cs="Arial" w:eastAsia="Arial" w:hAnsi="Arial"/>
                <w:sz w:val="14"/>
                <w:szCs w:val="14"/>
                <w:b w:val="1"/>
                <w:bCs w:val="1"/>
                <w:color w:val="auto"/>
              </w:rPr>
              <w:t>Cost -</w:t>
            </w: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260" w:type="dxa"/>
            <w:vAlign w:val="bottom"/>
          </w:tcPr>
          <w:p>
            <w:pPr>
              <w:spacing w:after="0"/>
              <w:rPr>
                <w:sz w:val="20"/>
                <w:szCs w:val="20"/>
                <w:color w:val="auto"/>
              </w:rPr>
            </w:pPr>
            <w:r>
              <w:rPr>
                <w:rFonts w:ascii="Arial" w:cs="Arial" w:eastAsia="Arial" w:hAnsi="Arial"/>
                <w:sz w:val="14"/>
                <w:szCs w:val="14"/>
                <w:b w:val="1"/>
                <w:bCs w:val="1"/>
                <w:color w:val="auto"/>
              </w:rPr>
              <w:t>Balance as of January 1</w:t>
            </w:r>
          </w:p>
        </w:tc>
        <w:tc>
          <w:tcPr>
            <w:tcW w:w="1120" w:type="dxa"/>
            <w:vAlign w:val="bottom"/>
          </w:tcPr>
          <w:p>
            <w:pPr>
              <w:jc w:val="right"/>
              <w:spacing w:after="0"/>
              <w:rPr>
                <w:sz w:val="20"/>
                <w:szCs w:val="20"/>
                <w:color w:val="auto"/>
              </w:rPr>
            </w:pPr>
            <w:r>
              <w:rPr>
                <w:rFonts w:ascii="Arial" w:cs="Arial" w:eastAsia="Arial" w:hAnsi="Arial"/>
                <w:sz w:val="14"/>
                <w:szCs w:val="14"/>
                <w:color w:val="auto"/>
              </w:rPr>
              <w:t>39,144</w:t>
            </w:r>
          </w:p>
        </w:tc>
        <w:tc>
          <w:tcPr>
            <w:tcW w:w="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261,415</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65,759</w:t>
            </w:r>
          </w:p>
        </w:tc>
        <w:tc>
          <w:tcPr>
            <w:tcW w:w="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203,119</w:t>
            </w:r>
          </w:p>
        </w:tc>
        <w:tc>
          <w:tcPr>
            <w:tcW w:w="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38,234</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4,326</w:t>
            </w:r>
          </w:p>
        </w:tc>
        <w:tc>
          <w:tcPr>
            <w:tcW w:w="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611,997</w:t>
            </w:r>
          </w:p>
        </w:tc>
        <w:tc>
          <w:tcPr>
            <w:tcW w:w="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554,921</w:t>
            </w:r>
          </w:p>
        </w:tc>
        <w:tc>
          <w:tcPr>
            <w:tcW w:w="0" w:type="dxa"/>
            <w:vAlign w:val="bottom"/>
          </w:tcPr>
          <w:p>
            <w:pPr>
              <w:spacing w:after="0"/>
              <w:rPr>
                <w:sz w:val="1"/>
                <w:szCs w:val="1"/>
                <w:color w:val="auto"/>
              </w:rPr>
            </w:pPr>
          </w:p>
        </w:tc>
      </w:tr>
      <w:tr>
        <w:trPr>
          <w:trHeight w:val="176"/>
        </w:trPr>
        <w:tc>
          <w:tcPr>
            <w:tcW w:w="2260" w:type="dxa"/>
            <w:vAlign w:val="bottom"/>
          </w:tcPr>
          <w:p>
            <w:pPr>
              <w:spacing w:after="0"/>
              <w:rPr>
                <w:sz w:val="20"/>
                <w:szCs w:val="20"/>
                <w:color w:val="auto"/>
              </w:rPr>
            </w:pPr>
            <w:r>
              <w:rPr>
                <w:rFonts w:ascii="Arial" w:cs="Arial" w:eastAsia="Arial" w:hAnsi="Arial"/>
                <w:sz w:val="14"/>
                <w:szCs w:val="14"/>
                <w:color w:val="auto"/>
              </w:rPr>
              <w:t>Additions</w:t>
            </w:r>
          </w:p>
        </w:tc>
        <w:tc>
          <w:tcPr>
            <w:tcW w:w="1120" w:type="dxa"/>
            <w:vAlign w:val="bottom"/>
          </w:tcPr>
          <w:p>
            <w:pPr>
              <w:jc w:val="right"/>
              <w:spacing w:after="0"/>
              <w:rPr>
                <w:sz w:val="20"/>
                <w:szCs w:val="20"/>
                <w:color w:val="auto"/>
              </w:rPr>
            </w:pPr>
            <w:r>
              <w:rPr>
                <w:rFonts w:ascii="Arial" w:cs="Arial" w:eastAsia="Arial" w:hAnsi="Arial"/>
                <w:sz w:val="14"/>
                <w:szCs w:val="14"/>
                <w:color w:val="auto"/>
              </w:rPr>
              <w:t>350</w:t>
            </w:r>
          </w:p>
        </w:tc>
        <w:tc>
          <w:tcPr>
            <w:tcW w:w="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2,381</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5,652</w:t>
            </w:r>
          </w:p>
        </w:tc>
        <w:tc>
          <w:tcPr>
            <w:tcW w:w="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14,497</w:t>
            </w:r>
          </w:p>
        </w:tc>
        <w:tc>
          <w:tcPr>
            <w:tcW w:w="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3,579</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3,460</w:t>
            </w:r>
          </w:p>
        </w:tc>
        <w:tc>
          <w:tcPr>
            <w:tcW w:w="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29,919</w:t>
            </w:r>
          </w:p>
        </w:tc>
        <w:tc>
          <w:tcPr>
            <w:tcW w:w="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22,864</w:t>
            </w:r>
          </w:p>
        </w:tc>
        <w:tc>
          <w:tcPr>
            <w:tcW w:w="0" w:type="dxa"/>
            <w:vAlign w:val="bottom"/>
          </w:tcPr>
          <w:p>
            <w:pPr>
              <w:spacing w:after="0"/>
              <w:rPr>
                <w:sz w:val="1"/>
                <w:szCs w:val="1"/>
                <w:color w:val="auto"/>
              </w:rPr>
            </w:pPr>
          </w:p>
        </w:tc>
      </w:tr>
      <w:tr>
        <w:trPr>
          <w:trHeight w:val="152"/>
        </w:trPr>
        <w:tc>
          <w:tcPr>
            <w:tcW w:w="2260" w:type="dxa"/>
            <w:vAlign w:val="bottom"/>
          </w:tcPr>
          <w:p>
            <w:pPr>
              <w:spacing w:after="0" w:line="152" w:lineRule="exact"/>
              <w:rPr>
                <w:sz w:val="20"/>
                <w:szCs w:val="20"/>
                <w:color w:val="auto"/>
              </w:rPr>
            </w:pPr>
            <w:r>
              <w:rPr>
                <w:rFonts w:ascii="Arial" w:cs="Arial" w:eastAsia="Arial" w:hAnsi="Arial"/>
                <w:sz w:val="14"/>
                <w:szCs w:val="14"/>
                <w:color w:val="auto"/>
              </w:rPr>
              <w:t>Assets incorporated for merger with</w:t>
            </w: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260" w:type="dxa"/>
            <w:vAlign w:val="bottom"/>
          </w:tcPr>
          <w:p>
            <w:pPr>
              <w:spacing w:after="0"/>
              <w:rPr>
                <w:sz w:val="20"/>
                <w:szCs w:val="20"/>
                <w:color w:val="auto"/>
              </w:rPr>
            </w:pPr>
            <w:r>
              <w:rPr>
                <w:rFonts w:ascii="Arial" w:cs="Arial" w:eastAsia="Arial" w:hAnsi="Arial"/>
                <w:sz w:val="14"/>
                <w:szCs w:val="14"/>
                <w:color w:val="auto"/>
              </w:rPr>
              <w:t>BSCH - Peru</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40,306</w:t>
            </w:r>
          </w:p>
        </w:tc>
        <w:tc>
          <w:tcPr>
            <w:tcW w:w="0" w:type="dxa"/>
            <w:vAlign w:val="bottom"/>
          </w:tcPr>
          <w:p>
            <w:pPr>
              <w:spacing w:after="0"/>
              <w:rPr>
                <w:sz w:val="1"/>
                <w:szCs w:val="1"/>
                <w:color w:val="auto"/>
              </w:rPr>
            </w:pPr>
          </w:p>
        </w:tc>
      </w:tr>
      <w:tr>
        <w:trPr>
          <w:trHeight w:val="176"/>
        </w:trPr>
        <w:tc>
          <w:tcPr>
            <w:tcW w:w="2260" w:type="dxa"/>
            <w:vAlign w:val="bottom"/>
          </w:tcPr>
          <w:p>
            <w:pPr>
              <w:spacing w:after="0"/>
              <w:rPr>
                <w:sz w:val="20"/>
                <w:szCs w:val="20"/>
                <w:color w:val="auto"/>
              </w:rPr>
            </w:pPr>
            <w:r>
              <w:rPr>
                <w:rFonts w:ascii="Arial" w:cs="Arial" w:eastAsia="Arial" w:hAnsi="Arial"/>
                <w:sz w:val="14"/>
                <w:szCs w:val="14"/>
                <w:color w:val="auto"/>
              </w:rPr>
              <w:t>Retirements and transfers</w:t>
            </w:r>
          </w:p>
        </w:tc>
        <w:tc>
          <w:tcPr>
            <w:tcW w:w="1160" w:type="dxa"/>
            <w:vAlign w:val="bottom"/>
            <w:gridSpan w:val="2"/>
          </w:tcPr>
          <w:p>
            <w:pPr>
              <w:jc w:val="right"/>
              <w:ind w:right="40"/>
              <w:spacing w:after="0"/>
              <w:rPr>
                <w:sz w:val="20"/>
                <w:szCs w:val="20"/>
                <w:color w:val="auto"/>
              </w:rPr>
            </w:pPr>
            <w:r>
              <w:rPr>
                <w:rFonts w:ascii="Arial" w:cs="Arial" w:eastAsia="Arial" w:hAnsi="Arial"/>
                <w:sz w:val="14"/>
                <w:szCs w:val="14"/>
                <w:color w:val="auto"/>
              </w:rPr>
              <w:t>(5,855)</w:t>
            </w:r>
          </w:p>
        </w:tc>
        <w:tc>
          <w:tcPr>
            <w:tcW w:w="1120" w:type="dxa"/>
            <w:vAlign w:val="bottom"/>
          </w:tcPr>
          <w:p>
            <w:pPr>
              <w:jc w:val="right"/>
              <w:spacing w:after="0"/>
              <w:rPr>
                <w:sz w:val="20"/>
                <w:szCs w:val="20"/>
                <w:color w:val="auto"/>
              </w:rPr>
            </w:pPr>
            <w:r>
              <w:rPr>
                <w:rFonts w:ascii="Arial" w:cs="Arial" w:eastAsia="Arial" w:hAnsi="Arial"/>
                <w:sz w:val="14"/>
                <w:szCs w:val="14"/>
                <w:color w:val="auto"/>
              </w:rPr>
              <w:t>(6,798)</w:t>
            </w:r>
          </w:p>
        </w:tc>
        <w:tc>
          <w:tcPr>
            <w:tcW w:w="1160" w:type="dxa"/>
            <w:vAlign w:val="bottom"/>
            <w:gridSpan w:val="3"/>
          </w:tcPr>
          <w:p>
            <w:pPr>
              <w:jc w:val="right"/>
              <w:ind w:right="20"/>
              <w:spacing w:after="0"/>
              <w:rPr>
                <w:sz w:val="20"/>
                <w:szCs w:val="20"/>
                <w:color w:val="auto"/>
              </w:rPr>
            </w:pPr>
            <w:r>
              <w:rPr>
                <w:rFonts w:ascii="Arial" w:cs="Arial" w:eastAsia="Arial" w:hAnsi="Arial"/>
                <w:sz w:val="14"/>
                <w:szCs w:val="14"/>
                <w:color w:val="auto"/>
              </w:rPr>
              <w:t>(4,485)</w:t>
            </w: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(9,809)</w:t>
            </w:r>
          </w:p>
        </w:tc>
        <w:tc>
          <w:tcPr>
            <w:tcW w:w="1100" w:type="dxa"/>
            <w:vAlign w:val="bottom"/>
          </w:tcPr>
          <w:p>
            <w:pPr>
              <w:jc w:val="right"/>
              <w:spacing w:after="0"/>
              <w:rPr>
                <w:sz w:val="20"/>
                <w:szCs w:val="20"/>
                <w:color w:val="auto"/>
              </w:rPr>
            </w:pPr>
            <w:r>
              <w:rPr>
                <w:rFonts w:ascii="Arial" w:cs="Arial" w:eastAsia="Arial" w:hAnsi="Arial"/>
                <w:sz w:val="14"/>
                <w:szCs w:val="14"/>
                <w:color w:val="auto"/>
              </w:rPr>
              <w:t>(8,349)</w:t>
            </w:r>
          </w:p>
        </w:tc>
        <w:tc>
          <w:tcPr>
            <w:tcW w:w="1180" w:type="dxa"/>
            <w:vAlign w:val="bottom"/>
            <w:gridSpan w:val="3"/>
          </w:tcPr>
          <w:p>
            <w:pPr>
              <w:jc w:val="right"/>
              <w:ind w:right="40"/>
              <w:spacing w:after="0"/>
              <w:rPr>
                <w:sz w:val="20"/>
                <w:szCs w:val="20"/>
                <w:color w:val="auto"/>
              </w:rPr>
            </w:pPr>
            <w:r>
              <w:rPr>
                <w:rFonts w:ascii="Arial" w:cs="Arial" w:eastAsia="Arial" w:hAnsi="Arial"/>
                <w:sz w:val="14"/>
                <w:szCs w:val="14"/>
                <w:color w:val="auto"/>
              </w:rPr>
              <w:t>(1,846)</w:t>
            </w: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(37,142)</w:t>
            </w:r>
          </w:p>
        </w:tc>
        <w:tc>
          <w:tcPr>
            <w:tcW w:w="1120" w:type="dxa"/>
            <w:vAlign w:val="bottom"/>
          </w:tcPr>
          <w:p>
            <w:pPr>
              <w:jc w:val="right"/>
              <w:spacing w:after="0"/>
              <w:rPr>
                <w:sz w:val="20"/>
                <w:szCs w:val="20"/>
                <w:color w:val="auto"/>
              </w:rPr>
            </w:pPr>
            <w:r>
              <w:rPr>
                <w:rFonts w:ascii="Arial" w:cs="Arial" w:eastAsia="Arial" w:hAnsi="Arial"/>
                <w:sz w:val="14"/>
                <w:szCs w:val="14"/>
                <w:color w:val="auto"/>
              </w:rPr>
              <w:t>(6,094)</w:t>
            </w:r>
          </w:p>
        </w:tc>
        <w:tc>
          <w:tcPr>
            <w:tcW w:w="0" w:type="dxa"/>
            <w:vAlign w:val="bottom"/>
          </w:tcPr>
          <w:p>
            <w:pPr>
              <w:spacing w:after="0"/>
              <w:rPr>
                <w:sz w:val="1"/>
                <w:szCs w:val="1"/>
                <w:color w:val="auto"/>
              </w:rPr>
            </w:pPr>
          </w:p>
        </w:tc>
      </w:tr>
      <w:tr>
        <w:trPr>
          <w:trHeight w:val="122"/>
        </w:trPr>
        <w:tc>
          <w:tcPr>
            <w:tcW w:w="2260" w:type="dxa"/>
            <w:vAlign w:val="bottom"/>
            <w:vMerge w:val="restart"/>
          </w:tcPr>
          <w:p>
            <w:pPr>
              <w:spacing w:after="0"/>
              <w:rPr>
                <w:sz w:val="20"/>
                <w:szCs w:val="20"/>
                <w:color w:val="auto"/>
              </w:rPr>
            </w:pPr>
            <w:r>
              <w:rPr>
                <w:rFonts w:ascii="Arial" w:cs="Arial" w:eastAsia="Arial" w:hAnsi="Arial"/>
                <w:sz w:val="14"/>
                <w:szCs w:val="14"/>
                <w:b w:val="1"/>
                <w:bCs w:val="1"/>
                <w:color w:val="auto"/>
              </w:rPr>
              <w:t>Balance as of December 31</w:t>
            </w:r>
          </w:p>
        </w:tc>
        <w:tc>
          <w:tcPr>
            <w:tcW w:w="112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04"/>
        </w:trPr>
        <w:tc>
          <w:tcPr>
            <w:tcW w:w="2260" w:type="dxa"/>
            <w:vAlign w:val="bottom"/>
            <w:vMerge w:val="continue"/>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33,639</w:t>
            </w:r>
          </w:p>
        </w:tc>
        <w:tc>
          <w:tcPr>
            <w:tcW w:w="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256,998</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66,926</w:t>
            </w:r>
          </w:p>
        </w:tc>
        <w:tc>
          <w:tcPr>
            <w:tcW w:w="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207,807</w:t>
            </w:r>
          </w:p>
        </w:tc>
        <w:tc>
          <w:tcPr>
            <w:tcW w:w="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33,464</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5,940</w:t>
            </w:r>
          </w:p>
        </w:tc>
        <w:tc>
          <w:tcPr>
            <w:tcW w:w="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604,774</w:t>
            </w:r>
          </w:p>
        </w:tc>
        <w:tc>
          <w:tcPr>
            <w:tcW w:w="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611,997</w:t>
            </w:r>
          </w:p>
        </w:tc>
        <w:tc>
          <w:tcPr>
            <w:tcW w:w="0" w:type="dxa"/>
            <w:vAlign w:val="bottom"/>
          </w:tcPr>
          <w:p>
            <w:pPr>
              <w:spacing w:after="0"/>
              <w:rPr>
                <w:sz w:val="1"/>
                <w:szCs w:val="1"/>
                <w:color w:val="auto"/>
              </w:rPr>
            </w:pPr>
          </w:p>
        </w:tc>
      </w:tr>
      <w:tr>
        <w:trPr>
          <w:trHeight w:val="122"/>
        </w:trPr>
        <w:tc>
          <w:tcPr>
            <w:tcW w:w="2260" w:type="dxa"/>
            <w:vAlign w:val="bottom"/>
            <w:vMerge w:val="restart"/>
          </w:tcPr>
          <w:p>
            <w:pPr>
              <w:spacing w:after="0"/>
              <w:rPr>
                <w:sz w:val="20"/>
                <w:szCs w:val="20"/>
                <w:color w:val="auto"/>
              </w:rPr>
            </w:pPr>
            <w:r>
              <w:rPr>
                <w:rFonts w:ascii="Arial" w:cs="Arial" w:eastAsia="Arial" w:hAnsi="Arial"/>
                <w:sz w:val="14"/>
                <w:szCs w:val="14"/>
                <w:b w:val="1"/>
                <w:bCs w:val="1"/>
                <w:color w:val="auto"/>
              </w:rPr>
              <w:t>Accumulated depreciation -</w:t>
            </w:r>
          </w:p>
        </w:tc>
        <w:tc>
          <w:tcPr>
            <w:tcW w:w="112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479"/>
        </w:trPr>
        <w:tc>
          <w:tcPr>
            <w:tcW w:w="226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260" w:type="dxa"/>
            <w:vAlign w:val="bottom"/>
          </w:tcPr>
          <w:p>
            <w:pPr>
              <w:spacing w:after="0"/>
              <w:rPr>
                <w:sz w:val="20"/>
                <w:szCs w:val="20"/>
                <w:color w:val="auto"/>
              </w:rPr>
            </w:pPr>
            <w:r>
              <w:rPr>
                <w:rFonts w:ascii="Arial" w:cs="Arial" w:eastAsia="Arial" w:hAnsi="Arial"/>
                <w:sz w:val="14"/>
                <w:szCs w:val="14"/>
                <w:b w:val="1"/>
                <w:bCs w:val="1"/>
                <w:color w:val="auto"/>
              </w:rPr>
              <w:t>Balance as of January 1</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114,347</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35,559</w:t>
            </w:r>
          </w:p>
        </w:tc>
        <w:tc>
          <w:tcPr>
            <w:tcW w:w="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150,761</w:t>
            </w:r>
          </w:p>
        </w:tc>
        <w:tc>
          <w:tcPr>
            <w:tcW w:w="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21,145</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321,812</w:t>
            </w:r>
          </w:p>
        </w:tc>
        <w:tc>
          <w:tcPr>
            <w:tcW w:w="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296,051</w:t>
            </w:r>
          </w:p>
        </w:tc>
        <w:tc>
          <w:tcPr>
            <w:tcW w:w="0" w:type="dxa"/>
            <w:vAlign w:val="bottom"/>
          </w:tcPr>
          <w:p>
            <w:pPr>
              <w:spacing w:after="0"/>
              <w:rPr>
                <w:sz w:val="1"/>
                <w:szCs w:val="1"/>
                <w:color w:val="auto"/>
              </w:rPr>
            </w:pPr>
          </w:p>
        </w:tc>
      </w:tr>
      <w:tr>
        <w:trPr>
          <w:trHeight w:val="176"/>
        </w:trPr>
        <w:tc>
          <w:tcPr>
            <w:tcW w:w="2260" w:type="dxa"/>
            <w:vAlign w:val="bottom"/>
          </w:tcPr>
          <w:p>
            <w:pPr>
              <w:spacing w:after="0"/>
              <w:rPr>
                <w:sz w:val="20"/>
                <w:szCs w:val="20"/>
                <w:color w:val="auto"/>
              </w:rPr>
            </w:pPr>
            <w:r>
              <w:rPr>
                <w:rFonts w:ascii="Arial" w:cs="Arial" w:eastAsia="Arial" w:hAnsi="Arial"/>
                <w:sz w:val="14"/>
                <w:szCs w:val="14"/>
                <w:color w:val="auto"/>
              </w:rPr>
              <w:t>Additions</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7,731</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5,729</w:t>
            </w:r>
          </w:p>
        </w:tc>
        <w:tc>
          <w:tcPr>
            <w:tcW w:w="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15,478</w:t>
            </w:r>
          </w:p>
        </w:tc>
        <w:tc>
          <w:tcPr>
            <w:tcW w:w="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2,682</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31,620</w:t>
            </w:r>
          </w:p>
        </w:tc>
        <w:tc>
          <w:tcPr>
            <w:tcW w:w="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29,642</w:t>
            </w:r>
          </w:p>
        </w:tc>
        <w:tc>
          <w:tcPr>
            <w:tcW w:w="0" w:type="dxa"/>
            <w:vAlign w:val="bottom"/>
          </w:tcPr>
          <w:p>
            <w:pPr>
              <w:spacing w:after="0"/>
              <w:rPr>
                <w:sz w:val="1"/>
                <w:szCs w:val="1"/>
                <w:color w:val="auto"/>
              </w:rPr>
            </w:pPr>
          </w:p>
        </w:tc>
      </w:tr>
      <w:tr>
        <w:trPr>
          <w:trHeight w:val="152"/>
        </w:trPr>
        <w:tc>
          <w:tcPr>
            <w:tcW w:w="2260" w:type="dxa"/>
            <w:vAlign w:val="bottom"/>
          </w:tcPr>
          <w:p>
            <w:pPr>
              <w:spacing w:after="0" w:line="152" w:lineRule="exact"/>
              <w:rPr>
                <w:sz w:val="20"/>
                <w:szCs w:val="20"/>
                <w:color w:val="auto"/>
              </w:rPr>
            </w:pPr>
            <w:r>
              <w:rPr>
                <w:rFonts w:ascii="Arial" w:cs="Arial" w:eastAsia="Arial" w:hAnsi="Arial"/>
                <w:sz w:val="14"/>
                <w:szCs w:val="14"/>
                <w:color w:val="auto"/>
              </w:rPr>
              <w:t>Assets incorporated for merger with</w:t>
            </w: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260" w:type="dxa"/>
            <w:vAlign w:val="bottom"/>
          </w:tcPr>
          <w:p>
            <w:pPr>
              <w:spacing w:after="0"/>
              <w:rPr>
                <w:sz w:val="20"/>
                <w:szCs w:val="20"/>
                <w:color w:val="auto"/>
              </w:rPr>
            </w:pPr>
            <w:r>
              <w:rPr>
                <w:rFonts w:ascii="Arial" w:cs="Arial" w:eastAsia="Arial" w:hAnsi="Arial"/>
                <w:sz w:val="14"/>
                <w:szCs w:val="14"/>
                <w:color w:val="auto"/>
              </w:rPr>
              <w:t>BSCH - Peru</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460</w:t>
            </w:r>
          </w:p>
        </w:tc>
        <w:tc>
          <w:tcPr>
            <w:tcW w:w="0" w:type="dxa"/>
            <w:vAlign w:val="bottom"/>
          </w:tcPr>
          <w:p>
            <w:pPr>
              <w:spacing w:after="0"/>
              <w:rPr>
                <w:sz w:val="1"/>
                <w:szCs w:val="1"/>
                <w:color w:val="auto"/>
              </w:rPr>
            </w:pPr>
          </w:p>
        </w:tc>
      </w:tr>
      <w:tr>
        <w:trPr>
          <w:trHeight w:val="176"/>
        </w:trPr>
        <w:tc>
          <w:tcPr>
            <w:tcW w:w="2260" w:type="dxa"/>
            <w:vAlign w:val="bottom"/>
          </w:tcPr>
          <w:p>
            <w:pPr>
              <w:spacing w:after="0"/>
              <w:rPr>
                <w:sz w:val="20"/>
                <w:szCs w:val="20"/>
                <w:color w:val="auto"/>
              </w:rPr>
            </w:pPr>
            <w:r>
              <w:rPr>
                <w:rFonts w:ascii="Arial" w:cs="Arial" w:eastAsia="Arial" w:hAnsi="Arial"/>
                <w:sz w:val="14"/>
                <w:szCs w:val="14"/>
                <w:color w:val="auto"/>
              </w:rPr>
              <w:t>Retirements and transfers</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(843)</w:t>
            </w:r>
          </w:p>
        </w:tc>
        <w:tc>
          <w:tcPr>
            <w:tcW w:w="1160" w:type="dxa"/>
            <w:vAlign w:val="bottom"/>
            <w:gridSpan w:val="3"/>
          </w:tcPr>
          <w:p>
            <w:pPr>
              <w:jc w:val="right"/>
              <w:ind w:right="20"/>
              <w:spacing w:after="0"/>
              <w:rPr>
                <w:sz w:val="20"/>
                <w:szCs w:val="20"/>
                <w:color w:val="auto"/>
              </w:rPr>
            </w:pPr>
            <w:r>
              <w:rPr>
                <w:rFonts w:ascii="Arial" w:cs="Arial" w:eastAsia="Arial" w:hAnsi="Arial"/>
                <w:sz w:val="14"/>
                <w:szCs w:val="14"/>
                <w:color w:val="auto"/>
              </w:rPr>
              <w:t>(2,596)</w:t>
            </w: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(201)</w:t>
            </w:r>
          </w:p>
        </w:tc>
        <w:tc>
          <w:tcPr>
            <w:tcW w:w="1100" w:type="dxa"/>
            <w:vAlign w:val="bottom"/>
          </w:tcPr>
          <w:p>
            <w:pPr>
              <w:jc w:val="right"/>
              <w:spacing w:after="0"/>
              <w:rPr>
                <w:sz w:val="20"/>
                <w:szCs w:val="20"/>
                <w:color w:val="auto"/>
              </w:rPr>
            </w:pPr>
            <w:r>
              <w:rPr>
                <w:rFonts w:ascii="Arial" w:cs="Arial" w:eastAsia="Arial" w:hAnsi="Arial"/>
                <w:sz w:val="14"/>
                <w:szCs w:val="14"/>
                <w:color w:val="auto"/>
              </w:rPr>
              <w:t>(9,551)</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(13,191)</w:t>
            </w:r>
          </w:p>
        </w:tc>
        <w:tc>
          <w:tcPr>
            <w:tcW w:w="1120" w:type="dxa"/>
            <w:vAlign w:val="bottom"/>
          </w:tcPr>
          <w:p>
            <w:pPr>
              <w:jc w:val="right"/>
              <w:spacing w:after="0"/>
              <w:rPr>
                <w:sz w:val="20"/>
                <w:szCs w:val="20"/>
                <w:color w:val="auto"/>
              </w:rPr>
            </w:pPr>
            <w:r>
              <w:rPr>
                <w:rFonts w:ascii="Arial" w:cs="Arial" w:eastAsia="Arial" w:hAnsi="Arial"/>
                <w:sz w:val="14"/>
                <w:szCs w:val="14"/>
                <w:color w:val="auto"/>
              </w:rPr>
              <w:t>(4,341)</w:t>
            </w:r>
          </w:p>
        </w:tc>
        <w:tc>
          <w:tcPr>
            <w:tcW w:w="0" w:type="dxa"/>
            <w:vAlign w:val="bottom"/>
          </w:tcPr>
          <w:p>
            <w:pPr>
              <w:spacing w:after="0"/>
              <w:rPr>
                <w:sz w:val="1"/>
                <w:szCs w:val="1"/>
                <w:color w:val="auto"/>
              </w:rPr>
            </w:pPr>
          </w:p>
        </w:tc>
      </w:tr>
      <w:tr>
        <w:trPr>
          <w:trHeight w:val="122"/>
        </w:trPr>
        <w:tc>
          <w:tcPr>
            <w:tcW w:w="2260" w:type="dxa"/>
            <w:vAlign w:val="bottom"/>
            <w:vMerge w:val="restart"/>
          </w:tcPr>
          <w:p>
            <w:pPr>
              <w:spacing w:after="0"/>
              <w:rPr>
                <w:sz w:val="20"/>
                <w:szCs w:val="20"/>
                <w:color w:val="auto"/>
              </w:rPr>
            </w:pPr>
            <w:r>
              <w:rPr>
                <w:rFonts w:ascii="Arial" w:cs="Arial" w:eastAsia="Arial" w:hAnsi="Arial"/>
                <w:sz w:val="14"/>
                <w:szCs w:val="14"/>
                <w:b w:val="1"/>
                <w:bCs w:val="1"/>
                <w:color w:val="auto"/>
              </w:rPr>
              <w:t>Balance as of December 31</w:t>
            </w:r>
          </w:p>
        </w:tc>
        <w:tc>
          <w:tcPr>
            <w:tcW w:w="112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04"/>
        </w:trPr>
        <w:tc>
          <w:tcPr>
            <w:tcW w:w="2260" w:type="dxa"/>
            <w:vAlign w:val="bottom"/>
            <w:vMerge w:val="continue"/>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121,235</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38,692</w:t>
            </w:r>
          </w:p>
        </w:tc>
        <w:tc>
          <w:tcPr>
            <w:tcW w:w="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166,038</w:t>
            </w:r>
          </w:p>
        </w:tc>
        <w:tc>
          <w:tcPr>
            <w:tcW w:w="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14,276</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340,241</w:t>
            </w:r>
          </w:p>
        </w:tc>
        <w:tc>
          <w:tcPr>
            <w:tcW w:w="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321,812</w:t>
            </w:r>
          </w:p>
        </w:tc>
        <w:tc>
          <w:tcPr>
            <w:tcW w:w="0" w:type="dxa"/>
            <w:vAlign w:val="bottom"/>
          </w:tcPr>
          <w:p>
            <w:pPr>
              <w:spacing w:after="0"/>
              <w:rPr>
                <w:sz w:val="1"/>
                <w:szCs w:val="1"/>
                <w:color w:val="auto"/>
              </w:rPr>
            </w:pPr>
          </w:p>
        </w:tc>
      </w:tr>
      <w:tr>
        <w:trPr>
          <w:trHeight w:val="122"/>
        </w:trPr>
        <w:tc>
          <w:tcPr>
            <w:tcW w:w="2260" w:type="dxa"/>
            <w:vAlign w:val="bottom"/>
            <w:vMerge w:val="restart"/>
          </w:tcPr>
          <w:p>
            <w:pPr>
              <w:spacing w:after="0"/>
              <w:rPr>
                <w:sz w:val="20"/>
                <w:szCs w:val="20"/>
                <w:color w:val="auto"/>
              </w:rPr>
            </w:pPr>
            <w:r>
              <w:rPr>
                <w:rFonts w:ascii="Arial" w:cs="Arial" w:eastAsia="Arial" w:hAnsi="Arial"/>
                <w:sz w:val="14"/>
                <w:szCs w:val="14"/>
                <w:b w:val="1"/>
                <w:bCs w:val="1"/>
                <w:color w:val="auto"/>
              </w:rPr>
              <w:t>Net book value</w:t>
            </w:r>
          </w:p>
        </w:tc>
        <w:tc>
          <w:tcPr>
            <w:tcW w:w="112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479"/>
        </w:trPr>
        <w:tc>
          <w:tcPr>
            <w:tcW w:w="2260" w:type="dxa"/>
            <w:vAlign w:val="bottom"/>
            <w:vMerge w:val="continue"/>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33,639</w:t>
            </w:r>
          </w:p>
        </w:tc>
        <w:tc>
          <w:tcPr>
            <w:tcW w:w="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135,763</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28,234</w:t>
            </w:r>
          </w:p>
        </w:tc>
        <w:tc>
          <w:tcPr>
            <w:tcW w:w="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41,769</w:t>
            </w:r>
          </w:p>
        </w:tc>
        <w:tc>
          <w:tcPr>
            <w:tcW w:w="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19,188</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5,940</w:t>
            </w:r>
          </w:p>
        </w:tc>
        <w:tc>
          <w:tcPr>
            <w:tcW w:w="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264,533</w:t>
            </w:r>
          </w:p>
        </w:tc>
        <w:tc>
          <w:tcPr>
            <w:tcW w:w="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290,185</w:t>
            </w:r>
          </w:p>
        </w:tc>
        <w:tc>
          <w:tcPr>
            <w:tcW w:w="0" w:type="dxa"/>
            <w:vAlign w:val="bottom"/>
          </w:tcPr>
          <w:p>
            <w:pPr>
              <w:spacing w:after="0"/>
              <w:rPr>
                <w:sz w:val="1"/>
                <w:szCs w:val="1"/>
                <w:color w:val="auto"/>
              </w:rPr>
            </w:pPr>
          </w:p>
        </w:tc>
      </w:tr>
      <w:tr>
        <w:trPr>
          <w:trHeight w:val="132"/>
        </w:trPr>
        <w:tc>
          <w:tcPr>
            <w:tcW w:w="2260" w:type="dxa"/>
            <w:vAlign w:val="bottom"/>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-1926590</wp:posOffset>
            </wp:positionV>
            <wp:extent cx="34290" cy="3429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-1926590</wp:posOffset>
            </wp:positionV>
            <wp:extent cx="34290" cy="3429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3611245</wp:posOffset>
            </wp:positionH>
            <wp:positionV relativeFrom="paragraph">
              <wp:posOffset>-1926590</wp:posOffset>
            </wp:positionV>
            <wp:extent cx="34290" cy="3429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-1926590</wp:posOffset>
            </wp:positionV>
            <wp:extent cx="34290" cy="342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-1926590</wp:posOffset>
            </wp:positionV>
            <wp:extent cx="34290" cy="3429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5772785</wp:posOffset>
            </wp:positionH>
            <wp:positionV relativeFrom="paragraph">
              <wp:posOffset>-1926590</wp:posOffset>
            </wp:positionV>
            <wp:extent cx="34290" cy="3429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-1926590</wp:posOffset>
            </wp:positionV>
            <wp:extent cx="34290" cy="3429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-1926590</wp:posOffset>
            </wp:positionV>
            <wp:extent cx="34290" cy="3429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-1643380</wp:posOffset>
            </wp:positionV>
            <wp:extent cx="34290" cy="3429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-1643380</wp:posOffset>
            </wp:positionV>
            <wp:extent cx="34290" cy="3429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3611245</wp:posOffset>
            </wp:positionH>
            <wp:positionV relativeFrom="paragraph">
              <wp:posOffset>-1643380</wp:posOffset>
            </wp:positionV>
            <wp:extent cx="34290" cy="3429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-1643380</wp:posOffset>
            </wp:positionV>
            <wp:extent cx="34290" cy="3429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-1643380</wp:posOffset>
            </wp:positionV>
            <wp:extent cx="34290" cy="3429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5772785</wp:posOffset>
            </wp:positionH>
            <wp:positionV relativeFrom="paragraph">
              <wp:posOffset>-1643380</wp:posOffset>
            </wp:positionV>
            <wp:extent cx="34290" cy="3429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-1643380</wp:posOffset>
            </wp:positionV>
            <wp:extent cx="34290" cy="3429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-1643380</wp:posOffset>
            </wp:positionV>
            <wp:extent cx="34290" cy="3429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-708660</wp:posOffset>
            </wp:positionV>
            <wp:extent cx="34290" cy="3429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-708660</wp:posOffset>
            </wp:positionV>
            <wp:extent cx="34290" cy="3429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3611245</wp:posOffset>
            </wp:positionH>
            <wp:positionV relativeFrom="paragraph">
              <wp:posOffset>-708660</wp:posOffset>
            </wp:positionV>
            <wp:extent cx="34290" cy="3429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-708660</wp:posOffset>
            </wp:positionV>
            <wp:extent cx="34290" cy="3429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-708660</wp:posOffset>
            </wp:positionV>
            <wp:extent cx="34290" cy="3429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5772785</wp:posOffset>
            </wp:positionH>
            <wp:positionV relativeFrom="paragraph">
              <wp:posOffset>-708660</wp:posOffset>
            </wp:positionV>
            <wp:extent cx="34290" cy="3429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-708660</wp:posOffset>
            </wp:positionV>
            <wp:extent cx="34290" cy="3429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-708660</wp:posOffset>
            </wp:positionV>
            <wp:extent cx="34290" cy="3429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-425450</wp:posOffset>
            </wp:positionV>
            <wp:extent cx="34290" cy="3429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-425450</wp:posOffset>
            </wp:positionV>
            <wp:extent cx="34290" cy="3429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3611245</wp:posOffset>
            </wp:positionH>
            <wp:positionV relativeFrom="paragraph">
              <wp:posOffset>-425450</wp:posOffset>
            </wp:positionV>
            <wp:extent cx="34290" cy="3429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-425450</wp:posOffset>
            </wp:positionV>
            <wp:extent cx="34290" cy="3429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-425450</wp:posOffset>
            </wp:positionV>
            <wp:extent cx="34290" cy="3429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5772785</wp:posOffset>
            </wp:positionH>
            <wp:positionV relativeFrom="paragraph">
              <wp:posOffset>-425450</wp:posOffset>
            </wp:positionV>
            <wp:extent cx="34290" cy="3429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-425450</wp:posOffset>
            </wp:positionV>
            <wp:extent cx="34290" cy="3429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-425450</wp:posOffset>
            </wp:positionV>
            <wp:extent cx="34290" cy="3429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2164080</wp:posOffset>
            </wp:positionH>
            <wp:positionV relativeFrom="paragraph">
              <wp:posOffset>-14605</wp:posOffset>
            </wp:positionV>
            <wp:extent cx="12700" cy="889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1461135</wp:posOffset>
            </wp:positionH>
            <wp:positionV relativeFrom="paragraph">
              <wp:posOffset>-14605</wp:posOffset>
            </wp:positionV>
            <wp:extent cx="12700" cy="889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-14605</wp:posOffset>
            </wp:positionV>
            <wp:extent cx="12700" cy="889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-14605</wp:posOffset>
            </wp:positionV>
            <wp:extent cx="12700" cy="889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-14605</wp:posOffset>
            </wp:positionV>
            <wp:extent cx="12700" cy="889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-14605</wp:posOffset>
            </wp:positionV>
            <wp:extent cx="12700" cy="889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-14605</wp:posOffset>
            </wp:positionV>
            <wp:extent cx="12700" cy="889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-14605</wp:posOffset>
            </wp:positionV>
            <wp:extent cx="12700" cy="889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-14605</wp:posOffset>
            </wp:positionV>
            <wp:extent cx="12700" cy="889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-14605</wp:posOffset>
            </wp:positionV>
            <wp:extent cx="12700" cy="889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-14605</wp:posOffset>
            </wp:positionV>
            <wp:extent cx="12700" cy="889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-14605</wp:posOffset>
            </wp:positionV>
            <wp:extent cx="12700" cy="889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-14605</wp:posOffset>
            </wp:positionV>
            <wp:extent cx="12700" cy="889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-14605</wp:posOffset>
            </wp:positionV>
            <wp:extent cx="12700" cy="889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-14605</wp:posOffset>
            </wp:positionV>
            <wp:extent cx="12700" cy="889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-14605</wp:posOffset>
            </wp:positionV>
            <wp:extent cx="12700" cy="8890"/>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ind w:left="5540" w:right="3180" w:hanging="5532"/>
        <w:spacing w:after="0" w:line="800" w:lineRule="auto"/>
        <w:tabs>
          <w:tab w:leader="none" w:pos="248"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Banks, financial institutions and insurance companies located in Peru are not allowed to pledge their fixed assets. 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7259320" cy="3429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b w:val="1"/>
          <w:bCs w:val="1"/>
          <w:color w:val="auto"/>
        </w:rPr>
        <w:t>9. Assets seized, net</w:t>
      </w:r>
    </w:p>
    <w:p>
      <w:pPr>
        <w:spacing w:after="0" w:line="231" w:lineRule="exact"/>
        <w:rPr>
          <w:sz w:val="20"/>
          <w:szCs w:val="20"/>
          <w:color w:val="auto"/>
        </w:rPr>
      </w:pPr>
    </w:p>
    <w:p>
      <w:pPr>
        <w:ind w:right="420" w:firstLine="8"/>
        <w:spacing w:after="0" w:line="332" w:lineRule="auto"/>
        <w:tabs>
          <w:tab w:leader="none" w:pos="239" w:val="left"/>
        </w:tabs>
        <w:numPr>
          <w:ilvl w:val="0"/>
          <w:numId w:val="47"/>
        </w:numPr>
        <w:rPr>
          <w:rFonts w:ascii="Arial" w:cs="Arial" w:eastAsia="Arial" w:hAnsi="Arial"/>
          <w:sz w:val="16"/>
          <w:szCs w:val="16"/>
          <w:color w:val="auto"/>
        </w:rPr>
      </w:pPr>
      <w:r>
        <w:rPr>
          <w:rFonts w:ascii="Arial" w:cs="Arial" w:eastAsia="Arial" w:hAnsi="Arial"/>
          <w:sz w:val="16"/>
          <w:szCs w:val="16"/>
          <w:color w:val="auto"/>
        </w:rPr>
        <w:t>As of December 31, 2003 and 2002, this caption includes land, buildings and machinery and equipment received in payment of loans. Seized assets were recorded at estimated fair values determined on the basis of technical third party appraisals. This item is made up as follows:</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7940" w:type="dxa"/>
            <w:vAlign w:val="bottom"/>
          </w:tcPr>
          <w:p>
            <w:pPr>
              <w:spacing w:after="0"/>
              <w:rPr>
                <w:sz w:val="19"/>
                <w:szCs w:val="19"/>
                <w:color w:val="auto"/>
              </w:rPr>
            </w:pPr>
          </w:p>
        </w:tc>
        <w:tc>
          <w:tcPr>
            <w:tcW w:w="1700" w:type="dxa"/>
            <w:vAlign w:val="bottom"/>
          </w:tcPr>
          <w:p>
            <w:pPr>
              <w:jc w:val="right"/>
              <w:ind w:right="612"/>
              <w:spacing w:after="0"/>
              <w:rPr>
                <w:sz w:val="20"/>
                <w:szCs w:val="20"/>
                <w:color w:val="auto"/>
              </w:rPr>
            </w:pPr>
            <w:r>
              <w:rPr>
                <w:rFonts w:ascii="Arial" w:cs="Arial" w:eastAsia="Arial" w:hAnsi="Arial"/>
                <w:sz w:val="18"/>
                <w:szCs w:val="18"/>
                <w:b w:val="1"/>
                <w:bCs w:val="1"/>
                <w:color w:val="auto"/>
              </w:rPr>
              <w:t>2003</w:t>
            </w:r>
          </w:p>
        </w:tc>
        <w:tc>
          <w:tcPr>
            <w:tcW w:w="20" w:type="dxa"/>
            <w:vAlign w:val="bottom"/>
          </w:tcPr>
          <w:p>
            <w:pPr>
              <w:spacing w:after="0"/>
              <w:rPr>
                <w:sz w:val="19"/>
                <w:szCs w:val="19"/>
                <w:color w:val="auto"/>
              </w:rPr>
            </w:pPr>
          </w:p>
        </w:tc>
        <w:tc>
          <w:tcPr>
            <w:tcW w:w="1700" w:type="dxa"/>
            <w:vAlign w:val="bottom"/>
          </w:tcPr>
          <w:p>
            <w:pPr>
              <w:jc w:val="right"/>
              <w:ind w:right="612"/>
              <w:spacing w:after="0"/>
              <w:rPr>
                <w:sz w:val="20"/>
                <w:szCs w:val="20"/>
                <w:color w:val="auto"/>
              </w:rPr>
            </w:pPr>
            <w:r>
              <w:rPr>
                <w:rFonts w:ascii="Arial" w:cs="Arial" w:eastAsia="Arial" w:hAnsi="Arial"/>
                <w:sz w:val="18"/>
                <w:szCs w:val="18"/>
                <w:b w:val="1"/>
                <w:bCs w:val="1"/>
                <w:color w:val="auto"/>
              </w:rPr>
              <w:t>2002</w:t>
            </w:r>
          </w:p>
        </w:tc>
        <w:tc>
          <w:tcPr>
            <w:tcW w:w="0" w:type="dxa"/>
            <w:vAlign w:val="bottom"/>
          </w:tcPr>
          <w:p>
            <w:pPr>
              <w:spacing w:after="0"/>
              <w:rPr>
                <w:sz w:val="1"/>
                <w:szCs w:val="1"/>
                <w:color w:val="auto"/>
              </w:rPr>
            </w:pPr>
          </w:p>
        </w:tc>
      </w:tr>
      <w:tr>
        <w:trPr>
          <w:trHeight w:val="243"/>
        </w:trPr>
        <w:tc>
          <w:tcPr>
            <w:tcW w:w="7940" w:type="dxa"/>
            <w:vAlign w:val="bottom"/>
          </w:tcPr>
          <w:p>
            <w:pPr>
              <w:spacing w:after="0"/>
              <w:rPr>
                <w:sz w:val="21"/>
                <w:szCs w:val="21"/>
                <w:color w:val="auto"/>
              </w:rPr>
            </w:pPr>
          </w:p>
        </w:tc>
        <w:tc>
          <w:tcPr>
            <w:tcW w:w="1720" w:type="dxa"/>
            <w:vAlign w:val="bottom"/>
            <w:gridSpan w:val="2"/>
          </w:tcPr>
          <w:p>
            <w:pPr>
              <w:ind w:left="500"/>
              <w:spacing w:after="0"/>
              <w:rPr>
                <w:sz w:val="20"/>
                <w:szCs w:val="20"/>
                <w:color w:val="auto"/>
              </w:rPr>
            </w:pPr>
            <w:r>
              <w:rPr>
                <w:rFonts w:ascii="Arial" w:cs="Arial" w:eastAsia="Arial" w:hAnsi="Arial"/>
                <w:sz w:val="18"/>
                <w:szCs w:val="18"/>
                <w:color w:val="auto"/>
              </w:rPr>
              <w:t>US$(000)</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US$(000)</w:t>
            </w:r>
          </w:p>
        </w:tc>
        <w:tc>
          <w:tcPr>
            <w:tcW w:w="0" w:type="dxa"/>
            <w:vAlign w:val="bottom"/>
          </w:tcPr>
          <w:p>
            <w:pPr>
              <w:spacing w:after="0"/>
              <w:rPr>
                <w:sz w:val="1"/>
                <w:szCs w:val="1"/>
                <w:color w:val="auto"/>
              </w:rPr>
            </w:pPr>
          </w:p>
        </w:tc>
      </w:tr>
      <w:tr>
        <w:trPr>
          <w:trHeight w:val="486"/>
        </w:trPr>
        <w:tc>
          <w:tcPr>
            <w:tcW w:w="7940" w:type="dxa"/>
            <w:vAlign w:val="bottom"/>
          </w:tcPr>
          <w:p>
            <w:pPr>
              <w:spacing w:after="0"/>
              <w:rPr>
                <w:sz w:val="20"/>
                <w:szCs w:val="20"/>
                <w:color w:val="auto"/>
              </w:rPr>
            </w:pPr>
            <w:r>
              <w:rPr>
                <w:rFonts w:ascii="Arial" w:cs="Arial" w:eastAsia="Arial" w:hAnsi="Arial"/>
                <w:sz w:val="18"/>
                <w:szCs w:val="18"/>
                <w:color w:val="auto"/>
              </w:rPr>
              <w:t>Assets seized</w:t>
            </w:r>
          </w:p>
        </w:tc>
        <w:tc>
          <w:tcPr>
            <w:tcW w:w="1700" w:type="dxa"/>
            <w:vAlign w:val="bottom"/>
          </w:tcPr>
          <w:p>
            <w:pPr>
              <w:jc w:val="right"/>
              <w:spacing w:after="0"/>
              <w:rPr>
                <w:sz w:val="20"/>
                <w:szCs w:val="20"/>
                <w:color w:val="auto"/>
              </w:rPr>
            </w:pPr>
            <w:r>
              <w:rPr>
                <w:rFonts w:ascii="Arial" w:cs="Arial" w:eastAsia="Arial" w:hAnsi="Arial"/>
                <w:sz w:val="18"/>
                <w:szCs w:val="18"/>
                <w:color w:val="auto"/>
              </w:rPr>
              <w:t>124,077</w:t>
            </w:r>
          </w:p>
        </w:tc>
        <w:tc>
          <w:tcPr>
            <w:tcW w:w="20" w:type="dxa"/>
            <w:vAlign w:val="bottom"/>
          </w:tcPr>
          <w:p>
            <w:pPr>
              <w:spacing w:after="0"/>
              <w:rPr>
                <w:sz w:val="24"/>
                <w:szCs w:val="24"/>
                <w:color w:val="auto"/>
              </w:rPr>
            </w:pPr>
          </w:p>
        </w:tc>
        <w:tc>
          <w:tcPr>
            <w:tcW w:w="1700" w:type="dxa"/>
            <w:vAlign w:val="bottom"/>
          </w:tcPr>
          <w:p>
            <w:pPr>
              <w:ind w:left="1080"/>
              <w:spacing w:after="0"/>
              <w:rPr>
                <w:sz w:val="20"/>
                <w:szCs w:val="20"/>
                <w:color w:val="auto"/>
              </w:rPr>
            </w:pPr>
            <w:r>
              <w:rPr>
                <w:rFonts w:ascii="Arial" w:cs="Arial" w:eastAsia="Arial" w:hAnsi="Arial"/>
                <w:sz w:val="18"/>
                <w:szCs w:val="18"/>
                <w:color w:val="auto"/>
                <w:w w:val="92"/>
              </w:rPr>
              <w:t>136,066</w:t>
            </w:r>
          </w:p>
        </w:tc>
        <w:tc>
          <w:tcPr>
            <w:tcW w:w="0" w:type="dxa"/>
            <w:vAlign w:val="bottom"/>
          </w:tcPr>
          <w:p>
            <w:pPr>
              <w:spacing w:after="0"/>
              <w:rPr>
                <w:sz w:val="1"/>
                <w:szCs w:val="1"/>
                <w:color w:val="auto"/>
              </w:rPr>
            </w:pPr>
          </w:p>
        </w:tc>
      </w:tr>
      <w:tr>
        <w:trPr>
          <w:trHeight w:val="243"/>
        </w:trPr>
        <w:tc>
          <w:tcPr>
            <w:tcW w:w="7940" w:type="dxa"/>
            <w:vAlign w:val="bottom"/>
          </w:tcPr>
          <w:p>
            <w:pPr>
              <w:spacing w:after="0"/>
              <w:rPr>
                <w:sz w:val="20"/>
                <w:szCs w:val="20"/>
                <w:color w:val="auto"/>
              </w:rPr>
            </w:pPr>
            <w:r>
              <w:rPr>
                <w:rFonts w:ascii="Arial" w:cs="Arial" w:eastAsia="Arial" w:hAnsi="Arial"/>
                <w:sz w:val="18"/>
                <w:szCs w:val="18"/>
                <w:color w:val="auto"/>
              </w:rPr>
              <w:t>Reserve</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(35,047)</w:t>
            </w:r>
          </w:p>
        </w:tc>
        <w:tc>
          <w:tcPr>
            <w:tcW w:w="1700" w:type="dxa"/>
            <w:vAlign w:val="bottom"/>
          </w:tcPr>
          <w:p>
            <w:pPr>
              <w:ind w:left="1100"/>
              <w:spacing w:after="0"/>
              <w:rPr>
                <w:sz w:val="20"/>
                <w:szCs w:val="20"/>
                <w:color w:val="auto"/>
              </w:rPr>
            </w:pPr>
            <w:r>
              <w:rPr>
                <w:rFonts w:ascii="Arial" w:cs="Arial" w:eastAsia="Arial" w:hAnsi="Arial"/>
                <w:sz w:val="18"/>
                <w:szCs w:val="18"/>
                <w:color w:val="auto"/>
                <w:w w:val="86"/>
              </w:rPr>
              <w:t>(27,067)</w:t>
            </w:r>
          </w:p>
        </w:tc>
        <w:tc>
          <w:tcPr>
            <w:tcW w:w="0" w:type="dxa"/>
            <w:vAlign w:val="bottom"/>
          </w:tcPr>
          <w:p>
            <w:pPr>
              <w:spacing w:after="0"/>
              <w:rPr>
                <w:sz w:val="1"/>
                <w:szCs w:val="1"/>
                <w:color w:val="auto"/>
              </w:rPr>
            </w:pPr>
          </w:p>
        </w:tc>
      </w:tr>
      <w:tr>
        <w:trPr>
          <w:trHeight w:val="137"/>
        </w:trPr>
        <w:tc>
          <w:tcPr>
            <w:tcW w:w="794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599"/>
        </w:trPr>
        <w:tc>
          <w:tcPr>
            <w:tcW w:w="7940" w:type="dxa"/>
            <w:vAlign w:val="bottom"/>
            <w:vMerge w:val="continue"/>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89,030</w:t>
            </w:r>
          </w:p>
        </w:tc>
        <w:tc>
          <w:tcPr>
            <w:tcW w:w="20" w:type="dxa"/>
            <w:vAlign w:val="bottom"/>
          </w:tcPr>
          <w:p>
            <w:pPr>
              <w:spacing w:after="0"/>
              <w:rPr>
                <w:sz w:val="24"/>
                <w:szCs w:val="24"/>
                <w:color w:val="auto"/>
              </w:rPr>
            </w:pPr>
          </w:p>
        </w:tc>
        <w:tc>
          <w:tcPr>
            <w:tcW w:w="1700" w:type="dxa"/>
            <w:vAlign w:val="bottom"/>
          </w:tcPr>
          <w:p>
            <w:pPr>
              <w:ind w:left="1080"/>
              <w:spacing w:after="0"/>
              <w:rPr>
                <w:sz w:val="20"/>
                <w:szCs w:val="20"/>
                <w:color w:val="auto"/>
              </w:rPr>
            </w:pPr>
            <w:r>
              <w:rPr>
                <w:rFonts w:ascii="Arial" w:cs="Arial" w:eastAsia="Arial" w:hAnsi="Arial"/>
                <w:sz w:val="18"/>
                <w:szCs w:val="18"/>
                <w:color w:val="auto"/>
                <w:w w:val="92"/>
              </w:rPr>
              <w:t>108,999</w:t>
            </w:r>
          </w:p>
        </w:tc>
        <w:tc>
          <w:tcPr>
            <w:tcW w:w="0" w:type="dxa"/>
            <w:vAlign w:val="bottom"/>
          </w:tcPr>
          <w:p>
            <w:pPr>
              <w:spacing w:after="0"/>
              <w:rPr>
                <w:sz w:val="1"/>
                <w:szCs w:val="1"/>
                <w:color w:val="auto"/>
              </w:rPr>
            </w:pPr>
          </w:p>
        </w:tc>
      </w:tr>
      <w:tr>
        <w:trPr>
          <w:trHeight w:val="147"/>
        </w:trPr>
        <w:tc>
          <w:tcPr>
            <w:tcW w:w="794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6123940</wp:posOffset>
            </wp:positionH>
            <wp:positionV relativeFrom="paragraph">
              <wp:posOffset>-511810</wp:posOffset>
            </wp:positionV>
            <wp:extent cx="34290" cy="3429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-511810</wp:posOffset>
            </wp:positionV>
            <wp:extent cx="34290" cy="3429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-14605</wp:posOffset>
            </wp:positionV>
            <wp:extent cx="12700" cy="889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-14605</wp:posOffset>
            </wp:positionV>
            <wp:extent cx="12700" cy="889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-14605</wp:posOffset>
            </wp:positionV>
            <wp:extent cx="12700" cy="889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-14605</wp:posOffset>
            </wp:positionV>
            <wp:extent cx="12700" cy="889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(b) The changes in the provision for assets seized are summarized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00" w:type="dxa"/>
            <w:vAlign w:val="bottom"/>
          </w:tcPr>
          <w:p>
            <w:pPr>
              <w:spacing w:after="0"/>
              <w:rPr>
                <w:sz w:val="19"/>
                <w:szCs w:val="19"/>
                <w:color w:val="auto"/>
              </w:rPr>
            </w:pPr>
          </w:p>
        </w:tc>
        <w:tc>
          <w:tcPr>
            <w:tcW w:w="3660" w:type="dxa"/>
            <w:vAlign w:val="bottom"/>
            <w:gridSpan w:val="2"/>
          </w:tcPr>
          <w:p>
            <w:pPr>
              <w:jc w:val="right"/>
              <w:ind w:right="592"/>
              <w:spacing w:after="0"/>
              <w:rPr>
                <w:sz w:val="20"/>
                <w:szCs w:val="20"/>
                <w:color w:val="auto"/>
              </w:rPr>
            </w:pPr>
            <w:r>
              <w:rPr>
                <w:rFonts w:ascii="Arial" w:cs="Arial" w:eastAsia="Arial" w:hAnsi="Arial"/>
                <w:sz w:val="18"/>
                <w:szCs w:val="18"/>
                <w:b w:val="1"/>
                <w:bCs w:val="1"/>
                <w:color w:val="auto"/>
              </w:rPr>
              <w:t>2003</w:t>
            </w:r>
          </w:p>
        </w:tc>
        <w:tc>
          <w:tcPr>
            <w:tcW w:w="1720" w:type="dxa"/>
            <w:vAlign w:val="bottom"/>
            <w:gridSpan w:val="2"/>
          </w:tcPr>
          <w:p>
            <w:pPr>
              <w:jc w:val="right"/>
              <w:ind w:right="612"/>
              <w:spacing w:after="0"/>
              <w:rPr>
                <w:sz w:val="20"/>
                <w:szCs w:val="20"/>
                <w:color w:val="auto"/>
              </w:rPr>
            </w:pPr>
            <w:r>
              <w:rPr>
                <w:rFonts w:ascii="Arial" w:cs="Arial" w:eastAsia="Arial" w:hAnsi="Arial"/>
                <w:sz w:val="18"/>
                <w:szCs w:val="18"/>
                <w:b w:val="1"/>
                <w:bCs w:val="1"/>
                <w:color w:val="auto"/>
              </w:rPr>
              <w:t>2002</w:t>
            </w:r>
          </w:p>
        </w:tc>
        <w:tc>
          <w:tcPr>
            <w:tcW w:w="20" w:type="dxa"/>
            <w:vAlign w:val="bottom"/>
          </w:tcPr>
          <w:p>
            <w:pPr>
              <w:spacing w:after="0"/>
              <w:rPr>
                <w:sz w:val="19"/>
                <w:szCs w:val="19"/>
                <w:color w:val="auto"/>
              </w:rPr>
            </w:pPr>
          </w:p>
        </w:tc>
        <w:tc>
          <w:tcPr>
            <w:tcW w:w="1700" w:type="dxa"/>
            <w:vAlign w:val="bottom"/>
          </w:tcPr>
          <w:p>
            <w:pPr>
              <w:jc w:val="right"/>
              <w:ind w:right="612"/>
              <w:spacing w:after="0"/>
              <w:rPr>
                <w:sz w:val="20"/>
                <w:szCs w:val="20"/>
                <w:color w:val="auto"/>
              </w:rPr>
            </w:pPr>
            <w:r>
              <w:rPr>
                <w:rFonts w:ascii="Arial" w:cs="Arial" w:eastAsia="Arial" w:hAnsi="Arial"/>
                <w:sz w:val="18"/>
                <w:szCs w:val="18"/>
                <w:b w:val="1"/>
                <w:bCs w:val="1"/>
                <w:color w:val="auto"/>
              </w:rPr>
              <w:t>2001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3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8"/>
              </w:rPr>
              <w:t>US$(000)</w:t>
            </w:r>
          </w:p>
        </w:tc>
        <w:tc>
          <w:tcPr>
            <w:tcW w:w="20" w:type="dxa"/>
            <w:vAlign w:val="bottom"/>
          </w:tcPr>
          <w:p>
            <w:pPr>
              <w:spacing w:after="0"/>
              <w:rPr>
                <w:sz w:val="21"/>
                <w:szCs w:val="21"/>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US$(000)</w:t>
            </w:r>
          </w:p>
        </w:tc>
        <w:tc>
          <w:tcPr>
            <w:tcW w:w="1720" w:type="dxa"/>
            <w:vAlign w:val="bottom"/>
            <w:gridSpan w:val="2"/>
          </w:tcPr>
          <w:p>
            <w:pPr>
              <w:ind w:left="50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486"/>
        </w:trPr>
        <w:tc>
          <w:tcPr>
            <w:tcW w:w="4300" w:type="dxa"/>
            <w:vAlign w:val="bottom"/>
          </w:tcPr>
          <w:p>
            <w:pPr>
              <w:ind w:left="40"/>
              <w:spacing w:after="0"/>
              <w:rPr>
                <w:sz w:val="20"/>
                <w:szCs w:val="20"/>
                <w:color w:val="auto"/>
              </w:rPr>
            </w:pPr>
            <w:r>
              <w:rPr>
                <w:rFonts w:ascii="Arial" w:cs="Arial" w:eastAsia="Arial" w:hAnsi="Arial"/>
                <w:sz w:val="18"/>
                <w:szCs w:val="18"/>
                <w:b w:val="1"/>
                <w:bCs w:val="1"/>
                <w:color w:val="auto"/>
              </w:rPr>
              <w:t>Balances as of January 1</w:t>
            </w:r>
          </w:p>
        </w:tc>
        <w:tc>
          <w:tcPr>
            <w:tcW w:w="3660" w:type="dxa"/>
            <w:vAlign w:val="bottom"/>
            <w:gridSpan w:val="2"/>
          </w:tcPr>
          <w:p>
            <w:pPr>
              <w:ind w:left="3140"/>
              <w:spacing w:after="0"/>
              <w:rPr>
                <w:sz w:val="20"/>
                <w:szCs w:val="20"/>
                <w:color w:val="auto"/>
              </w:rPr>
            </w:pPr>
            <w:r>
              <w:rPr>
                <w:rFonts w:ascii="Arial" w:cs="Arial" w:eastAsia="Arial" w:hAnsi="Arial"/>
                <w:sz w:val="18"/>
                <w:szCs w:val="18"/>
                <w:color w:val="auto"/>
                <w:w w:val="90"/>
              </w:rPr>
              <w:t>27,067</w:t>
            </w:r>
          </w:p>
        </w:tc>
        <w:tc>
          <w:tcPr>
            <w:tcW w:w="1720" w:type="dxa"/>
            <w:vAlign w:val="bottom"/>
            <w:gridSpan w:val="2"/>
          </w:tcPr>
          <w:p>
            <w:pPr>
              <w:ind w:left="1200"/>
              <w:spacing w:after="0"/>
              <w:rPr>
                <w:sz w:val="20"/>
                <w:szCs w:val="20"/>
                <w:color w:val="auto"/>
              </w:rPr>
            </w:pPr>
            <w:r>
              <w:rPr>
                <w:rFonts w:ascii="Arial" w:cs="Arial" w:eastAsia="Arial" w:hAnsi="Arial"/>
                <w:sz w:val="18"/>
                <w:szCs w:val="18"/>
                <w:color w:val="auto"/>
                <w:w w:val="90"/>
              </w:rPr>
              <w:t>16,762</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18,280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Provision</w:t>
            </w:r>
          </w:p>
        </w:tc>
        <w:tc>
          <w:tcPr>
            <w:tcW w:w="3660" w:type="dxa"/>
            <w:vAlign w:val="bottom"/>
            <w:gridSpan w:val="2"/>
          </w:tcPr>
          <w:p>
            <w:pPr>
              <w:ind w:left="3140"/>
              <w:spacing w:after="0"/>
              <w:rPr>
                <w:sz w:val="20"/>
                <w:szCs w:val="20"/>
                <w:color w:val="auto"/>
              </w:rPr>
            </w:pPr>
            <w:r>
              <w:rPr>
                <w:rFonts w:ascii="Arial" w:cs="Arial" w:eastAsia="Arial" w:hAnsi="Arial"/>
                <w:sz w:val="18"/>
                <w:szCs w:val="18"/>
                <w:color w:val="auto"/>
                <w:w w:val="90"/>
              </w:rPr>
              <w:t>13,588</w:t>
            </w:r>
          </w:p>
        </w:tc>
        <w:tc>
          <w:tcPr>
            <w:tcW w:w="1720" w:type="dxa"/>
            <w:vAlign w:val="bottom"/>
            <w:gridSpan w:val="2"/>
          </w:tcPr>
          <w:p>
            <w:pPr>
              <w:ind w:left="1200"/>
              <w:spacing w:after="0"/>
              <w:rPr>
                <w:sz w:val="20"/>
                <w:szCs w:val="20"/>
                <w:color w:val="auto"/>
              </w:rPr>
            </w:pPr>
            <w:r>
              <w:rPr>
                <w:rFonts w:ascii="Arial" w:cs="Arial" w:eastAsia="Arial" w:hAnsi="Arial"/>
                <w:sz w:val="18"/>
                <w:szCs w:val="18"/>
                <w:color w:val="auto"/>
                <w:w w:val="90"/>
              </w:rPr>
              <w:t>15,094</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7,447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Amount recovered for sale of assets seized</w:t>
            </w:r>
          </w:p>
        </w:tc>
        <w:tc>
          <w:tcPr>
            <w:tcW w:w="3660" w:type="dxa"/>
            <w:vAlign w:val="bottom"/>
            <w:gridSpan w:val="2"/>
          </w:tcPr>
          <w:p>
            <w:pPr>
              <w:ind w:left="3160"/>
              <w:spacing w:after="0"/>
              <w:rPr>
                <w:sz w:val="20"/>
                <w:szCs w:val="20"/>
                <w:color w:val="auto"/>
              </w:rPr>
            </w:pPr>
            <w:r>
              <w:rPr>
                <w:rFonts w:ascii="Arial" w:cs="Arial" w:eastAsia="Arial" w:hAnsi="Arial"/>
                <w:sz w:val="18"/>
                <w:szCs w:val="18"/>
                <w:color w:val="auto"/>
                <w:w w:val="84"/>
              </w:rPr>
              <w:t>(5,608)</w:t>
            </w:r>
          </w:p>
        </w:tc>
        <w:tc>
          <w:tcPr>
            <w:tcW w:w="1740" w:type="dxa"/>
            <w:vAlign w:val="bottom"/>
            <w:gridSpan w:val="3"/>
          </w:tcPr>
          <w:p>
            <w:pPr>
              <w:ind w:left="1200"/>
              <w:spacing w:after="0"/>
              <w:rPr>
                <w:sz w:val="20"/>
                <w:szCs w:val="20"/>
                <w:color w:val="auto"/>
              </w:rPr>
            </w:pPr>
            <w:r>
              <w:rPr>
                <w:rFonts w:ascii="Arial" w:cs="Arial" w:eastAsia="Arial" w:hAnsi="Arial"/>
                <w:sz w:val="18"/>
                <w:szCs w:val="18"/>
                <w:color w:val="auto"/>
                <w:w w:val="91"/>
              </w:rPr>
              <w:t>(4,789)</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(8,965)</w:t>
            </w:r>
          </w:p>
        </w:tc>
        <w:tc>
          <w:tcPr>
            <w:tcW w:w="0" w:type="dxa"/>
            <w:vAlign w:val="bottom"/>
          </w:tcPr>
          <w:p>
            <w:pPr>
              <w:spacing w:after="0"/>
              <w:rPr>
                <w:sz w:val="1"/>
                <w:szCs w:val="1"/>
                <w:color w:val="auto"/>
              </w:rPr>
            </w:pPr>
          </w:p>
        </w:tc>
      </w:tr>
      <w:tr>
        <w:trPr>
          <w:trHeight w:val="137"/>
        </w:trPr>
        <w:tc>
          <w:tcPr>
            <w:tcW w:w="43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Balances as of December 31</w:t>
            </w:r>
          </w:p>
        </w:tc>
        <w:tc>
          <w:tcPr>
            <w:tcW w:w="198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99"/>
        </w:trPr>
        <w:tc>
          <w:tcPr>
            <w:tcW w:w="4300" w:type="dxa"/>
            <w:vAlign w:val="bottom"/>
            <w:vMerge w:val="continue"/>
          </w:tcPr>
          <w:p>
            <w:pPr>
              <w:spacing w:after="0"/>
              <w:rPr>
                <w:sz w:val="24"/>
                <w:szCs w:val="24"/>
                <w:color w:val="auto"/>
              </w:rPr>
            </w:pPr>
          </w:p>
        </w:tc>
        <w:tc>
          <w:tcPr>
            <w:tcW w:w="3660" w:type="dxa"/>
            <w:vAlign w:val="bottom"/>
            <w:gridSpan w:val="2"/>
          </w:tcPr>
          <w:p>
            <w:pPr>
              <w:ind w:left="3140"/>
              <w:spacing w:after="0"/>
              <w:rPr>
                <w:sz w:val="20"/>
                <w:szCs w:val="20"/>
                <w:color w:val="auto"/>
              </w:rPr>
            </w:pPr>
            <w:r>
              <w:rPr>
                <w:rFonts w:ascii="Arial" w:cs="Arial" w:eastAsia="Arial" w:hAnsi="Arial"/>
                <w:sz w:val="18"/>
                <w:szCs w:val="18"/>
                <w:color w:val="auto"/>
                <w:w w:val="90"/>
              </w:rPr>
              <w:t>35,047</w:t>
            </w:r>
          </w:p>
        </w:tc>
        <w:tc>
          <w:tcPr>
            <w:tcW w:w="1720" w:type="dxa"/>
            <w:vAlign w:val="bottom"/>
            <w:gridSpan w:val="2"/>
          </w:tcPr>
          <w:p>
            <w:pPr>
              <w:ind w:left="1200"/>
              <w:spacing w:after="0"/>
              <w:rPr>
                <w:sz w:val="20"/>
                <w:szCs w:val="20"/>
                <w:color w:val="auto"/>
              </w:rPr>
            </w:pPr>
            <w:r>
              <w:rPr>
                <w:rFonts w:ascii="Arial" w:cs="Arial" w:eastAsia="Arial" w:hAnsi="Arial"/>
                <w:sz w:val="18"/>
                <w:szCs w:val="18"/>
                <w:color w:val="auto"/>
                <w:w w:val="90"/>
              </w:rPr>
              <w:t>27,067</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16,762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43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89"/>
        </w:trPr>
        <w:tc>
          <w:tcPr>
            <w:tcW w:w="4300" w:type="dxa"/>
            <w:vAlign w:val="bottom"/>
          </w:tcPr>
          <w:p>
            <w:pPr>
              <w:spacing w:after="0"/>
              <w:rPr>
                <w:sz w:val="24"/>
                <w:szCs w:val="24"/>
                <w:color w:val="auto"/>
              </w:rPr>
            </w:pPr>
          </w:p>
        </w:tc>
        <w:tc>
          <w:tcPr>
            <w:tcW w:w="3660" w:type="dxa"/>
            <w:vAlign w:val="bottom"/>
            <w:gridSpan w:val="2"/>
          </w:tcPr>
          <w:p>
            <w:pPr>
              <w:ind w:left="1240"/>
              <w:spacing w:after="0"/>
              <w:rPr>
                <w:sz w:val="20"/>
                <w:szCs w:val="20"/>
                <w:color w:val="auto"/>
              </w:rPr>
            </w:pPr>
            <w:r>
              <w:rPr>
                <w:rFonts w:ascii="Arial" w:cs="Arial" w:eastAsia="Arial" w:hAnsi="Arial"/>
                <w:sz w:val="18"/>
                <w:szCs w:val="18"/>
                <w:color w:val="auto"/>
              </w:rPr>
              <w:t>F-34</w:t>
            </w: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300" w:type="dxa"/>
            <w:vAlign w:val="bottom"/>
            <w:tcBorders>
              <w:bottom w:val="single" w:sz="8" w:color="9A9A9A"/>
            </w:tcBorders>
          </w:tcPr>
          <w:p>
            <w:pPr>
              <w:spacing w:after="0"/>
              <w:rPr>
                <w:sz w:val="9"/>
                <w:szCs w:val="9"/>
                <w:color w:val="auto"/>
              </w:rPr>
            </w:pPr>
          </w:p>
        </w:tc>
        <w:tc>
          <w:tcPr>
            <w:tcW w:w="198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5034915</wp:posOffset>
            </wp:positionH>
            <wp:positionV relativeFrom="paragraph">
              <wp:posOffset>-963930</wp:posOffset>
            </wp:positionV>
            <wp:extent cx="34290" cy="3429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-963930</wp:posOffset>
            </wp:positionV>
            <wp:extent cx="34290" cy="3429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-963930</wp:posOffset>
            </wp:positionV>
            <wp:extent cx="34290" cy="34290"/>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-466725</wp:posOffset>
            </wp:positionV>
            <wp:extent cx="12700" cy="889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-466725</wp:posOffset>
            </wp:positionV>
            <wp:extent cx="12700" cy="889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-466725</wp:posOffset>
            </wp:positionV>
            <wp:extent cx="12700" cy="889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-466725</wp:posOffset>
            </wp:positionV>
            <wp:extent cx="12700" cy="889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-466725</wp:posOffset>
            </wp:positionV>
            <wp:extent cx="12700" cy="889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-466725</wp:posOffset>
            </wp:positionV>
            <wp:extent cx="12700" cy="889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228"/>
        </w:trPr>
        <w:tc>
          <w:tcPr>
            <w:tcW w:w="7980" w:type="dxa"/>
            <w:vAlign w:val="bottom"/>
          </w:tcPr>
          <w:p>
            <w:pPr>
              <w:spacing w:after="0"/>
              <w:rPr>
                <w:sz w:val="20"/>
                <w:szCs w:val="20"/>
                <w:color w:val="auto"/>
              </w:rPr>
            </w:pPr>
            <w:r>
              <w:rPr>
                <w:rFonts w:ascii="Arial" w:cs="Arial" w:eastAsia="Arial" w:hAnsi="Arial"/>
                <w:sz w:val="18"/>
                <w:szCs w:val="18"/>
                <w:b w:val="1"/>
                <w:bCs w:val="1"/>
                <w:color w:val="auto"/>
              </w:rPr>
              <w:t>10. Other assets and other liabilities</w:t>
            </w: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7980" w:type="dxa"/>
            <w:vAlign w:val="bottom"/>
          </w:tcPr>
          <w:p>
            <w:pPr>
              <w:spacing w:after="0"/>
              <w:rPr>
                <w:sz w:val="20"/>
                <w:szCs w:val="20"/>
                <w:color w:val="auto"/>
              </w:rPr>
            </w:pPr>
            <w:r>
              <w:rPr>
                <w:rFonts w:ascii="Arial" w:cs="Arial" w:eastAsia="Arial" w:hAnsi="Arial"/>
                <w:sz w:val="18"/>
                <w:szCs w:val="18"/>
                <w:color w:val="auto"/>
              </w:rPr>
              <w:t>(a) These items are made up as follows:</w:t>
            </w: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980" w:type="dxa"/>
            <w:vAlign w:val="bottom"/>
          </w:tcPr>
          <w:p>
            <w:pPr>
              <w:spacing w:after="0"/>
              <w:rPr>
                <w:sz w:val="24"/>
                <w:szCs w:val="24"/>
                <w:color w:val="auto"/>
              </w:rPr>
            </w:pPr>
          </w:p>
        </w:tc>
        <w:tc>
          <w:tcPr>
            <w:tcW w:w="1700" w:type="dxa"/>
            <w:vAlign w:val="bottom"/>
          </w:tcPr>
          <w:p>
            <w:pPr>
              <w:jc w:val="right"/>
              <w:ind w:right="612"/>
              <w:spacing w:after="0"/>
              <w:rPr>
                <w:sz w:val="20"/>
                <w:szCs w:val="20"/>
                <w:color w:val="auto"/>
              </w:rPr>
            </w:pPr>
            <w:r>
              <w:rPr>
                <w:rFonts w:ascii="Arial" w:cs="Arial" w:eastAsia="Arial" w:hAnsi="Arial"/>
                <w:sz w:val="18"/>
                <w:szCs w:val="18"/>
                <w:b w:val="1"/>
                <w:bCs w:val="1"/>
                <w:color w:val="auto"/>
              </w:rPr>
              <w:t>2003</w:t>
            </w:r>
          </w:p>
        </w:tc>
        <w:tc>
          <w:tcPr>
            <w:tcW w:w="1720" w:type="dxa"/>
            <w:vAlign w:val="bottom"/>
            <w:gridSpan w:val="2"/>
          </w:tcPr>
          <w:p>
            <w:pPr>
              <w:jc w:val="right"/>
              <w:ind w:right="612"/>
              <w:spacing w:after="0"/>
              <w:rPr>
                <w:sz w:val="20"/>
                <w:szCs w:val="20"/>
                <w:color w:val="auto"/>
              </w:rPr>
            </w:pPr>
            <w:r>
              <w:rPr>
                <w:rFonts w:ascii="Arial" w:cs="Arial" w:eastAsia="Arial" w:hAnsi="Arial"/>
                <w:sz w:val="18"/>
                <w:szCs w:val="18"/>
                <w:b w:val="1"/>
                <w:bCs w:val="1"/>
                <w:color w:val="auto"/>
              </w:rPr>
              <w:t>2002</w:t>
            </w:r>
          </w:p>
        </w:tc>
        <w:tc>
          <w:tcPr>
            <w:tcW w:w="0" w:type="dxa"/>
            <w:vAlign w:val="bottom"/>
          </w:tcPr>
          <w:p>
            <w:pPr>
              <w:spacing w:after="0"/>
              <w:rPr>
                <w:sz w:val="1"/>
                <w:szCs w:val="1"/>
                <w:color w:val="auto"/>
              </w:rPr>
            </w:pPr>
          </w:p>
        </w:tc>
      </w:tr>
      <w:tr>
        <w:trPr>
          <w:trHeight w:val="243"/>
        </w:trPr>
        <w:tc>
          <w:tcPr>
            <w:tcW w:w="7980" w:type="dxa"/>
            <w:vAlign w:val="bottom"/>
          </w:tcPr>
          <w:p>
            <w:pPr>
              <w:spacing w:after="0"/>
              <w:rPr>
                <w:sz w:val="21"/>
                <w:szCs w:val="21"/>
                <w:color w:val="auto"/>
              </w:rPr>
            </w:pPr>
          </w:p>
        </w:tc>
        <w:tc>
          <w:tcPr>
            <w:tcW w:w="1700" w:type="dxa"/>
            <w:vAlign w:val="bottom"/>
          </w:tcPr>
          <w:p>
            <w:pPr>
              <w:jc w:val="right"/>
              <w:ind w:right="412"/>
              <w:spacing w:after="0"/>
              <w:rPr>
                <w:sz w:val="20"/>
                <w:szCs w:val="20"/>
                <w:color w:val="auto"/>
              </w:rPr>
            </w:pPr>
            <w:r>
              <w:rPr>
                <w:rFonts w:ascii="Arial" w:cs="Arial" w:eastAsia="Arial" w:hAnsi="Arial"/>
                <w:sz w:val="18"/>
                <w:szCs w:val="18"/>
                <w:color w:val="auto"/>
              </w:rPr>
              <w:t>US$(000)</w:t>
            </w:r>
          </w:p>
        </w:tc>
        <w:tc>
          <w:tcPr>
            <w:tcW w:w="20" w:type="dxa"/>
            <w:vAlign w:val="bottom"/>
          </w:tcPr>
          <w:p>
            <w:pPr>
              <w:spacing w:after="0"/>
              <w:rPr>
                <w:sz w:val="21"/>
                <w:szCs w:val="21"/>
                <w:color w:val="auto"/>
              </w:rPr>
            </w:pPr>
          </w:p>
        </w:tc>
        <w:tc>
          <w:tcPr>
            <w:tcW w:w="1700" w:type="dxa"/>
            <w:vAlign w:val="bottom"/>
          </w:tcPr>
          <w:p>
            <w:pPr>
              <w:jc w:val="right"/>
              <w:ind w:right="412"/>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b w:val="1"/>
                <w:bCs w:val="1"/>
                <w:color w:val="auto"/>
              </w:rPr>
              <w:t>Other assets -</w:t>
            </w: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Interest, commissions and accounts receivable</w:t>
            </w:r>
          </w:p>
        </w:tc>
        <w:tc>
          <w:tcPr>
            <w:tcW w:w="1700" w:type="dxa"/>
            <w:vAlign w:val="bottom"/>
          </w:tcPr>
          <w:p>
            <w:pPr>
              <w:jc w:val="right"/>
              <w:spacing w:after="0"/>
              <w:rPr>
                <w:sz w:val="20"/>
                <w:szCs w:val="20"/>
                <w:color w:val="auto"/>
              </w:rPr>
            </w:pPr>
            <w:r>
              <w:rPr>
                <w:rFonts w:ascii="Arial" w:cs="Arial" w:eastAsia="Arial" w:hAnsi="Arial"/>
                <w:sz w:val="18"/>
                <w:szCs w:val="18"/>
                <w:color w:val="auto"/>
              </w:rPr>
              <w:t>85,072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118,035</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Operations in process (b)</w:t>
            </w:r>
          </w:p>
        </w:tc>
        <w:tc>
          <w:tcPr>
            <w:tcW w:w="1700" w:type="dxa"/>
            <w:vAlign w:val="bottom"/>
          </w:tcPr>
          <w:p>
            <w:pPr>
              <w:jc w:val="right"/>
              <w:spacing w:after="0"/>
              <w:rPr>
                <w:sz w:val="20"/>
                <w:szCs w:val="20"/>
                <w:color w:val="auto"/>
              </w:rPr>
            </w:pPr>
            <w:r>
              <w:rPr>
                <w:rFonts w:ascii="Arial" w:cs="Arial" w:eastAsia="Arial" w:hAnsi="Arial"/>
                <w:sz w:val="18"/>
                <w:szCs w:val="18"/>
                <w:color w:val="auto"/>
              </w:rPr>
              <w:t>32,849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38,406</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Goodwill, net (c)</w:t>
            </w:r>
          </w:p>
        </w:tc>
        <w:tc>
          <w:tcPr>
            <w:tcW w:w="1700" w:type="dxa"/>
            <w:vAlign w:val="bottom"/>
          </w:tcPr>
          <w:p>
            <w:pPr>
              <w:jc w:val="right"/>
              <w:spacing w:after="0"/>
              <w:rPr>
                <w:sz w:val="20"/>
                <w:szCs w:val="20"/>
                <w:color w:val="auto"/>
              </w:rPr>
            </w:pPr>
            <w:r>
              <w:rPr>
                <w:rFonts w:ascii="Arial" w:cs="Arial" w:eastAsia="Arial" w:hAnsi="Arial"/>
                <w:sz w:val="18"/>
                <w:szCs w:val="18"/>
                <w:color w:val="auto"/>
              </w:rPr>
              <w:t>32,510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28,741</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Income tax prepayments</w:t>
            </w:r>
          </w:p>
        </w:tc>
        <w:tc>
          <w:tcPr>
            <w:tcW w:w="1700" w:type="dxa"/>
            <w:vAlign w:val="bottom"/>
          </w:tcPr>
          <w:p>
            <w:pPr>
              <w:jc w:val="right"/>
              <w:spacing w:after="0"/>
              <w:rPr>
                <w:sz w:val="20"/>
                <w:szCs w:val="20"/>
                <w:color w:val="auto"/>
              </w:rPr>
            </w:pPr>
            <w:r>
              <w:rPr>
                <w:rFonts w:ascii="Arial" w:cs="Arial" w:eastAsia="Arial" w:hAnsi="Arial"/>
                <w:sz w:val="18"/>
                <w:szCs w:val="18"/>
                <w:color w:val="auto"/>
              </w:rPr>
              <w:t>31,374</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21,770</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Deferred expenses</w:t>
            </w:r>
          </w:p>
        </w:tc>
        <w:tc>
          <w:tcPr>
            <w:tcW w:w="1700" w:type="dxa"/>
            <w:vAlign w:val="bottom"/>
          </w:tcPr>
          <w:p>
            <w:pPr>
              <w:jc w:val="right"/>
              <w:spacing w:after="0"/>
              <w:rPr>
                <w:sz w:val="20"/>
                <w:szCs w:val="20"/>
                <w:color w:val="auto"/>
              </w:rPr>
            </w:pPr>
            <w:r>
              <w:rPr>
                <w:rFonts w:ascii="Arial" w:cs="Arial" w:eastAsia="Arial" w:hAnsi="Arial"/>
                <w:sz w:val="18"/>
                <w:szCs w:val="18"/>
                <w:color w:val="auto"/>
              </w:rPr>
              <w:t>28,780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23,108</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Intangibles, net (d)</w:t>
            </w:r>
          </w:p>
        </w:tc>
        <w:tc>
          <w:tcPr>
            <w:tcW w:w="1700" w:type="dxa"/>
            <w:vAlign w:val="bottom"/>
          </w:tcPr>
          <w:p>
            <w:pPr>
              <w:jc w:val="right"/>
              <w:spacing w:after="0"/>
              <w:rPr>
                <w:sz w:val="20"/>
                <w:szCs w:val="20"/>
                <w:color w:val="auto"/>
              </w:rPr>
            </w:pPr>
            <w:r>
              <w:rPr>
                <w:rFonts w:ascii="Arial" w:cs="Arial" w:eastAsia="Arial" w:hAnsi="Arial"/>
                <w:sz w:val="18"/>
                <w:szCs w:val="18"/>
                <w:color w:val="auto"/>
              </w:rPr>
              <w:t>22,206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22,200</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Deferred income tax, note 15(b)</w:t>
            </w:r>
          </w:p>
        </w:tc>
        <w:tc>
          <w:tcPr>
            <w:tcW w:w="1700" w:type="dxa"/>
            <w:vAlign w:val="bottom"/>
          </w:tcPr>
          <w:p>
            <w:pPr>
              <w:jc w:val="right"/>
              <w:spacing w:after="0"/>
              <w:rPr>
                <w:sz w:val="20"/>
                <w:szCs w:val="20"/>
                <w:color w:val="auto"/>
              </w:rPr>
            </w:pPr>
            <w:r>
              <w:rPr>
                <w:rFonts w:ascii="Arial" w:cs="Arial" w:eastAsia="Arial" w:hAnsi="Arial"/>
                <w:sz w:val="18"/>
                <w:szCs w:val="18"/>
                <w:color w:val="auto"/>
              </w:rPr>
              <w:t>20,305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12,858</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Accounts receivable for derivatives instruments</w:t>
            </w:r>
          </w:p>
        </w:tc>
        <w:tc>
          <w:tcPr>
            <w:tcW w:w="1700" w:type="dxa"/>
            <w:vAlign w:val="bottom"/>
          </w:tcPr>
          <w:p>
            <w:pPr>
              <w:jc w:val="right"/>
              <w:spacing w:after="0"/>
              <w:rPr>
                <w:sz w:val="20"/>
                <w:szCs w:val="20"/>
                <w:color w:val="auto"/>
              </w:rPr>
            </w:pPr>
            <w:r>
              <w:rPr>
                <w:rFonts w:ascii="Arial" w:cs="Arial" w:eastAsia="Arial" w:hAnsi="Arial"/>
                <w:sz w:val="18"/>
                <w:szCs w:val="18"/>
                <w:color w:val="auto"/>
              </w:rPr>
              <w:t>3,974</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10,543</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Other</w:t>
            </w:r>
          </w:p>
        </w:tc>
        <w:tc>
          <w:tcPr>
            <w:tcW w:w="1700" w:type="dxa"/>
            <w:vAlign w:val="bottom"/>
          </w:tcPr>
          <w:p>
            <w:pPr>
              <w:jc w:val="right"/>
              <w:spacing w:after="0"/>
              <w:rPr>
                <w:sz w:val="20"/>
                <w:szCs w:val="20"/>
                <w:color w:val="auto"/>
              </w:rPr>
            </w:pPr>
            <w:r>
              <w:rPr>
                <w:rFonts w:ascii="Arial" w:cs="Arial" w:eastAsia="Arial" w:hAnsi="Arial"/>
                <w:sz w:val="18"/>
                <w:szCs w:val="18"/>
                <w:color w:val="auto"/>
              </w:rPr>
              <w:t>19,715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10,775</w:t>
            </w:r>
          </w:p>
        </w:tc>
        <w:tc>
          <w:tcPr>
            <w:tcW w:w="0" w:type="dxa"/>
            <w:vAlign w:val="bottom"/>
          </w:tcPr>
          <w:p>
            <w:pPr>
              <w:spacing w:after="0"/>
              <w:rPr>
                <w:sz w:val="1"/>
                <w:szCs w:val="1"/>
                <w:color w:val="auto"/>
              </w:rPr>
            </w:pPr>
          </w:p>
        </w:tc>
      </w:tr>
      <w:tr>
        <w:trPr>
          <w:trHeight w:val="137"/>
        </w:trPr>
        <w:tc>
          <w:tcPr>
            <w:tcW w:w="79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Total</w:t>
            </w: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599"/>
        </w:trPr>
        <w:tc>
          <w:tcPr>
            <w:tcW w:w="7980" w:type="dxa"/>
            <w:vAlign w:val="bottom"/>
            <w:vMerge w:val="continue"/>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276,785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286,436</w:t>
            </w:r>
          </w:p>
        </w:tc>
        <w:tc>
          <w:tcPr>
            <w:tcW w:w="0" w:type="dxa"/>
            <w:vAlign w:val="bottom"/>
          </w:tcPr>
          <w:p>
            <w:pPr>
              <w:spacing w:after="0"/>
              <w:rPr>
                <w:sz w:val="1"/>
                <w:szCs w:val="1"/>
                <w:color w:val="auto"/>
              </w:rPr>
            </w:pPr>
          </w:p>
        </w:tc>
      </w:tr>
      <w:tr>
        <w:trPr>
          <w:trHeight w:val="147"/>
        </w:trPr>
        <w:tc>
          <w:tcPr>
            <w:tcW w:w="79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Other liabilities -</w:t>
            </w:r>
          </w:p>
        </w:tc>
        <w:tc>
          <w:tcPr>
            <w:tcW w:w="1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89"/>
        </w:trPr>
        <w:tc>
          <w:tcPr>
            <w:tcW w:w="798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Interest and other accounts payable</w:t>
            </w:r>
          </w:p>
        </w:tc>
        <w:tc>
          <w:tcPr>
            <w:tcW w:w="1700" w:type="dxa"/>
            <w:vAlign w:val="bottom"/>
          </w:tcPr>
          <w:p>
            <w:pPr>
              <w:jc w:val="right"/>
              <w:spacing w:after="0"/>
              <w:rPr>
                <w:sz w:val="20"/>
                <w:szCs w:val="20"/>
                <w:color w:val="auto"/>
              </w:rPr>
            </w:pPr>
            <w:r>
              <w:rPr>
                <w:rFonts w:ascii="Arial" w:cs="Arial" w:eastAsia="Arial" w:hAnsi="Arial"/>
                <w:sz w:val="18"/>
                <w:szCs w:val="18"/>
                <w:color w:val="auto"/>
              </w:rPr>
              <w:t>96,431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123,115</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Payroll taxes, salaries and other personnel expenses payable</w:t>
            </w:r>
          </w:p>
        </w:tc>
        <w:tc>
          <w:tcPr>
            <w:tcW w:w="1700" w:type="dxa"/>
            <w:vAlign w:val="bottom"/>
          </w:tcPr>
          <w:p>
            <w:pPr>
              <w:jc w:val="right"/>
              <w:spacing w:after="0"/>
              <w:rPr>
                <w:sz w:val="20"/>
                <w:szCs w:val="20"/>
                <w:color w:val="auto"/>
              </w:rPr>
            </w:pPr>
            <w:r>
              <w:rPr>
                <w:rFonts w:ascii="Arial" w:cs="Arial" w:eastAsia="Arial" w:hAnsi="Arial"/>
                <w:sz w:val="18"/>
                <w:szCs w:val="18"/>
                <w:color w:val="auto"/>
              </w:rPr>
              <w:t>28,695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24,940</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Deferred income tax, note 15 (b)</w:t>
            </w:r>
          </w:p>
        </w:tc>
        <w:tc>
          <w:tcPr>
            <w:tcW w:w="1700" w:type="dxa"/>
            <w:vAlign w:val="bottom"/>
          </w:tcPr>
          <w:p>
            <w:pPr>
              <w:jc w:val="right"/>
              <w:spacing w:after="0"/>
              <w:rPr>
                <w:sz w:val="20"/>
                <w:szCs w:val="20"/>
                <w:color w:val="auto"/>
              </w:rPr>
            </w:pPr>
            <w:r>
              <w:rPr>
                <w:rFonts w:ascii="Arial" w:cs="Arial" w:eastAsia="Arial" w:hAnsi="Arial"/>
                <w:sz w:val="18"/>
                <w:szCs w:val="18"/>
                <w:color w:val="auto"/>
              </w:rPr>
              <w:t>23,022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25,085</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Operations in process (b)</w:t>
            </w:r>
          </w:p>
        </w:tc>
        <w:tc>
          <w:tcPr>
            <w:tcW w:w="1700" w:type="dxa"/>
            <w:vAlign w:val="bottom"/>
          </w:tcPr>
          <w:p>
            <w:pPr>
              <w:jc w:val="right"/>
              <w:spacing w:after="0"/>
              <w:rPr>
                <w:sz w:val="20"/>
                <w:szCs w:val="20"/>
                <w:color w:val="auto"/>
              </w:rPr>
            </w:pPr>
            <w:r>
              <w:rPr>
                <w:rFonts w:ascii="Arial" w:cs="Arial" w:eastAsia="Arial" w:hAnsi="Arial"/>
                <w:sz w:val="18"/>
                <w:szCs w:val="18"/>
                <w:color w:val="auto"/>
              </w:rPr>
              <w:t>22,817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47,763</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Provision for sundry risks (e)</w:t>
            </w:r>
          </w:p>
        </w:tc>
        <w:tc>
          <w:tcPr>
            <w:tcW w:w="1700" w:type="dxa"/>
            <w:vAlign w:val="bottom"/>
          </w:tcPr>
          <w:p>
            <w:pPr>
              <w:jc w:val="right"/>
              <w:spacing w:after="0"/>
              <w:rPr>
                <w:sz w:val="20"/>
                <w:szCs w:val="20"/>
                <w:color w:val="auto"/>
              </w:rPr>
            </w:pPr>
            <w:r>
              <w:rPr>
                <w:rFonts w:ascii="Arial" w:cs="Arial" w:eastAsia="Arial" w:hAnsi="Arial"/>
                <w:sz w:val="18"/>
                <w:szCs w:val="18"/>
                <w:color w:val="auto"/>
              </w:rPr>
              <w:t>10,078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11,942</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Accounts payable for derivatives instruments</w:t>
            </w:r>
          </w:p>
        </w:tc>
        <w:tc>
          <w:tcPr>
            <w:tcW w:w="1700" w:type="dxa"/>
            <w:vAlign w:val="bottom"/>
          </w:tcPr>
          <w:p>
            <w:pPr>
              <w:jc w:val="right"/>
              <w:spacing w:after="0"/>
              <w:rPr>
                <w:sz w:val="20"/>
                <w:szCs w:val="20"/>
                <w:color w:val="auto"/>
              </w:rPr>
            </w:pPr>
            <w:r>
              <w:rPr>
                <w:rFonts w:ascii="Arial" w:cs="Arial" w:eastAsia="Arial" w:hAnsi="Arial"/>
                <w:sz w:val="18"/>
                <w:szCs w:val="18"/>
                <w:color w:val="auto"/>
              </w:rPr>
              <w:t>1,069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137"/>
        </w:trPr>
        <w:tc>
          <w:tcPr>
            <w:tcW w:w="79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Total</w:t>
            </w: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599"/>
        </w:trPr>
        <w:tc>
          <w:tcPr>
            <w:tcW w:w="7980" w:type="dxa"/>
            <w:vAlign w:val="bottom"/>
            <w:vMerge w:val="continue"/>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182,112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233,856</w:t>
            </w:r>
          </w:p>
        </w:tc>
        <w:tc>
          <w:tcPr>
            <w:tcW w:w="0" w:type="dxa"/>
            <w:vAlign w:val="bottom"/>
          </w:tcPr>
          <w:p>
            <w:pPr>
              <w:spacing w:after="0"/>
              <w:rPr>
                <w:sz w:val="1"/>
                <w:szCs w:val="1"/>
                <w:color w:val="auto"/>
              </w:rPr>
            </w:pPr>
          </w:p>
        </w:tc>
      </w:tr>
      <w:tr>
        <w:trPr>
          <w:trHeight w:val="147"/>
        </w:trPr>
        <w:tc>
          <w:tcPr>
            <w:tcW w:w="798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6123940</wp:posOffset>
            </wp:positionH>
            <wp:positionV relativeFrom="paragraph">
              <wp:posOffset>-2398395</wp:posOffset>
            </wp:positionV>
            <wp:extent cx="34290" cy="3429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-2398395</wp:posOffset>
            </wp:positionV>
            <wp:extent cx="34290" cy="3429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-1901190</wp:posOffset>
            </wp:positionV>
            <wp:extent cx="12700" cy="889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-1901190</wp:posOffset>
            </wp:positionV>
            <wp:extent cx="12700" cy="889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-1901190</wp:posOffset>
            </wp:positionV>
            <wp:extent cx="12700" cy="889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-1901190</wp:posOffset>
            </wp:positionV>
            <wp:extent cx="12700" cy="889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-511810</wp:posOffset>
            </wp:positionV>
            <wp:extent cx="34290" cy="3429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-511810</wp:posOffset>
            </wp:positionV>
            <wp:extent cx="34290" cy="34290"/>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-14605</wp:posOffset>
            </wp:positionV>
            <wp:extent cx="12700" cy="889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-14605</wp:posOffset>
            </wp:positionV>
            <wp:extent cx="12700" cy="889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-14605</wp:posOffset>
            </wp:positionV>
            <wp:extent cx="12700" cy="889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-14605</wp:posOffset>
            </wp:positionV>
            <wp:extent cx="12700" cy="8890"/>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20" w:lineRule="exact"/>
        <w:rPr>
          <w:sz w:val="20"/>
          <w:szCs w:val="20"/>
          <w:color w:val="auto"/>
        </w:rPr>
      </w:pPr>
    </w:p>
    <w:p>
      <w:pPr>
        <w:ind w:right="120" w:firstLine="8"/>
        <w:spacing w:after="0" w:line="259" w:lineRule="auto"/>
        <w:tabs>
          <w:tab w:leader="none" w:pos="249" w:val="left"/>
        </w:tabs>
        <w:numPr>
          <w:ilvl w:val="0"/>
          <w:numId w:val="48"/>
        </w:numPr>
        <w:rPr>
          <w:rFonts w:ascii="Arial" w:cs="Arial" w:eastAsia="Arial" w:hAnsi="Arial"/>
          <w:sz w:val="18"/>
          <w:szCs w:val="18"/>
          <w:color w:val="auto"/>
        </w:rPr>
      </w:pPr>
      <w:r>
        <w:rPr>
          <w:rFonts w:ascii="Arial" w:cs="Arial" w:eastAsia="Arial" w:hAnsi="Arial"/>
          <w:sz w:val="18"/>
          <w:szCs w:val="18"/>
          <w:color w:val="auto"/>
        </w:rPr>
        <w:t>Operations in process include deposits received, loans disbursed, payments collected, funds transferred and other similar types of transactions, which are realized at the end of the month and not reclassified to their final balance sheets accounts until the beginning days of the following month. These transactions do not affect the Group’s net income.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59320" cy="34290"/>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222"/>
        </w:trPr>
        <w:tc>
          <w:tcPr>
            <w:tcW w:w="6620" w:type="dxa"/>
            <w:vAlign w:val="bottom"/>
            <w:gridSpan w:val="2"/>
          </w:tcPr>
          <w:p>
            <w:pPr>
              <w:spacing w:after="0"/>
              <w:rPr>
                <w:sz w:val="20"/>
                <w:szCs w:val="20"/>
                <w:color w:val="auto"/>
              </w:rPr>
            </w:pPr>
            <w:r>
              <w:rPr>
                <w:rFonts w:ascii="Arial" w:cs="Arial" w:eastAsia="Arial" w:hAnsi="Arial"/>
                <w:sz w:val="18"/>
                <w:szCs w:val="18"/>
                <w:color w:val="auto"/>
                <w:w w:val="90"/>
              </w:rPr>
              <w:t>(c) The movement of goodwill for the years 2003, 2002 and 2001 is summarized as follows:</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59"/>
        </w:trPr>
        <w:tc>
          <w:tcPr>
            <w:tcW w:w="6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jc w:val="right"/>
              <w:ind w:right="592"/>
              <w:spacing w:after="0"/>
              <w:rPr>
                <w:sz w:val="20"/>
                <w:szCs w:val="20"/>
                <w:color w:val="auto"/>
              </w:rPr>
            </w:pPr>
            <w:r>
              <w:rPr>
                <w:rFonts w:ascii="Arial" w:cs="Arial" w:eastAsia="Arial" w:hAnsi="Arial"/>
                <w:sz w:val="18"/>
                <w:szCs w:val="18"/>
                <w:b w:val="1"/>
                <w:bCs w:val="1"/>
                <w:color w:val="auto"/>
              </w:rPr>
              <w:t>2003</w:t>
            </w:r>
          </w:p>
        </w:tc>
        <w:tc>
          <w:tcPr>
            <w:tcW w:w="1720" w:type="dxa"/>
            <w:vAlign w:val="bottom"/>
            <w:gridSpan w:val="2"/>
          </w:tcPr>
          <w:p>
            <w:pPr>
              <w:jc w:val="right"/>
              <w:ind w:right="612"/>
              <w:spacing w:after="0"/>
              <w:rPr>
                <w:sz w:val="20"/>
                <w:szCs w:val="20"/>
                <w:color w:val="auto"/>
              </w:rPr>
            </w:pPr>
            <w:r>
              <w:rPr>
                <w:rFonts w:ascii="Arial" w:cs="Arial" w:eastAsia="Arial" w:hAnsi="Arial"/>
                <w:sz w:val="18"/>
                <w:szCs w:val="18"/>
                <w:b w:val="1"/>
                <w:bCs w:val="1"/>
                <w:color w:val="auto"/>
              </w:rPr>
              <w:t>2002</w:t>
            </w:r>
          </w:p>
        </w:tc>
        <w:tc>
          <w:tcPr>
            <w:tcW w:w="1720" w:type="dxa"/>
            <w:vAlign w:val="bottom"/>
            <w:gridSpan w:val="2"/>
          </w:tcPr>
          <w:p>
            <w:pPr>
              <w:jc w:val="right"/>
              <w:ind w:right="612"/>
              <w:spacing w:after="0"/>
              <w:rPr>
                <w:sz w:val="20"/>
                <w:szCs w:val="20"/>
                <w:color w:val="auto"/>
              </w:rPr>
            </w:pPr>
            <w:r>
              <w:rPr>
                <w:rFonts w:ascii="Arial" w:cs="Arial" w:eastAsia="Arial" w:hAnsi="Arial"/>
                <w:sz w:val="18"/>
                <w:szCs w:val="18"/>
                <w:b w:val="1"/>
                <w:bCs w:val="1"/>
                <w:color w:val="auto"/>
              </w:rPr>
              <w:t>2001</w:t>
            </w:r>
          </w:p>
        </w:tc>
      </w:tr>
      <w:tr>
        <w:trPr>
          <w:trHeight w:val="243"/>
        </w:trPr>
        <w:tc>
          <w:tcPr>
            <w:tcW w:w="6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jc w:val="right"/>
              <w:ind w:right="412"/>
              <w:spacing w:after="0"/>
              <w:rPr>
                <w:sz w:val="20"/>
                <w:szCs w:val="20"/>
                <w:color w:val="auto"/>
              </w:rPr>
            </w:pPr>
            <w:r>
              <w:rPr>
                <w:rFonts w:ascii="Arial" w:cs="Arial" w:eastAsia="Arial" w:hAnsi="Arial"/>
                <w:sz w:val="18"/>
                <w:szCs w:val="18"/>
                <w:color w:val="auto"/>
              </w:rPr>
              <w:t>US$(000)</w:t>
            </w:r>
          </w:p>
        </w:tc>
        <w:tc>
          <w:tcPr>
            <w:tcW w:w="20" w:type="dxa"/>
            <w:vAlign w:val="bottom"/>
          </w:tcPr>
          <w:p>
            <w:pPr>
              <w:spacing w:after="0"/>
              <w:rPr>
                <w:sz w:val="21"/>
                <w:szCs w:val="21"/>
                <w:color w:val="auto"/>
              </w:rPr>
            </w:pPr>
          </w:p>
        </w:tc>
        <w:tc>
          <w:tcPr>
            <w:tcW w:w="1700" w:type="dxa"/>
            <w:vAlign w:val="bottom"/>
          </w:tcPr>
          <w:p>
            <w:pPr>
              <w:jc w:val="right"/>
              <w:ind w:right="412"/>
              <w:spacing w:after="0"/>
              <w:rPr>
                <w:sz w:val="20"/>
                <w:szCs w:val="20"/>
                <w:color w:val="auto"/>
              </w:rPr>
            </w:pPr>
            <w:r>
              <w:rPr>
                <w:rFonts w:ascii="Arial" w:cs="Arial" w:eastAsia="Arial" w:hAnsi="Arial"/>
                <w:sz w:val="18"/>
                <w:szCs w:val="18"/>
                <w:color w:val="auto"/>
              </w:rPr>
              <w:t>US$(000)</w:t>
            </w:r>
          </w:p>
        </w:tc>
        <w:tc>
          <w:tcPr>
            <w:tcW w:w="20" w:type="dxa"/>
            <w:vAlign w:val="bottom"/>
          </w:tcPr>
          <w:p>
            <w:pPr>
              <w:spacing w:after="0"/>
              <w:rPr>
                <w:sz w:val="21"/>
                <w:szCs w:val="21"/>
                <w:color w:val="auto"/>
              </w:rPr>
            </w:pPr>
          </w:p>
        </w:tc>
        <w:tc>
          <w:tcPr>
            <w:tcW w:w="1700" w:type="dxa"/>
            <w:vAlign w:val="bottom"/>
          </w:tcPr>
          <w:p>
            <w:pPr>
              <w:jc w:val="right"/>
              <w:ind w:right="412"/>
              <w:spacing w:after="0"/>
              <w:rPr>
                <w:sz w:val="20"/>
                <w:szCs w:val="20"/>
                <w:color w:val="auto"/>
              </w:rPr>
            </w:pPr>
            <w:r>
              <w:rPr>
                <w:rFonts w:ascii="Arial" w:cs="Arial" w:eastAsia="Arial" w:hAnsi="Arial"/>
                <w:sz w:val="18"/>
                <w:szCs w:val="18"/>
                <w:color w:val="auto"/>
              </w:rPr>
              <w:t>US$(000)</w:t>
            </w:r>
          </w:p>
        </w:tc>
      </w:tr>
      <w:tr>
        <w:trPr>
          <w:trHeight w:val="243"/>
        </w:trPr>
        <w:tc>
          <w:tcPr>
            <w:tcW w:w="6620" w:type="dxa"/>
            <w:vAlign w:val="bottom"/>
            <w:gridSpan w:val="2"/>
          </w:tcPr>
          <w:p>
            <w:pPr>
              <w:ind w:left="40"/>
              <w:spacing w:after="0"/>
              <w:rPr>
                <w:sz w:val="20"/>
                <w:szCs w:val="20"/>
                <w:color w:val="auto"/>
              </w:rPr>
            </w:pPr>
            <w:r>
              <w:rPr>
                <w:rFonts w:ascii="Arial" w:cs="Arial" w:eastAsia="Arial" w:hAnsi="Arial"/>
                <w:sz w:val="18"/>
                <w:szCs w:val="18"/>
                <w:b w:val="1"/>
                <w:bCs w:val="1"/>
                <w:color w:val="auto"/>
              </w:rPr>
              <w:t>Cost -</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43"/>
        </w:trPr>
        <w:tc>
          <w:tcPr>
            <w:tcW w:w="662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as of January 1</w:t>
            </w:r>
          </w:p>
        </w:tc>
        <w:tc>
          <w:tcPr>
            <w:tcW w:w="1340" w:type="dxa"/>
            <w:vAlign w:val="bottom"/>
          </w:tcPr>
          <w:p>
            <w:pPr>
              <w:jc w:val="right"/>
              <w:spacing w:after="0"/>
              <w:rPr>
                <w:sz w:val="20"/>
                <w:szCs w:val="20"/>
                <w:color w:val="auto"/>
              </w:rPr>
            </w:pPr>
            <w:r>
              <w:rPr>
                <w:rFonts w:ascii="Arial" w:cs="Arial" w:eastAsia="Arial" w:hAnsi="Arial"/>
                <w:sz w:val="18"/>
                <w:szCs w:val="18"/>
                <w:color w:val="auto"/>
              </w:rPr>
              <w:t>49,999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47,930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49,998</w:t>
            </w:r>
          </w:p>
        </w:tc>
      </w:tr>
      <w:tr>
        <w:trPr>
          <w:trHeight w:val="243"/>
        </w:trPr>
        <w:tc>
          <w:tcPr>
            <w:tcW w:w="6620" w:type="dxa"/>
            <w:vAlign w:val="bottom"/>
            <w:gridSpan w:val="2"/>
          </w:tcPr>
          <w:p>
            <w:pPr>
              <w:ind w:left="40"/>
              <w:spacing w:after="0"/>
              <w:rPr>
                <w:sz w:val="20"/>
                <w:szCs w:val="20"/>
                <w:color w:val="auto"/>
              </w:rPr>
            </w:pPr>
            <w:r>
              <w:rPr>
                <w:rFonts w:ascii="Arial" w:cs="Arial" w:eastAsia="Arial" w:hAnsi="Arial"/>
                <w:sz w:val="18"/>
                <w:szCs w:val="18"/>
                <w:color w:val="auto"/>
              </w:rPr>
              <w:t>Additions, note 2</w:t>
            </w:r>
          </w:p>
        </w:tc>
        <w:tc>
          <w:tcPr>
            <w:tcW w:w="1340" w:type="dxa"/>
            <w:vAlign w:val="bottom"/>
          </w:tcPr>
          <w:p>
            <w:pPr>
              <w:jc w:val="right"/>
              <w:spacing w:after="0"/>
              <w:rPr>
                <w:sz w:val="20"/>
                <w:szCs w:val="20"/>
                <w:color w:val="auto"/>
              </w:rPr>
            </w:pPr>
            <w:r>
              <w:rPr>
                <w:rFonts w:ascii="Arial" w:cs="Arial" w:eastAsia="Arial" w:hAnsi="Arial"/>
                <w:sz w:val="18"/>
                <w:szCs w:val="18"/>
                <w:color w:val="auto"/>
              </w:rPr>
              <w:t>7,992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620" w:type="dxa"/>
            <w:vAlign w:val="bottom"/>
            <w:gridSpan w:val="2"/>
          </w:tcPr>
          <w:p>
            <w:pPr>
              <w:ind w:left="40"/>
              <w:spacing w:after="0"/>
              <w:rPr>
                <w:sz w:val="20"/>
                <w:szCs w:val="20"/>
                <w:color w:val="auto"/>
              </w:rPr>
            </w:pPr>
            <w:r>
              <w:rPr>
                <w:rFonts w:ascii="Arial" w:cs="Arial" w:eastAsia="Arial" w:hAnsi="Arial"/>
                <w:sz w:val="18"/>
                <w:szCs w:val="18"/>
                <w:color w:val="auto"/>
              </w:rPr>
              <w:t>Retirements</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(2,068)</w:t>
            </w:r>
          </w:p>
        </w:tc>
      </w:tr>
      <w:tr>
        <w:trPr>
          <w:trHeight w:val="137"/>
        </w:trPr>
        <w:tc>
          <w:tcPr>
            <w:tcW w:w="6280" w:type="dxa"/>
            <w:vAlign w:val="bottom"/>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r>
      <w:tr>
        <w:trPr>
          <w:trHeight w:val="356"/>
        </w:trPr>
        <w:tc>
          <w:tcPr>
            <w:tcW w:w="662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Balances as of December 31</w:t>
            </w:r>
          </w:p>
        </w:tc>
        <w:tc>
          <w:tcPr>
            <w:tcW w:w="1340" w:type="dxa"/>
            <w:vAlign w:val="bottom"/>
          </w:tcPr>
          <w:p>
            <w:pPr>
              <w:jc w:val="right"/>
              <w:spacing w:after="0"/>
              <w:rPr>
                <w:sz w:val="20"/>
                <w:szCs w:val="20"/>
                <w:color w:val="auto"/>
              </w:rPr>
            </w:pPr>
            <w:r>
              <w:rPr>
                <w:rFonts w:ascii="Arial" w:cs="Arial" w:eastAsia="Arial" w:hAnsi="Arial"/>
                <w:sz w:val="18"/>
                <w:szCs w:val="18"/>
                <w:color w:val="auto"/>
              </w:rPr>
              <w:t>57,991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47,930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47,930</w:t>
            </w:r>
          </w:p>
        </w:tc>
      </w:tr>
      <w:tr>
        <w:trPr>
          <w:trHeight w:val="137"/>
        </w:trPr>
        <w:tc>
          <w:tcPr>
            <w:tcW w:w="6280" w:type="dxa"/>
            <w:vAlign w:val="bottom"/>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r>
      <w:tr>
        <w:trPr>
          <w:trHeight w:val="599"/>
        </w:trPr>
        <w:tc>
          <w:tcPr>
            <w:tcW w:w="6620" w:type="dxa"/>
            <w:vAlign w:val="bottom"/>
            <w:gridSpan w:val="2"/>
          </w:tcPr>
          <w:p>
            <w:pPr>
              <w:ind w:left="40"/>
              <w:spacing w:after="0"/>
              <w:rPr>
                <w:sz w:val="20"/>
                <w:szCs w:val="20"/>
                <w:color w:val="auto"/>
              </w:rPr>
            </w:pPr>
            <w:r>
              <w:rPr>
                <w:rFonts w:ascii="Arial" w:cs="Arial" w:eastAsia="Arial" w:hAnsi="Arial"/>
                <w:sz w:val="18"/>
                <w:szCs w:val="18"/>
                <w:b w:val="1"/>
                <w:bCs w:val="1"/>
                <w:color w:val="auto"/>
              </w:rPr>
              <w:t>Accumulated amortization -</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43"/>
        </w:trPr>
        <w:tc>
          <w:tcPr>
            <w:tcW w:w="662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as of January 1</w:t>
            </w:r>
          </w:p>
        </w:tc>
        <w:tc>
          <w:tcPr>
            <w:tcW w:w="1340" w:type="dxa"/>
            <w:vAlign w:val="bottom"/>
          </w:tcPr>
          <w:p>
            <w:pPr>
              <w:jc w:val="right"/>
              <w:spacing w:after="0"/>
              <w:rPr>
                <w:sz w:val="20"/>
                <w:szCs w:val="20"/>
                <w:color w:val="auto"/>
              </w:rPr>
            </w:pPr>
            <w:r>
              <w:rPr>
                <w:rFonts w:ascii="Arial" w:cs="Arial" w:eastAsia="Arial" w:hAnsi="Arial"/>
                <w:sz w:val="18"/>
                <w:szCs w:val="18"/>
                <w:color w:val="auto"/>
              </w:rPr>
              <w:t>21,258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16,156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14,366</w:t>
            </w:r>
          </w:p>
        </w:tc>
      </w:tr>
      <w:tr>
        <w:trPr>
          <w:trHeight w:val="243"/>
        </w:trPr>
        <w:tc>
          <w:tcPr>
            <w:tcW w:w="6620" w:type="dxa"/>
            <w:vAlign w:val="bottom"/>
            <w:gridSpan w:val="2"/>
          </w:tcPr>
          <w:p>
            <w:pPr>
              <w:ind w:left="40"/>
              <w:spacing w:after="0"/>
              <w:rPr>
                <w:sz w:val="20"/>
                <w:szCs w:val="20"/>
                <w:color w:val="auto"/>
              </w:rPr>
            </w:pPr>
            <w:r>
              <w:rPr>
                <w:rFonts w:ascii="Arial" w:cs="Arial" w:eastAsia="Arial" w:hAnsi="Arial"/>
                <w:sz w:val="18"/>
                <w:szCs w:val="18"/>
                <w:color w:val="auto"/>
              </w:rPr>
              <w:t>Additions</w:t>
            </w:r>
          </w:p>
        </w:tc>
        <w:tc>
          <w:tcPr>
            <w:tcW w:w="1340" w:type="dxa"/>
            <w:vAlign w:val="bottom"/>
          </w:tcPr>
          <w:p>
            <w:pPr>
              <w:jc w:val="right"/>
              <w:spacing w:after="0"/>
              <w:rPr>
                <w:sz w:val="20"/>
                <w:szCs w:val="20"/>
                <w:color w:val="auto"/>
              </w:rPr>
            </w:pPr>
            <w:r>
              <w:rPr>
                <w:rFonts w:ascii="Arial" w:cs="Arial" w:eastAsia="Arial" w:hAnsi="Arial"/>
                <w:sz w:val="18"/>
                <w:szCs w:val="18"/>
                <w:color w:val="auto"/>
              </w:rPr>
              <w:t>4,223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3,033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3,377</w:t>
            </w:r>
          </w:p>
        </w:tc>
      </w:tr>
      <w:tr>
        <w:trPr>
          <w:trHeight w:val="243"/>
        </w:trPr>
        <w:tc>
          <w:tcPr>
            <w:tcW w:w="6620" w:type="dxa"/>
            <w:vAlign w:val="bottom"/>
            <w:gridSpan w:val="2"/>
          </w:tcPr>
          <w:p>
            <w:pPr>
              <w:ind w:left="40"/>
              <w:spacing w:after="0"/>
              <w:rPr>
                <w:sz w:val="20"/>
                <w:szCs w:val="20"/>
                <w:color w:val="auto"/>
              </w:rPr>
            </w:pPr>
            <w:r>
              <w:rPr>
                <w:rFonts w:ascii="Arial" w:cs="Arial" w:eastAsia="Arial" w:hAnsi="Arial"/>
                <w:sz w:val="18"/>
                <w:szCs w:val="18"/>
                <w:color w:val="auto"/>
              </w:rPr>
              <w:t>Retirements</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(1,587)</w:t>
            </w:r>
          </w:p>
        </w:tc>
      </w:tr>
      <w:tr>
        <w:trPr>
          <w:trHeight w:val="137"/>
        </w:trPr>
        <w:tc>
          <w:tcPr>
            <w:tcW w:w="6280" w:type="dxa"/>
            <w:vAlign w:val="bottom"/>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r>
      <w:tr>
        <w:trPr>
          <w:trHeight w:val="356"/>
        </w:trPr>
        <w:tc>
          <w:tcPr>
            <w:tcW w:w="662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Balances as of December 31</w:t>
            </w:r>
          </w:p>
        </w:tc>
        <w:tc>
          <w:tcPr>
            <w:tcW w:w="1340" w:type="dxa"/>
            <w:vAlign w:val="bottom"/>
          </w:tcPr>
          <w:p>
            <w:pPr>
              <w:jc w:val="right"/>
              <w:spacing w:after="0"/>
              <w:rPr>
                <w:sz w:val="20"/>
                <w:szCs w:val="20"/>
                <w:color w:val="auto"/>
              </w:rPr>
            </w:pPr>
            <w:r>
              <w:rPr>
                <w:rFonts w:ascii="Arial" w:cs="Arial" w:eastAsia="Arial" w:hAnsi="Arial"/>
                <w:sz w:val="18"/>
                <w:szCs w:val="18"/>
                <w:color w:val="auto"/>
              </w:rPr>
              <w:t>25,481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19,189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16,156</w:t>
            </w:r>
          </w:p>
        </w:tc>
      </w:tr>
      <w:tr>
        <w:trPr>
          <w:trHeight w:val="137"/>
        </w:trPr>
        <w:tc>
          <w:tcPr>
            <w:tcW w:w="6280" w:type="dxa"/>
            <w:vAlign w:val="bottom"/>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r>
      <w:tr>
        <w:trPr>
          <w:trHeight w:val="599"/>
        </w:trPr>
        <w:tc>
          <w:tcPr>
            <w:tcW w:w="662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cost</w:t>
            </w:r>
          </w:p>
        </w:tc>
        <w:tc>
          <w:tcPr>
            <w:tcW w:w="1340" w:type="dxa"/>
            <w:vAlign w:val="bottom"/>
          </w:tcPr>
          <w:p>
            <w:pPr>
              <w:jc w:val="right"/>
              <w:spacing w:after="0"/>
              <w:rPr>
                <w:sz w:val="20"/>
                <w:szCs w:val="20"/>
                <w:color w:val="auto"/>
              </w:rPr>
            </w:pPr>
            <w:r>
              <w:rPr>
                <w:rFonts w:ascii="Arial" w:cs="Arial" w:eastAsia="Arial" w:hAnsi="Arial"/>
                <w:sz w:val="18"/>
                <w:szCs w:val="18"/>
                <w:color w:val="auto"/>
              </w:rPr>
              <w:t>32,510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28,741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31,774</w:t>
            </w:r>
          </w:p>
        </w:tc>
      </w:tr>
      <w:tr>
        <w:trPr>
          <w:trHeight w:val="147"/>
        </w:trPr>
        <w:tc>
          <w:tcPr>
            <w:tcW w:w="62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5034915</wp:posOffset>
            </wp:positionH>
            <wp:positionV relativeFrom="paragraph">
              <wp:posOffset>-2106930</wp:posOffset>
            </wp:positionV>
            <wp:extent cx="34290" cy="3429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-2106930</wp:posOffset>
            </wp:positionV>
            <wp:extent cx="34290" cy="3429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-2106930</wp:posOffset>
            </wp:positionV>
            <wp:extent cx="34290" cy="3429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-1780540</wp:posOffset>
            </wp:positionV>
            <wp:extent cx="34290" cy="3429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-1780540</wp:posOffset>
            </wp:positionV>
            <wp:extent cx="34290" cy="3429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-1780540</wp:posOffset>
            </wp:positionV>
            <wp:extent cx="34290" cy="3429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-837565</wp:posOffset>
            </wp:positionV>
            <wp:extent cx="34290" cy="3429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-837565</wp:posOffset>
            </wp:positionV>
            <wp:extent cx="34290" cy="3429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-837565</wp:posOffset>
            </wp:positionV>
            <wp:extent cx="34290" cy="3429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-511810</wp:posOffset>
            </wp:positionV>
            <wp:extent cx="34290" cy="3429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-511810</wp:posOffset>
            </wp:positionV>
            <wp:extent cx="34290" cy="3429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-511810</wp:posOffset>
            </wp:positionV>
            <wp:extent cx="34290" cy="3429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-14605</wp:posOffset>
            </wp:positionV>
            <wp:extent cx="12700" cy="889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-14605</wp:posOffset>
            </wp:positionV>
            <wp:extent cx="12700" cy="889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-14605</wp:posOffset>
            </wp:positionV>
            <wp:extent cx="12700" cy="8890"/>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-14605</wp:posOffset>
            </wp:positionV>
            <wp:extent cx="12700" cy="889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-14605</wp:posOffset>
            </wp:positionV>
            <wp:extent cx="12700" cy="889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-14605</wp:posOffset>
            </wp:positionV>
            <wp:extent cx="12700" cy="889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20" w:lineRule="exact"/>
        <w:rPr>
          <w:sz w:val="20"/>
          <w:szCs w:val="20"/>
          <w:color w:val="auto"/>
        </w:rPr>
      </w:pPr>
    </w:p>
    <w:p>
      <w:pPr>
        <w:ind w:left="260" w:hanging="252"/>
        <w:spacing w:after="0"/>
        <w:tabs>
          <w:tab w:leader="none" w:pos="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Intangibles primarily consist of purchased software.</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movement of the provision for sundry risks for the years 2003, 2002 and 2001 is summarized as follows:</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6240" w:type="dxa"/>
            <w:vAlign w:val="bottom"/>
          </w:tcPr>
          <w:p>
            <w:pPr>
              <w:spacing w:after="0"/>
              <w:rPr>
                <w:sz w:val="19"/>
                <w:szCs w:val="19"/>
                <w:color w:val="auto"/>
              </w:rPr>
            </w:pPr>
          </w:p>
        </w:tc>
        <w:tc>
          <w:tcPr>
            <w:tcW w:w="1680" w:type="dxa"/>
            <w:vAlign w:val="bottom"/>
          </w:tcPr>
          <w:p>
            <w:pPr>
              <w:jc w:val="right"/>
              <w:ind w:right="592"/>
              <w:spacing w:after="0"/>
              <w:rPr>
                <w:sz w:val="20"/>
                <w:szCs w:val="20"/>
                <w:color w:val="auto"/>
              </w:rPr>
            </w:pPr>
            <w:r>
              <w:rPr>
                <w:rFonts w:ascii="Arial" w:cs="Arial" w:eastAsia="Arial" w:hAnsi="Arial"/>
                <w:sz w:val="18"/>
                <w:szCs w:val="18"/>
                <w:b w:val="1"/>
                <w:bCs w:val="1"/>
                <w:color w:val="auto"/>
              </w:rPr>
              <w:t>2003</w:t>
            </w:r>
          </w:p>
        </w:tc>
        <w:tc>
          <w:tcPr>
            <w:tcW w:w="1720" w:type="dxa"/>
            <w:vAlign w:val="bottom"/>
            <w:gridSpan w:val="2"/>
          </w:tcPr>
          <w:p>
            <w:pPr>
              <w:jc w:val="right"/>
              <w:ind w:right="612"/>
              <w:spacing w:after="0"/>
              <w:rPr>
                <w:sz w:val="20"/>
                <w:szCs w:val="20"/>
                <w:color w:val="auto"/>
              </w:rPr>
            </w:pPr>
            <w:r>
              <w:rPr>
                <w:rFonts w:ascii="Arial" w:cs="Arial" w:eastAsia="Arial" w:hAnsi="Arial"/>
                <w:sz w:val="18"/>
                <w:szCs w:val="18"/>
                <w:b w:val="1"/>
                <w:bCs w:val="1"/>
                <w:color w:val="auto"/>
              </w:rPr>
              <w:t>2002</w:t>
            </w:r>
          </w:p>
        </w:tc>
        <w:tc>
          <w:tcPr>
            <w:tcW w:w="20" w:type="dxa"/>
            <w:vAlign w:val="bottom"/>
          </w:tcPr>
          <w:p>
            <w:pPr>
              <w:spacing w:after="0"/>
              <w:rPr>
                <w:sz w:val="19"/>
                <w:szCs w:val="19"/>
                <w:color w:val="auto"/>
              </w:rPr>
            </w:pPr>
          </w:p>
        </w:tc>
        <w:tc>
          <w:tcPr>
            <w:tcW w:w="1700" w:type="dxa"/>
            <w:vAlign w:val="bottom"/>
          </w:tcPr>
          <w:p>
            <w:pPr>
              <w:jc w:val="right"/>
              <w:ind w:right="612"/>
              <w:spacing w:after="0"/>
              <w:rPr>
                <w:sz w:val="20"/>
                <w:szCs w:val="20"/>
                <w:color w:val="auto"/>
              </w:rPr>
            </w:pPr>
            <w:r>
              <w:rPr>
                <w:rFonts w:ascii="Arial" w:cs="Arial" w:eastAsia="Arial" w:hAnsi="Arial"/>
                <w:sz w:val="18"/>
                <w:szCs w:val="18"/>
                <w:b w:val="1"/>
                <w:bCs w:val="1"/>
                <w:color w:val="auto"/>
              </w:rPr>
              <w:t>2001</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1"/>
                <w:szCs w:val="21"/>
                <w:color w:val="auto"/>
              </w:rPr>
            </w:pPr>
          </w:p>
        </w:tc>
        <w:tc>
          <w:tcPr>
            <w:tcW w:w="1680" w:type="dxa"/>
            <w:vAlign w:val="bottom"/>
          </w:tcPr>
          <w:p>
            <w:pPr>
              <w:jc w:val="right"/>
              <w:ind w:right="412"/>
              <w:spacing w:after="0"/>
              <w:rPr>
                <w:sz w:val="20"/>
                <w:szCs w:val="20"/>
                <w:color w:val="auto"/>
              </w:rPr>
            </w:pPr>
            <w:r>
              <w:rPr>
                <w:rFonts w:ascii="Arial" w:cs="Arial" w:eastAsia="Arial" w:hAnsi="Arial"/>
                <w:sz w:val="18"/>
                <w:szCs w:val="18"/>
                <w:color w:val="auto"/>
              </w:rPr>
              <w:t>US$(000)</w:t>
            </w:r>
          </w:p>
        </w:tc>
        <w:tc>
          <w:tcPr>
            <w:tcW w:w="20" w:type="dxa"/>
            <w:vAlign w:val="bottom"/>
          </w:tcPr>
          <w:p>
            <w:pPr>
              <w:spacing w:after="0"/>
              <w:rPr>
                <w:sz w:val="21"/>
                <w:szCs w:val="21"/>
                <w:color w:val="auto"/>
              </w:rPr>
            </w:pPr>
          </w:p>
        </w:tc>
        <w:tc>
          <w:tcPr>
            <w:tcW w:w="1720" w:type="dxa"/>
            <w:vAlign w:val="bottom"/>
            <w:gridSpan w:val="2"/>
          </w:tcPr>
          <w:p>
            <w:pPr>
              <w:ind w:left="500"/>
              <w:spacing w:after="0"/>
              <w:rPr>
                <w:sz w:val="20"/>
                <w:szCs w:val="20"/>
                <w:color w:val="auto"/>
              </w:rPr>
            </w:pPr>
            <w:r>
              <w:rPr>
                <w:rFonts w:ascii="Arial" w:cs="Arial" w:eastAsia="Arial" w:hAnsi="Arial"/>
                <w:sz w:val="18"/>
                <w:szCs w:val="18"/>
                <w:color w:val="auto"/>
              </w:rPr>
              <w:t>US$(000)</w:t>
            </w:r>
          </w:p>
        </w:tc>
        <w:tc>
          <w:tcPr>
            <w:tcW w:w="1700" w:type="dxa"/>
            <w:vAlign w:val="bottom"/>
          </w:tcPr>
          <w:p>
            <w:pPr>
              <w:jc w:val="right"/>
              <w:ind w:right="412"/>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b w:val="1"/>
                <w:bCs w:val="1"/>
                <w:color w:val="auto"/>
              </w:rPr>
              <w:t>Balances as of January 1</w:t>
            </w:r>
          </w:p>
        </w:tc>
        <w:tc>
          <w:tcPr>
            <w:tcW w:w="1680" w:type="dxa"/>
            <w:vAlign w:val="bottom"/>
          </w:tcPr>
          <w:p>
            <w:pPr>
              <w:jc w:val="right"/>
              <w:spacing w:after="0"/>
              <w:rPr>
                <w:sz w:val="20"/>
                <w:szCs w:val="20"/>
                <w:color w:val="auto"/>
              </w:rPr>
            </w:pPr>
            <w:r>
              <w:rPr>
                <w:rFonts w:ascii="Arial" w:cs="Arial" w:eastAsia="Arial" w:hAnsi="Arial"/>
                <w:sz w:val="18"/>
                <w:szCs w:val="18"/>
                <w:color w:val="auto"/>
              </w:rPr>
              <w:t>11,942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14,628</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9,714</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Provision, note 19</w:t>
            </w:r>
          </w:p>
        </w:tc>
        <w:tc>
          <w:tcPr>
            <w:tcW w:w="1680" w:type="dxa"/>
            <w:vAlign w:val="bottom"/>
          </w:tcPr>
          <w:p>
            <w:pPr>
              <w:jc w:val="right"/>
              <w:spacing w:after="0"/>
              <w:rPr>
                <w:sz w:val="20"/>
                <w:szCs w:val="20"/>
                <w:color w:val="auto"/>
              </w:rPr>
            </w:pPr>
            <w:r>
              <w:rPr>
                <w:rFonts w:ascii="Arial" w:cs="Arial" w:eastAsia="Arial" w:hAnsi="Arial"/>
                <w:sz w:val="18"/>
                <w:szCs w:val="18"/>
                <w:color w:val="auto"/>
              </w:rPr>
              <w:t>2,022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4,649</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13,317</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Deductions</w:t>
            </w:r>
          </w:p>
        </w:tc>
        <w:tc>
          <w:tcPr>
            <w:tcW w:w="1680" w:type="dxa"/>
            <w:vAlign w:val="bottom"/>
          </w:tcPr>
          <w:p>
            <w:pPr>
              <w:jc w:val="right"/>
              <w:spacing w:after="0"/>
              <w:rPr>
                <w:sz w:val="20"/>
                <w:szCs w:val="20"/>
                <w:color w:val="auto"/>
              </w:rPr>
            </w:pPr>
            <w:r>
              <w:rPr>
                <w:rFonts w:ascii="Arial" w:cs="Arial" w:eastAsia="Arial" w:hAnsi="Arial"/>
                <w:sz w:val="18"/>
                <w:szCs w:val="18"/>
                <w:color w:val="auto"/>
              </w:rPr>
              <w:t>(3,886)</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(7,335)</w:t>
            </w:r>
          </w:p>
        </w:tc>
        <w:tc>
          <w:tcPr>
            <w:tcW w:w="1700" w:type="dxa"/>
            <w:vAlign w:val="bottom"/>
          </w:tcPr>
          <w:p>
            <w:pPr>
              <w:jc w:val="right"/>
              <w:spacing w:after="0"/>
              <w:rPr>
                <w:sz w:val="20"/>
                <w:szCs w:val="20"/>
                <w:color w:val="auto"/>
              </w:rPr>
            </w:pPr>
            <w:r>
              <w:rPr>
                <w:rFonts w:ascii="Arial" w:cs="Arial" w:eastAsia="Arial" w:hAnsi="Arial"/>
                <w:sz w:val="18"/>
                <w:szCs w:val="18"/>
                <w:color w:val="auto"/>
              </w:rPr>
              <w:t>(8,403)</w:t>
            </w:r>
          </w:p>
        </w:tc>
        <w:tc>
          <w:tcPr>
            <w:tcW w:w="0" w:type="dxa"/>
            <w:vAlign w:val="bottom"/>
          </w:tcPr>
          <w:p>
            <w:pPr>
              <w:spacing w:after="0"/>
              <w:rPr>
                <w:sz w:val="1"/>
                <w:szCs w:val="1"/>
                <w:color w:val="auto"/>
              </w:rPr>
            </w:pPr>
          </w:p>
        </w:tc>
      </w:tr>
      <w:tr>
        <w:trPr>
          <w:trHeight w:val="137"/>
        </w:trPr>
        <w:tc>
          <w:tcPr>
            <w:tcW w:w="6240" w:type="dxa"/>
            <w:vAlign w:val="bottom"/>
            <w:vMerge w:val="restart"/>
          </w:tcPr>
          <w:p>
            <w:pPr>
              <w:spacing w:after="0"/>
              <w:rPr>
                <w:sz w:val="20"/>
                <w:szCs w:val="20"/>
                <w:color w:val="auto"/>
              </w:rPr>
            </w:pPr>
            <w:r>
              <w:rPr>
                <w:rFonts w:ascii="Arial" w:cs="Arial" w:eastAsia="Arial" w:hAnsi="Arial"/>
                <w:sz w:val="18"/>
                <w:szCs w:val="18"/>
                <w:b w:val="1"/>
                <w:bCs w:val="1"/>
                <w:color w:val="auto"/>
              </w:rPr>
              <w:t>Balances as of December 31</w:t>
            </w: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599"/>
        </w:trPr>
        <w:tc>
          <w:tcPr>
            <w:tcW w:w="6240" w:type="dxa"/>
            <w:vAlign w:val="bottom"/>
            <w:vMerge w:val="continue"/>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10,078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11,942</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14,628</w:t>
            </w:r>
          </w:p>
        </w:tc>
        <w:tc>
          <w:tcPr>
            <w:tcW w:w="0" w:type="dxa"/>
            <w:vAlign w:val="bottom"/>
          </w:tcPr>
          <w:p>
            <w:pPr>
              <w:spacing w:after="0"/>
              <w:rPr>
                <w:sz w:val="1"/>
                <w:szCs w:val="1"/>
                <w:color w:val="auto"/>
              </w:rPr>
            </w:pPr>
          </w:p>
        </w:tc>
      </w:tr>
      <w:tr>
        <w:trPr>
          <w:trHeight w:val="147"/>
        </w:trPr>
        <w:tc>
          <w:tcPr>
            <w:tcW w:w="6240" w:type="dxa"/>
            <w:vAlign w:val="bottom"/>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5034915</wp:posOffset>
            </wp:positionH>
            <wp:positionV relativeFrom="paragraph">
              <wp:posOffset>-511810</wp:posOffset>
            </wp:positionV>
            <wp:extent cx="34290" cy="3429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-511810</wp:posOffset>
            </wp:positionV>
            <wp:extent cx="34290" cy="3429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-511810</wp:posOffset>
            </wp:positionV>
            <wp:extent cx="34290" cy="3429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-14605</wp:posOffset>
            </wp:positionV>
            <wp:extent cx="12700" cy="889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-14605</wp:posOffset>
            </wp:positionV>
            <wp:extent cx="12700" cy="889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-14605</wp:posOffset>
            </wp:positionV>
            <wp:extent cx="12700" cy="889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-14605</wp:posOffset>
            </wp:positionV>
            <wp:extent cx="12700" cy="8890"/>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-14605</wp:posOffset>
            </wp:positionV>
            <wp:extent cx="12700" cy="889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-14605</wp:posOffset>
            </wp:positionV>
            <wp:extent cx="12700" cy="889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20"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This provision mainly comprises the provision for probable losses to complement insurance coverage which correspond to claims not covered by the insurance companies, provisions for estimated losses in legal actions against the Group and other similar obligations, which have been recorded based on Management’s and its legal advisors estimates.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59320" cy="34290"/>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ectPr>
          <w:pgSz w:w="11900" w:h="16838" w:orient="portrait"/>
          <w:cols w:equalWidth="0" w:num="1">
            <w:col w:w="11400"/>
          </w:cols>
          <w:pgMar w:left="240" w:top="347" w:right="259" w:bottom="144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228"/>
        </w:trPr>
        <w:tc>
          <w:tcPr>
            <w:tcW w:w="7980" w:type="dxa"/>
            <w:vAlign w:val="bottom"/>
          </w:tcPr>
          <w:p>
            <w:pPr>
              <w:spacing w:after="0"/>
              <w:rPr>
                <w:sz w:val="20"/>
                <w:szCs w:val="20"/>
                <w:color w:val="auto"/>
              </w:rPr>
            </w:pPr>
            <w:r>
              <w:rPr>
                <w:rFonts w:ascii="Arial" w:cs="Arial" w:eastAsia="Arial" w:hAnsi="Arial"/>
                <w:sz w:val="18"/>
                <w:szCs w:val="18"/>
                <w:b w:val="1"/>
                <w:bCs w:val="1"/>
                <w:color w:val="auto"/>
              </w:rPr>
              <w:t>11. Deposits and obligations</w:t>
            </w: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7980" w:type="dxa"/>
            <w:vAlign w:val="bottom"/>
          </w:tcPr>
          <w:p>
            <w:pPr>
              <w:spacing w:after="0"/>
              <w:rPr>
                <w:sz w:val="20"/>
                <w:szCs w:val="20"/>
                <w:color w:val="auto"/>
              </w:rPr>
            </w:pPr>
            <w:r>
              <w:rPr>
                <w:rFonts w:ascii="Arial" w:cs="Arial" w:eastAsia="Arial" w:hAnsi="Arial"/>
                <w:sz w:val="18"/>
                <w:szCs w:val="18"/>
                <w:color w:val="auto"/>
              </w:rPr>
              <w:t>(a) This item is made up as follows:</w:t>
            </w: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980" w:type="dxa"/>
            <w:vAlign w:val="bottom"/>
          </w:tcPr>
          <w:p>
            <w:pPr>
              <w:spacing w:after="0"/>
              <w:rPr>
                <w:sz w:val="24"/>
                <w:szCs w:val="24"/>
                <w:color w:val="auto"/>
              </w:rPr>
            </w:pPr>
          </w:p>
        </w:tc>
        <w:tc>
          <w:tcPr>
            <w:tcW w:w="1700" w:type="dxa"/>
            <w:vAlign w:val="bottom"/>
          </w:tcPr>
          <w:p>
            <w:pPr>
              <w:jc w:val="right"/>
              <w:ind w:right="612"/>
              <w:spacing w:after="0"/>
              <w:rPr>
                <w:sz w:val="20"/>
                <w:szCs w:val="20"/>
                <w:color w:val="auto"/>
              </w:rPr>
            </w:pPr>
            <w:r>
              <w:rPr>
                <w:rFonts w:ascii="Arial" w:cs="Arial" w:eastAsia="Arial" w:hAnsi="Arial"/>
                <w:sz w:val="18"/>
                <w:szCs w:val="18"/>
                <w:b w:val="1"/>
                <w:bCs w:val="1"/>
                <w:color w:val="auto"/>
              </w:rPr>
              <w:t>2003</w:t>
            </w:r>
          </w:p>
        </w:tc>
        <w:tc>
          <w:tcPr>
            <w:tcW w:w="1720" w:type="dxa"/>
            <w:vAlign w:val="bottom"/>
            <w:gridSpan w:val="2"/>
          </w:tcPr>
          <w:p>
            <w:pPr>
              <w:jc w:val="right"/>
              <w:ind w:right="612"/>
              <w:spacing w:after="0"/>
              <w:rPr>
                <w:sz w:val="20"/>
                <w:szCs w:val="20"/>
                <w:color w:val="auto"/>
              </w:rPr>
            </w:pPr>
            <w:r>
              <w:rPr>
                <w:rFonts w:ascii="Arial" w:cs="Arial" w:eastAsia="Arial" w:hAnsi="Arial"/>
                <w:sz w:val="18"/>
                <w:szCs w:val="18"/>
                <w:b w:val="1"/>
                <w:bCs w:val="1"/>
                <w:color w:val="auto"/>
              </w:rPr>
              <w:t>2002</w:t>
            </w:r>
          </w:p>
        </w:tc>
        <w:tc>
          <w:tcPr>
            <w:tcW w:w="0" w:type="dxa"/>
            <w:vAlign w:val="bottom"/>
          </w:tcPr>
          <w:p>
            <w:pPr>
              <w:spacing w:after="0"/>
              <w:rPr>
                <w:sz w:val="1"/>
                <w:szCs w:val="1"/>
                <w:color w:val="auto"/>
              </w:rPr>
            </w:pPr>
          </w:p>
        </w:tc>
      </w:tr>
      <w:tr>
        <w:trPr>
          <w:trHeight w:val="243"/>
        </w:trPr>
        <w:tc>
          <w:tcPr>
            <w:tcW w:w="7980" w:type="dxa"/>
            <w:vAlign w:val="bottom"/>
          </w:tcPr>
          <w:p>
            <w:pPr>
              <w:spacing w:after="0"/>
              <w:rPr>
                <w:sz w:val="21"/>
                <w:szCs w:val="21"/>
                <w:color w:val="auto"/>
              </w:rPr>
            </w:pPr>
          </w:p>
        </w:tc>
        <w:tc>
          <w:tcPr>
            <w:tcW w:w="1700" w:type="dxa"/>
            <w:vAlign w:val="bottom"/>
          </w:tcPr>
          <w:p>
            <w:pPr>
              <w:jc w:val="right"/>
              <w:ind w:right="412"/>
              <w:spacing w:after="0"/>
              <w:rPr>
                <w:sz w:val="20"/>
                <w:szCs w:val="20"/>
                <w:color w:val="auto"/>
              </w:rPr>
            </w:pPr>
            <w:r>
              <w:rPr>
                <w:rFonts w:ascii="Arial" w:cs="Arial" w:eastAsia="Arial" w:hAnsi="Arial"/>
                <w:sz w:val="18"/>
                <w:szCs w:val="18"/>
                <w:color w:val="auto"/>
              </w:rPr>
              <w:t>US$(000)</w:t>
            </w:r>
          </w:p>
        </w:tc>
        <w:tc>
          <w:tcPr>
            <w:tcW w:w="20" w:type="dxa"/>
            <w:vAlign w:val="bottom"/>
          </w:tcPr>
          <w:p>
            <w:pPr>
              <w:spacing w:after="0"/>
              <w:rPr>
                <w:sz w:val="21"/>
                <w:szCs w:val="21"/>
                <w:color w:val="auto"/>
              </w:rPr>
            </w:pPr>
          </w:p>
        </w:tc>
        <w:tc>
          <w:tcPr>
            <w:tcW w:w="1700" w:type="dxa"/>
            <w:vAlign w:val="bottom"/>
          </w:tcPr>
          <w:p>
            <w:pPr>
              <w:jc w:val="right"/>
              <w:ind w:right="412"/>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Non-interest bearing deposits and obligations -</w:t>
            </w: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In Peru</w:t>
            </w:r>
          </w:p>
        </w:tc>
        <w:tc>
          <w:tcPr>
            <w:tcW w:w="1700" w:type="dxa"/>
            <w:vAlign w:val="bottom"/>
          </w:tcPr>
          <w:p>
            <w:pPr>
              <w:jc w:val="right"/>
              <w:spacing w:after="0"/>
              <w:rPr>
                <w:sz w:val="20"/>
                <w:szCs w:val="20"/>
                <w:color w:val="auto"/>
              </w:rPr>
            </w:pPr>
            <w:r>
              <w:rPr>
                <w:rFonts w:ascii="Arial" w:cs="Arial" w:eastAsia="Arial" w:hAnsi="Arial"/>
                <w:sz w:val="18"/>
                <w:szCs w:val="18"/>
                <w:color w:val="auto"/>
              </w:rPr>
              <w:t>726,492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762,013</w:t>
            </w:r>
          </w:p>
        </w:tc>
        <w:tc>
          <w:tcPr>
            <w:tcW w:w="0" w:type="dxa"/>
            <w:vAlign w:val="bottom"/>
          </w:tcPr>
          <w:p>
            <w:pPr>
              <w:spacing w:after="0"/>
              <w:rPr>
                <w:sz w:val="1"/>
                <w:szCs w:val="1"/>
                <w:color w:val="auto"/>
              </w:rPr>
            </w:pP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In other countries</w:t>
            </w:r>
          </w:p>
        </w:tc>
        <w:tc>
          <w:tcPr>
            <w:tcW w:w="1700" w:type="dxa"/>
            <w:vAlign w:val="bottom"/>
          </w:tcPr>
          <w:p>
            <w:pPr>
              <w:jc w:val="right"/>
              <w:spacing w:after="0"/>
              <w:rPr>
                <w:sz w:val="20"/>
                <w:szCs w:val="20"/>
                <w:color w:val="auto"/>
              </w:rPr>
            </w:pPr>
            <w:r>
              <w:rPr>
                <w:rFonts w:ascii="Arial" w:cs="Arial" w:eastAsia="Arial" w:hAnsi="Arial"/>
                <w:sz w:val="18"/>
                <w:szCs w:val="18"/>
                <w:color w:val="auto"/>
              </w:rPr>
              <w:t>134,093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60,871</w:t>
            </w:r>
          </w:p>
        </w:tc>
        <w:tc>
          <w:tcPr>
            <w:tcW w:w="0" w:type="dxa"/>
            <w:vAlign w:val="bottom"/>
          </w:tcPr>
          <w:p>
            <w:pPr>
              <w:spacing w:after="0"/>
              <w:rPr>
                <w:sz w:val="1"/>
                <w:szCs w:val="1"/>
                <w:color w:val="auto"/>
              </w:rPr>
            </w:pPr>
          </w:p>
        </w:tc>
      </w:tr>
      <w:tr>
        <w:trPr>
          <w:trHeight w:val="137"/>
        </w:trPr>
        <w:tc>
          <w:tcPr>
            <w:tcW w:w="798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798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860,585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822,884</w:t>
            </w:r>
          </w:p>
        </w:tc>
        <w:tc>
          <w:tcPr>
            <w:tcW w:w="0" w:type="dxa"/>
            <w:vAlign w:val="bottom"/>
          </w:tcPr>
          <w:p>
            <w:pPr>
              <w:spacing w:after="0"/>
              <w:rPr>
                <w:sz w:val="1"/>
                <w:szCs w:val="1"/>
                <w:color w:val="auto"/>
              </w:rPr>
            </w:pPr>
          </w:p>
        </w:tc>
      </w:tr>
      <w:tr>
        <w:trPr>
          <w:trHeight w:val="137"/>
        </w:trPr>
        <w:tc>
          <w:tcPr>
            <w:tcW w:w="7980" w:type="dxa"/>
            <w:vAlign w:val="bottom"/>
            <w:vMerge w:val="restart"/>
          </w:tcPr>
          <w:p>
            <w:pPr>
              <w:ind w:left="40"/>
              <w:spacing w:after="0"/>
              <w:rPr>
                <w:sz w:val="20"/>
                <w:szCs w:val="20"/>
                <w:color w:val="auto"/>
              </w:rPr>
            </w:pPr>
            <w:r>
              <w:rPr>
                <w:rFonts w:ascii="Arial" w:cs="Arial" w:eastAsia="Arial" w:hAnsi="Arial"/>
                <w:sz w:val="18"/>
                <w:szCs w:val="18"/>
                <w:color w:val="auto"/>
              </w:rPr>
              <w:t>Interest bearing deposits and obligations -</w:t>
            </w: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798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In Peru</w:t>
            </w:r>
          </w:p>
        </w:tc>
        <w:tc>
          <w:tcPr>
            <w:tcW w:w="1700" w:type="dxa"/>
            <w:vAlign w:val="bottom"/>
          </w:tcPr>
          <w:p>
            <w:pPr>
              <w:jc w:val="right"/>
              <w:spacing w:after="0"/>
              <w:rPr>
                <w:sz w:val="20"/>
                <w:szCs w:val="20"/>
                <w:color w:val="auto"/>
              </w:rPr>
            </w:pPr>
            <w:r>
              <w:rPr>
                <w:rFonts w:ascii="Arial" w:cs="Arial" w:eastAsia="Arial" w:hAnsi="Arial"/>
                <w:sz w:val="18"/>
                <w:szCs w:val="18"/>
                <w:color w:val="auto"/>
              </w:rPr>
              <w:t>4,053,237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4,436,685</w:t>
            </w:r>
          </w:p>
        </w:tc>
        <w:tc>
          <w:tcPr>
            <w:tcW w:w="0" w:type="dxa"/>
            <w:vAlign w:val="bottom"/>
          </w:tcPr>
          <w:p>
            <w:pPr>
              <w:spacing w:after="0"/>
              <w:rPr>
                <w:sz w:val="1"/>
                <w:szCs w:val="1"/>
                <w:color w:val="auto"/>
              </w:rPr>
            </w:pP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In other countries</w:t>
            </w:r>
          </w:p>
        </w:tc>
        <w:tc>
          <w:tcPr>
            <w:tcW w:w="1700" w:type="dxa"/>
            <w:vAlign w:val="bottom"/>
          </w:tcPr>
          <w:p>
            <w:pPr>
              <w:jc w:val="right"/>
              <w:spacing w:after="0"/>
              <w:rPr>
                <w:sz w:val="20"/>
                <w:szCs w:val="20"/>
                <w:color w:val="auto"/>
              </w:rPr>
            </w:pPr>
            <w:r>
              <w:rPr>
                <w:rFonts w:ascii="Arial" w:cs="Arial" w:eastAsia="Arial" w:hAnsi="Arial"/>
                <w:sz w:val="18"/>
                <w:szCs w:val="18"/>
                <w:color w:val="auto"/>
              </w:rPr>
              <w:t>1,072,408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1,121,631</w:t>
            </w:r>
          </w:p>
        </w:tc>
        <w:tc>
          <w:tcPr>
            <w:tcW w:w="0" w:type="dxa"/>
            <w:vAlign w:val="bottom"/>
          </w:tcPr>
          <w:p>
            <w:pPr>
              <w:spacing w:after="0"/>
              <w:rPr>
                <w:sz w:val="1"/>
                <w:szCs w:val="1"/>
                <w:color w:val="auto"/>
              </w:rPr>
            </w:pPr>
          </w:p>
        </w:tc>
      </w:tr>
      <w:tr>
        <w:trPr>
          <w:trHeight w:val="137"/>
        </w:trPr>
        <w:tc>
          <w:tcPr>
            <w:tcW w:w="798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798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5,125,645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5,558,316</w:t>
            </w:r>
          </w:p>
        </w:tc>
        <w:tc>
          <w:tcPr>
            <w:tcW w:w="0" w:type="dxa"/>
            <w:vAlign w:val="bottom"/>
          </w:tcPr>
          <w:p>
            <w:pPr>
              <w:spacing w:after="0"/>
              <w:rPr>
                <w:sz w:val="1"/>
                <w:szCs w:val="1"/>
                <w:color w:val="auto"/>
              </w:rPr>
            </w:pPr>
          </w:p>
        </w:tc>
      </w:tr>
      <w:tr>
        <w:trPr>
          <w:trHeight w:val="137"/>
        </w:trPr>
        <w:tc>
          <w:tcPr>
            <w:tcW w:w="79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Total</w:t>
            </w: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599"/>
        </w:trPr>
        <w:tc>
          <w:tcPr>
            <w:tcW w:w="7980" w:type="dxa"/>
            <w:vAlign w:val="bottom"/>
            <w:vMerge w:val="continue"/>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5,986,230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6,381,200</w:t>
            </w:r>
          </w:p>
        </w:tc>
        <w:tc>
          <w:tcPr>
            <w:tcW w:w="0" w:type="dxa"/>
            <w:vAlign w:val="bottom"/>
          </w:tcPr>
          <w:p>
            <w:pPr>
              <w:spacing w:after="0"/>
              <w:rPr>
                <w:sz w:val="1"/>
                <w:szCs w:val="1"/>
                <w:color w:val="auto"/>
              </w:rPr>
            </w:pPr>
          </w:p>
        </w:tc>
      </w:tr>
      <w:tr>
        <w:trPr>
          <w:trHeight w:val="147"/>
        </w:trPr>
        <w:tc>
          <w:tcPr>
            <w:tcW w:w="798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6123940</wp:posOffset>
            </wp:positionH>
            <wp:positionV relativeFrom="paragraph">
              <wp:posOffset>-1797685</wp:posOffset>
            </wp:positionV>
            <wp:extent cx="34290" cy="3429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-1797685</wp:posOffset>
            </wp:positionV>
            <wp:extent cx="34290" cy="3429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-1471930</wp:posOffset>
            </wp:positionV>
            <wp:extent cx="34290" cy="34290"/>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-1471930</wp:posOffset>
            </wp:positionV>
            <wp:extent cx="34290" cy="34290"/>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-837565</wp:posOffset>
            </wp:positionV>
            <wp:extent cx="34290" cy="34290"/>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-837565</wp:posOffset>
            </wp:positionV>
            <wp:extent cx="34290" cy="34290"/>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-511810</wp:posOffset>
            </wp:positionV>
            <wp:extent cx="34290" cy="34290"/>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-511810</wp:posOffset>
            </wp:positionV>
            <wp:extent cx="34290" cy="3429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-14605</wp:posOffset>
            </wp:positionV>
            <wp:extent cx="12700" cy="889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-14605</wp:posOffset>
            </wp:positionV>
            <wp:extent cx="12700" cy="8890"/>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-14605</wp:posOffset>
            </wp:positionV>
            <wp:extent cx="12700" cy="889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-14605</wp:posOffset>
            </wp:positionV>
            <wp:extent cx="12700" cy="889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2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Group has established a policy to remunerate demand deposits and savings accounts according to an interest rate scale, based on the average balance maintained in such accounts. Additionally, according to such policy, it was established that the balances that were lower than a specified amount, for each type of account, do not bear interest.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(b) As of December 31, 2003 and 2002, the balance of deposits and obligations by type of transaction is made up as follows:</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7940" w:type="dxa"/>
            <w:vAlign w:val="bottom"/>
          </w:tcPr>
          <w:p>
            <w:pPr>
              <w:spacing w:after="0"/>
              <w:rPr>
                <w:sz w:val="19"/>
                <w:szCs w:val="19"/>
                <w:color w:val="auto"/>
              </w:rPr>
            </w:pPr>
          </w:p>
        </w:tc>
        <w:tc>
          <w:tcPr>
            <w:tcW w:w="1700" w:type="dxa"/>
            <w:vAlign w:val="bottom"/>
          </w:tcPr>
          <w:p>
            <w:pPr>
              <w:jc w:val="right"/>
              <w:ind w:right="612"/>
              <w:spacing w:after="0"/>
              <w:rPr>
                <w:sz w:val="20"/>
                <w:szCs w:val="20"/>
                <w:color w:val="auto"/>
              </w:rPr>
            </w:pPr>
            <w:r>
              <w:rPr>
                <w:rFonts w:ascii="Arial" w:cs="Arial" w:eastAsia="Arial" w:hAnsi="Arial"/>
                <w:sz w:val="18"/>
                <w:szCs w:val="18"/>
                <w:b w:val="1"/>
                <w:bCs w:val="1"/>
                <w:color w:val="auto"/>
              </w:rPr>
              <w:t>2003</w:t>
            </w:r>
          </w:p>
        </w:tc>
        <w:tc>
          <w:tcPr>
            <w:tcW w:w="1720" w:type="dxa"/>
            <w:vAlign w:val="bottom"/>
            <w:gridSpan w:val="2"/>
          </w:tcPr>
          <w:p>
            <w:pPr>
              <w:jc w:val="right"/>
              <w:ind w:right="612"/>
              <w:spacing w:after="0"/>
              <w:rPr>
                <w:sz w:val="20"/>
                <w:szCs w:val="20"/>
                <w:color w:val="auto"/>
              </w:rPr>
            </w:pPr>
            <w:r>
              <w:rPr>
                <w:rFonts w:ascii="Arial" w:cs="Arial" w:eastAsia="Arial" w:hAnsi="Arial"/>
                <w:sz w:val="18"/>
                <w:szCs w:val="18"/>
                <w:b w:val="1"/>
                <w:bCs w:val="1"/>
                <w:color w:val="auto"/>
              </w:rPr>
              <w:t>2002</w:t>
            </w:r>
          </w:p>
        </w:tc>
        <w:tc>
          <w:tcPr>
            <w:tcW w:w="0" w:type="dxa"/>
            <w:vAlign w:val="bottom"/>
          </w:tcPr>
          <w:p>
            <w:pPr>
              <w:spacing w:after="0"/>
              <w:rPr>
                <w:sz w:val="1"/>
                <w:szCs w:val="1"/>
                <w:color w:val="auto"/>
              </w:rPr>
            </w:pPr>
          </w:p>
        </w:tc>
      </w:tr>
      <w:tr>
        <w:trPr>
          <w:trHeight w:val="243"/>
        </w:trPr>
        <w:tc>
          <w:tcPr>
            <w:tcW w:w="7940" w:type="dxa"/>
            <w:vAlign w:val="bottom"/>
          </w:tcPr>
          <w:p>
            <w:pPr>
              <w:spacing w:after="0"/>
              <w:rPr>
                <w:sz w:val="21"/>
                <w:szCs w:val="21"/>
                <w:color w:val="auto"/>
              </w:rPr>
            </w:pPr>
          </w:p>
        </w:tc>
        <w:tc>
          <w:tcPr>
            <w:tcW w:w="1700" w:type="dxa"/>
            <w:vAlign w:val="bottom"/>
          </w:tcPr>
          <w:p>
            <w:pPr>
              <w:jc w:val="right"/>
              <w:ind w:right="412"/>
              <w:spacing w:after="0"/>
              <w:rPr>
                <w:sz w:val="20"/>
                <w:szCs w:val="20"/>
                <w:color w:val="auto"/>
              </w:rPr>
            </w:pPr>
            <w:r>
              <w:rPr>
                <w:rFonts w:ascii="Arial" w:cs="Arial" w:eastAsia="Arial" w:hAnsi="Arial"/>
                <w:sz w:val="18"/>
                <w:szCs w:val="18"/>
                <w:color w:val="auto"/>
              </w:rPr>
              <w:t>US$(000)</w:t>
            </w:r>
          </w:p>
        </w:tc>
        <w:tc>
          <w:tcPr>
            <w:tcW w:w="20" w:type="dxa"/>
            <w:vAlign w:val="bottom"/>
          </w:tcPr>
          <w:p>
            <w:pPr>
              <w:spacing w:after="0"/>
              <w:rPr>
                <w:sz w:val="21"/>
                <w:szCs w:val="21"/>
                <w:color w:val="auto"/>
              </w:rPr>
            </w:pPr>
          </w:p>
        </w:tc>
        <w:tc>
          <w:tcPr>
            <w:tcW w:w="1700" w:type="dxa"/>
            <w:vAlign w:val="bottom"/>
          </w:tcPr>
          <w:p>
            <w:pPr>
              <w:jc w:val="right"/>
              <w:ind w:right="412"/>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486"/>
        </w:trPr>
        <w:tc>
          <w:tcPr>
            <w:tcW w:w="7940" w:type="dxa"/>
            <w:vAlign w:val="bottom"/>
          </w:tcPr>
          <w:p>
            <w:pPr>
              <w:spacing w:after="0"/>
              <w:rPr>
                <w:sz w:val="20"/>
                <w:szCs w:val="20"/>
                <w:color w:val="auto"/>
              </w:rPr>
            </w:pPr>
            <w:r>
              <w:rPr>
                <w:rFonts w:ascii="Arial" w:cs="Arial" w:eastAsia="Arial" w:hAnsi="Arial"/>
                <w:sz w:val="18"/>
                <w:szCs w:val="18"/>
                <w:color w:val="auto"/>
              </w:rPr>
              <w:t>Time deposits</w:t>
            </w:r>
          </w:p>
        </w:tc>
        <w:tc>
          <w:tcPr>
            <w:tcW w:w="1700" w:type="dxa"/>
            <w:vAlign w:val="bottom"/>
          </w:tcPr>
          <w:p>
            <w:pPr>
              <w:jc w:val="right"/>
              <w:spacing w:after="0"/>
              <w:rPr>
                <w:sz w:val="20"/>
                <w:szCs w:val="20"/>
                <w:color w:val="auto"/>
              </w:rPr>
            </w:pPr>
            <w:r>
              <w:rPr>
                <w:rFonts w:ascii="Arial" w:cs="Arial" w:eastAsia="Arial" w:hAnsi="Arial"/>
                <w:sz w:val="18"/>
                <w:szCs w:val="18"/>
                <w:color w:val="auto"/>
              </w:rPr>
              <w:t>2,426,782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2,589,221</w:t>
            </w:r>
          </w:p>
        </w:tc>
        <w:tc>
          <w:tcPr>
            <w:tcW w:w="0" w:type="dxa"/>
            <w:vAlign w:val="bottom"/>
          </w:tcPr>
          <w:p>
            <w:pPr>
              <w:spacing w:after="0"/>
              <w:rPr>
                <w:sz w:val="1"/>
                <w:szCs w:val="1"/>
                <w:color w:val="auto"/>
              </w:rPr>
            </w:pPr>
          </w:p>
        </w:tc>
      </w:tr>
      <w:tr>
        <w:trPr>
          <w:trHeight w:val="243"/>
        </w:trPr>
        <w:tc>
          <w:tcPr>
            <w:tcW w:w="7940" w:type="dxa"/>
            <w:vAlign w:val="bottom"/>
          </w:tcPr>
          <w:p>
            <w:pPr>
              <w:spacing w:after="0"/>
              <w:rPr>
                <w:sz w:val="20"/>
                <w:szCs w:val="20"/>
                <w:color w:val="auto"/>
              </w:rPr>
            </w:pPr>
            <w:r>
              <w:rPr>
                <w:rFonts w:ascii="Arial" w:cs="Arial" w:eastAsia="Arial" w:hAnsi="Arial"/>
                <w:sz w:val="18"/>
                <w:szCs w:val="18"/>
                <w:color w:val="auto"/>
              </w:rPr>
              <w:t>Demand deposits</w:t>
            </w:r>
          </w:p>
        </w:tc>
        <w:tc>
          <w:tcPr>
            <w:tcW w:w="1700" w:type="dxa"/>
            <w:vAlign w:val="bottom"/>
          </w:tcPr>
          <w:p>
            <w:pPr>
              <w:jc w:val="right"/>
              <w:spacing w:after="0"/>
              <w:rPr>
                <w:sz w:val="20"/>
                <w:szCs w:val="20"/>
                <w:color w:val="auto"/>
              </w:rPr>
            </w:pPr>
            <w:r>
              <w:rPr>
                <w:rFonts w:ascii="Arial" w:cs="Arial" w:eastAsia="Arial" w:hAnsi="Arial"/>
                <w:sz w:val="18"/>
                <w:szCs w:val="18"/>
                <w:color w:val="auto"/>
              </w:rPr>
              <w:t>1,491,679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1,455,608</w:t>
            </w:r>
          </w:p>
        </w:tc>
        <w:tc>
          <w:tcPr>
            <w:tcW w:w="0" w:type="dxa"/>
            <w:vAlign w:val="bottom"/>
          </w:tcPr>
          <w:p>
            <w:pPr>
              <w:spacing w:after="0"/>
              <w:rPr>
                <w:sz w:val="1"/>
                <w:szCs w:val="1"/>
                <w:color w:val="auto"/>
              </w:rPr>
            </w:pPr>
          </w:p>
        </w:tc>
      </w:tr>
      <w:tr>
        <w:trPr>
          <w:trHeight w:val="243"/>
        </w:trPr>
        <w:tc>
          <w:tcPr>
            <w:tcW w:w="7940" w:type="dxa"/>
            <w:vAlign w:val="bottom"/>
          </w:tcPr>
          <w:p>
            <w:pPr>
              <w:spacing w:after="0"/>
              <w:rPr>
                <w:sz w:val="20"/>
                <w:szCs w:val="20"/>
                <w:color w:val="auto"/>
              </w:rPr>
            </w:pPr>
            <w:r>
              <w:rPr>
                <w:rFonts w:ascii="Arial" w:cs="Arial" w:eastAsia="Arial" w:hAnsi="Arial"/>
                <w:sz w:val="18"/>
                <w:szCs w:val="18"/>
                <w:color w:val="auto"/>
              </w:rPr>
              <w:t>Saving deposits</w:t>
            </w:r>
          </w:p>
        </w:tc>
        <w:tc>
          <w:tcPr>
            <w:tcW w:w="1700" w:type="dxa"/>
            <w:vAlign w:val="bottom"/>
          </w:tcPr>
          <w:p>
            <w:pPr>
              <w:jc w:val="right"/>
              <w:spacing w:after="0"/>
              <w:rPr>
                <w:sz w:val="20"/>
                <w:szCs w:val="20"/>
                <w:color w:val="auto"/>
              </w:rPr>
            </w:pPr>
            <w:r>
              <w:rPr>
                <w:rFonts w:ascii="Arial" w:cs="Arial" w:eastAsia="Arial" w:hAnsi="Arial"/>
                <w:sz w:val="18"/>
                <w:szCs w:val="18"/>
                <w:color w:val="auto"/>
              </w:rPr>
              <w:t>1,482,610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1,700,878</w:t>
            </w:r>
          </w:p>
        </w:tc>
        <w:tc>
          <w:tcPr>
            <w:tcW w:w="0" w:type="dxa"/>
            <w:vAlign w:val="bottom"/>
          </w:tcPr>
          <w:p>
            <w:pPr>
              <w:spacing w:after="0"/>
              <w:rPr>
                <w:sz w:val="1"/>
                <w:szCs w:val="1"/>
                <w:color w:val="auto"/>
              </w:rPr>
            </w:pPr>
          </w:p>
        </w:tc>
      </w:tr>
      <w:tr>
        <w:trPr>
          <w:trHeight w:val="243"/>
        </w:trPr>
        <w:tc>
          <w:tcPr>
            <w:tcW w:w="7940" w:type="dxa"/>
            <w:vAlign w:val="bottom"/>
          </w:tcPr>
          <w:p>
            <w:pPr>
              <w:spacing w:after="0"/>
              <w:rPr>
                <w:sz w:val="20"/>
                <w:szCs w:val="20"/>
                <w:color w:val="auto"/>
              </w:rPr>
            </w:pPr>
            <w:r>
              <w:rPr>
                <w:rFonts w:ascii="Arial" w:cs="Arial" w:eastAsia="Arial" w:hAnsi="Arial"/>
                <w:sz w:val="18"/>
                <w:szCs w:val="18"/>
                <w:color w:val="auto"/>
              </w:rPr>
              <w:t>Severance indemnity deposits</w:t>
            </w:r>
          </w:p>
        </w:tc>
        <w:tc>
          <w:tcPr>
            <w:tcW w:w="1700" w:type="dxa"/>
            <w:vAlign w:val="bottom"/>
          </w:tcPr>
          <w:p>
            <w:pPr>
              <w:jc w:val="right"/>
              <w:spacing w:after="0"/>
              <w:rPr>
                <w:sz w:val="20"/>
                <w:szCs w:val="20"/>
                <w:color w:val="auto"/>
              </w:rPr>
            </w:pPr>
            <w:r>
              <w:rPr>
                <w:rFonts w:ascii="Arial" w:cs="Arial" w:eastAsia="Arial" w:hAnsi="Arial"/>
                <w:sz w:val="18"/>
                <w:szCs w:val="18"/>
                <w:color w:val="auto"/>
              </w:rPr>
              <w:t>527,434</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552,174</w:t>
            </w:r>
          </w:p>
        </w:tc>
        <w:tc>
          <w:tcPr>
            <w:tcW w:w="0" w:type="dxa"/>
            <w:vAlign w:val="bottom"/>
          </w:tcPr>
          <w:p>
            <w:pPr>
              <w:spacing w:after="0"/>
              <w:rPr>
                <w:sz w:val="1"/>
                <w:szCs w:val="1"/>
                <w:color w:val="auto"/>
              </w:rPr>
            </w:pPr>
          </w:p>
        </w:tc>
      </w:tr>
      <w:tr>
        <w:trPr>
          <w:trHeight w:val="243"/>
        </w:trPr>
        <w:tc>
          <w:tcPr>
            <w:tcW w:w="7940" w:type="dxa"/>
            <w:vAlign w:val="bottom"/>
          </w:tcPr>
          <w:p>
            <w:pPr>
              <w:spacing w:after="0"/>
              <w:rPr>
                <w:sz w:val="20"/>
                <w:szCs w:val="20"/>
                <w:color w:val="auto"/>
              </w:rPr>
            </w:pPr>
            <w:r>
              <w:rPr>
                <w:rFonts w:ascii="Arial" w:cs="Arial" w:eastAsia="Arial" w:hAnsi="Arial"/>
                <w:sz w:val="18"/>
                <w:szCs w:val="18"/>
                <w:color w:val="auto"/>
              </w:rPr>
              <w:t>Bank certificates</w:t>
            </w:r>
          </w:p>
        </w:tc>
        <w:tc>
          <w:tcPr>
            <w:tcW w:w="1700" w:type="dxa"/>
            <w:vAlign w:val="bottom"/>
          </w:tcPr>
          <w:p>
            <w:pPr>
              <w:jc w:val="right"/>
              <w:spacing w:after="0"/>
              <w:rPr>
                <w:sz w:val="20"/>
                <w:szCs w:val="20"/>
                <w:color w:val="auto"/>
              </w:rPr>
            </w:pPr>
            <w:r>
              <w:rPr>
                <w:rFonts w:ascii="Arial" w:cs="Arial" w:eastAsia="Arial" w:hAnsi="Arial"/>
                <w:sz w:val="18"/>
                <w:szCs w:val="18"/>
                <w:color w:val="auto"/>
              </w:rPr>
              <w:t>57,725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83,319</w:t>
            </w:r>
          </w:p>
        </w:tc>
        <w:tc>
          <w:tcPr>
            <w:tcW w:w="0" w:type="dxa"/>
            <w:vAlign w:val="bottom"/>
          </w:tcPr>
          <w:p>
            <w:pPr>
              <w:spacing w:after="0"/>
              <w:rPr>
                <w:sz w:val="1"/>
                <w:szCs w:val="1"/>
                <w:color w:val="auto"/>
              </w:rPr>
            </w:pPr>
          </w:p>
        </w:tc>
      </w:tr>
      <w:tr>
        <w:trPr>
          <w:trHeight w:val="137"/>
        </w:trPr>
        <w:tc>
          <w:tcPr>
            <w:tcW w:w="794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599"/>
        </w:trPr>
        <w:tc>
          <w:tcPr>
            <w:tcW w:w="7940" w:type="dxa"/>
            <w:vAlign w:val="bottom"/>
            <w:vMerge w:val="continue"/>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5,986,230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6,381,200</w:t>
            </w:r>
          </w:p>
        </w:tc>
        <w:tc>
          <w:tcPr>
            <w:tcW w:w="0" w:type="dxa"/>
            <w:vAlign w:val="bottom"/>
          </w:tcPr>
          <w:p>
            <w:pPr>
              <w:spacing w:after="0"/>
              <w:rPr>
                <w:sz w:val="1"/>
                <w:szCs w:val="1"/>
                <w:color w:val="auto"/>
              </w:rPr>
            </w:pPr>
          </w:p>
        </w:tc>
      </w:tr>
      <w:tr>
        <w:trPr>
          <w:trHeight w:val="147"/>
        </w:trPr>
        <w:tc>
          <w:tcPr>
            <w:tcW w:w="794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6123940</wp:posOffset>
            </wp:positionH>
            <wp:positionV relativeFrom="paragraph">
              <wp:posOffset>-511810</wp:posOffset>
            </wp:positionV>
            <wp:extent cx="34290" cy="3429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-511810</wp:posOffset>
            </wp:positionV>
            <wp:extent cx="34290" cy="34290"/>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-14605</wp:posOffset>
            </wp:positionV>
            <wp:extent cx="12700" cy="889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-14605</wp:posOffset>
            </wp:positionV>
            <wp:extent cx="12700" cy="889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-14605</wp:posOffset>
            </wp:positionV>
            <wp:extent cx="12700" cy="889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-14605</wp:posOffset>
            </wp:positionV>
            <wp:extent cx="12700" cy="889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20" w:lineRule="exact"/>
        <w:rPr>
          <w:sz w:val="20"/>
          <w:szCs w:val="20"/>
          <w:color w:val="auto"/>
        </w:rPr>
      </w:pPr>
    </w:p>
    <w:p>
      <w:pPr>
        <w:ind w:right="240" w:firstLine="8"/>
        <w:spacing w:after="0" w:line="332" w:lineRule="auto"/>
        <w:tabs>
          <w:tab w:leader="none" w:pos="239" w:val="left"/>
        </w:tabs>
        <w:numPr>
          <w:ilvl w:val="0"/>
          <w:numId w:val="50"/>
        </w:numPr>
        <w:rPr>
          <w:rFonts w:ascii="Arial" w:cs="Arial" w:eastAsia="Arial" w:hAnsi="Arial"/>
          <w:sz w:val="16"/>
          <w:szCs w:val="16"/>
          <w:color w:val="auto"/>
        </w:rPr>
      </w:pPr>
      <w:r>
        <w:rPr>
          <w:rFonts w:ascii="Arial" w:cs="Arial" w:eastAsia="Arial" w:hAnsi="Arial"/>
          <w:sz w:val="16"/>
          <w:szCs w:val="16"/>
          <w:color w:val="auto"/>
        </w:rPr>
        <w:t>As of December 31, 2003, the total amount of individual time deposits and bank certificates that exceed of US$100,000 are approximately US$2,124.5 and US$11.7 million, respectively (US$1,507.7 million and US$33.1 million, respectively as of December 31, 2002).</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59320" cy="3429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65" w:name="page166"/>
    <w:bookmarkEnd w:id="165"/>
    <w:p>
      <w:pPr>
        <w:ind w:right="220" w:firstLine="8"/>
        <w:spacing w:after="0" w:line="268" w:lineRule="auto"/>
        <w:tabs>
          <w:tab w:leader="none" w:pos="249"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Interest rates applied to different deposits and obligations accounts are determined by the Group considering interest rates prevailing in the market in which the subsidiaries operate.</w:t>
      </w:r>
    </w:p>
    <w:p>
      <w:pPr>
        <w:spacing w:after="0" w:line="185" w:lineRule="exact"/>
        <w:rPr>
          <w:rFonts w:ascii="Arial" w:cs="Arial" w:eastAsia="Arial" w:hAnsi="Arial"/>
          <w:sz w:val="18"/>
          <w:szCs w:val="18"/>
          <w:color w:val="auto"/>
        </w:rPr>
      </w:pPr>
    </w:p>
    <w:p>
      <w:pPr>
        <w:ind w:left="240" w:hanging="232"/>
        <w:spacing w:after="0"/>
        <w:tabs>
          <w:tab w:leader="none" w:pos="2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time deposits balance classified by maturity is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9"/>
              </w:rPr>
              <w:t>2003</w:t>
            </w:r>
          </w:p>
        </w:tc>
        <w:tc>
          <w:tcPr>
            <w:tcW w:w="1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4"/>
              </w:rPr>
              <w:t>2002</w:t>
            </w:r>
          </w:p>
        </w:tc>
        <w:tc>
          <w:tcPr>
            <w:tcW w:w="0" w:type="dxa"/>
            <w:vAlign w:val="bottom"/>
          </w:tcPr>
          <w:p>
            <w:pPr>
              <w:spacing w:after="0"/>
              <w:rPr>
                <w:sz w:val="1"/>
                <w:szCs w:val="1"/>
                <w:color w:val="auto"/>
              </w:rPr>
            </w:pPr>
          </w:p>
        </w:tc>
      </w:tr>
      <w:tr>
        <w:trPr>
          <w:trHeight w:val="243"/>
        </w:trPr>
        <w:tc>
          <w:tcPr>
            <w:tcW w:w="7980" w:type="dxa"/>
            <w:vAlign w:val="bottom"/>
          </w:tcPr>
          <w:p>
            <w:pPr>
              <w:spacing w:after="0"/>
              <w:rPr>
                <w:sz w:val="21"/>
                <w:szCs w:val="21"/>
                <w:color w:val="auto"/>
              </w:rPr>
            </w:pPr>
          </w:p>
        </w:tc>
        <w:tc>
          <w:tcPr>
            <w:tcW w:w="1700" w:type="dxa"/>
            <w:vAlign w:val="bottom"/>
          </w:tcPr>
          <w:p>
            <w:pPr>
              <w:jc w:val="right"/>
              <w:ind w:right="412"/>
              <w:spacing w:after="0"/>
              <w:rPr>
                <w:sz w:val="20"/>
                <w:szCs w:val="20"/>
                <w:color w:val="auto"/>
              </w:rPr>
            </w:pPr>
            <w:r>
              <w:rPr>
                <w:rFonts w:ascii="Arial" w:cs="Arial" w:eastAsia="Arial" w:hAnsi="Arial"/>
                <w:sz w:val="18"/>
                <w:szCs w:val="18"/>
                <w:color w:val="auto"/>
              </w:rPr>
              <w:t>US$(000)</w:t>
            </w:r>
          </w:p>
        </w:tc>
        <w:tc>
          <w:tcPr>
            <w:tcW w:w="20" w:type="dxa"/>
            <w:vAlign w:val="bottom"/>
          </w:tcPr>
          <w:p>
            <w:pPr>
              <w:spacing w:after="0"/>
              <w:rPr>
                <w:sz w:val="21"/>
                <w:szCs w:val="21"/>
                <w:color w:val="auto"/>
              </w:rPr>
            </w:pPr>
          </w:p>
        </w:tc>
        <w:tc>
          <w:tcPr>
            <w:tcW w:w="1700" w:type="dxa"/>
            <w:vAlign w:val="bottom"/>
          </w:tcPr>
          <w:p>
            <w:pPr>
              <w:jc w:val="right"/>
              <w:ind w:right="412"/>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486"/>
        </w:trPr>
        <w:tc>
          <w:tcPr>
            <w:tcW w:w="7980" w:type="dxa"/>
            <w:vAlign w:val="bottom"/>
          </w:tcPr>
          <w:p>
            <w:pPr>
              <w:ind w:left="40"/>
              <w:spacing w:after="0"/>
              <w:rPr>
                <w:sz w:val="20"/>
                <w:szCs w:val="20"/>
                <w:color w:val="auto"/>
              </w:rPr>
            </w:pPr>
            <w:r>
              <w:rPr>
                <w:rFonts w:ascii="Arial" w:cs="Arial" w:eastAsia="Arial" w:hAnsi="Arial"/>
                <w:sz w:val="18"/>
                <w:szCs w:val="18"/>
                <w:color w:val="auto"/>
              </w:rPr>
              <w:t>From 3 months to 1 year</w:t>
            </w:r>
          </w:p>
        </w:tc>
        <w:tc>
          <w:tcPr>
            <w:tcW w:w="1700" w:type="dxa"/>
            <w:vAlign w:val="bottom"/>
          </w:tcPr>
          <w:p>
            <w:pPr>
              <w:jc w:val="right"/>
              <w:spacing w:after="0"/>
              <w:rPr>
                <w:sz w:val="20"/>
                <w:szCs w:val="20"/>
                <w:color w:val="auto"/>
              </w:rPr>
            </w:pPr>
            <w:r>
              <w:rPr>
                <w:rFonts w:ascii="Arial" w:cs="Arial" w:eastAsia="Arial" w:hAnsi="Arial"/>
                <w:sz w:val="18"/>
                <w:szCs w:val="18"/>
                <w:color w:val="auto"/>
              </w:rPr>
              <w:t>1,824,324</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1,823,539</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From 1 to 5 years</w:t>
            </w:r>
          </w:p>
        </w:tc>
        <w:tc>
          <w:tcPr>
            <w:tcW w:w="1700" w:type="dxa"/>
            <w:vAlign w:val="bottom"/>
          </w:tcPr>
          <w:p>
            <w:pPr>
              <w:jc w:val="right"/>
              <w:spacing w:after="0"/>
              <w:rPr>
                <w:sz w:val="20"/>
                <w:szCs w:val="20"/>
                <w:color w:val="auto"/>
              </w:rPr>
            </w:pPr>
            <w:r>
              <w:rPr>
                <w:rFonts w:ascii="Arial" w:cs="Arial" w:eastAsia="Arial" w:hAnsi="Arial"/>
                <w:sz w:val="18"/>
                <w:szCs w:val="18"/>
                <w:color w:val="auto"/>
              </w:rPr>
              <w:t>513,362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728,908</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More than 5 years</w:t>
            </w:r>
          </w:p>
        </w:tc>
        <w:tc>
          <w:tcPr>
            <w:tcW w:w="1700" w:type="dxa"/>
            <w:vAlign w:val="bottom"/>
          </w:tcPr>
          <w:p>
            <w:pPr>
              <w:jc w:val="right"/>
              <w:spacing w:after="0"/>
              <w:rPr>
                <w:sz w:val="20"/>
                <w:szCs w:val="20"/>
                <w:color w:val="auto"/>
              </w:rPr>
            </w:pPr>
            <w:r>
              <w:rPr>
                <w:rFonts w:ascii="Arial" w:cs="Arial" w:eastAsia="Arial" w:hAnsi="Arial"/>
                <w:sz w:val="18"/>
                <w:szCs w:val="18"/>
                <w:color w:val="auto"/>
              </w:rPr>
              <w:t>89,096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36,774</w:t>
            </w:r>
          </w:p>
        </w:tc>
        <w:tc>
          <w:tcPr>
            <w:tcW w:w="0" w:type="dxa"/>
            <w:vAlign w:val="bottom"/>
          </w:tcPr>
          <w:p>
            <w:pPr>
              <w:spacing w:after="0"/>
              <w:rPr>
                <w:sz w:val="1"/>
                <w:szCs w:val="1"/>
                <w:color w:val="auto"/>
              </w:rPr>
            </w:pPr>
          </w:p>
        </w:tc>
      </w:tr>
      <w:tr>
        <w:trPr>
          <w:trHeight w:val="137"/>
        </w:trPr>
        <w:tc>
          <w:tcPr>
            <w:tcW w:w="79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Total</w:t>
            </w: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599"/>
        </w:trPr>
        <w:tc>
          <w:tcPr>
            <w:tcW w:w="7980" w:type="dxa"/>
            <w:vAlign w:val="bottom"/>
            <w:vMerge w:val="continue"/>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2,426,782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2,589,221</w:t>
            </w:r>
          </w:p>
        </w:tc>
        <w:tc>
          <w:tcPr>
            <w:tcW w:w="0" w:type="dxa"/>
            <w:vAlign w:val="bottom"/>
          </w:tcPr>
          <w:p>
            <w:pPr>
              <w:spacing w:after="0"/>
              <w:rPr>
                <w:sz w:val="1"/>
                <w:szCs w:val="1"/>
                <w:color w:val="auto"/>
              </w:rPr>
            </w:pPr>
          </w:p>
        </w:tc>
      </w:tr>
      <w:tr>
        <w:trPr>
          <w:trHeight w:val="147"/>
        </w:trPr>
        <w:tc>
          <w:tcPr>
            <w:tcW w:w="7980" w:type="dxa"/>
            <w:vAlign w:val="bottom"/>
            <w:vMerge w:val="restart"/>
          </w:tcPr>
          <w:p>
            <w:pPr>
              <w:spacing w:after="0"/>
              <w:rPr>
                <w:sz w:val="20"/>
                <w:szCs w:val="20"/>
                <w:color w:val="auto"/>
              </w:rPr>
            </w:pPr>
            <w:r>
              <w:rPr>
                <w:rFonts w:ascii="Arial" w:cs="Arial" w:eastAsia="Arial" w:hAnsi="Arial"/>
                <w:sz w:val="18"/>
                <w:szCs w:val="18"/>
                <w:b w:val="1"/>
                <w:bCs w:val="1"/>
                <w:color w:val="auto"/>
              </w:rPr>
              <w:t>12. Due to banks and correspondents</w:t>
            </w:r>
          </w:p>
        </w:tc>
        <w:tc>
          <w:tcPr>
            <w:tcW w:w="1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62"/>
        </w:trPr>
        <w:tc>
          <w:tcPr>
            <w:tcW w:w="798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980" w:type="dxa"/>
            <w:vAlign w:val="bottom"/>
          </w:tcPr>
          <w:p>
            <w:pPr>
              <w:spacing w:after="0"/>
              <w:rPr>
                <w:sz w:val="20"/>
                <w:szCs w:val="20"/>
                <w:color w:val="auto"/>
              </w:rPr>
            </w:pPr>
            <w:r>
              <w:rPr>
                <w:rFonts w:ascii="Arial" w:cs="Arial" w:eastAsia="Arial" w:hAnsi="Arial"/>
                <w:sz w:val="18"/>
                <w:szCs w:val="18"/>
                <w:color w:val="auto"/>
              </w:rPr>
              <w:t>(a) This item is made up as follows:</w:t>
            </w: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98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9"/>
              </w:rPr>
              <w:t>2003</w:t>
            </w:r>
          </w:p>
        </w:tc>
        <w:tc>
          <w:tcPr>
            <w:tcW w:w="1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4"/>
              </w:rPr>
              <w:t>2002</w:t>
            </w:r>
          </w:p>
        </w:tc>
        <w:tc>
          <w:tcPr>
            <w:tcW w:w="0" w:type="dxa"/>
            <w:vAlign w:val="bottom"/>
          </w:tcPr>
          <w:p>
            <w:pPr>
              <w:spacing w:after="0"/>
              <w:rPr>
                <w:sz w:val="1"/>
                <w:szCs w:val="1"/>
                <w:color w:val="auto"/>
              </w:rPr>
            </w:pPr>
          </w:p>
        </w:tc>
      </w:tr>
      <w:tr>
        <w:trPr>
          <w:trHeight w:val="243"/>
        </w:trPr>
        <w:tc>
          <w:tcPr>
            <w:tcW w:w="7980" w:type="dxa"/>
            <w:vAlign w:val="bottom"/>
          </w:tcPr>
          <w:p>
            <w:pPr>
              <w:spacing w:after="0"/>
              <w:rPr>
                <w:sz w:val="21"/>
                <w:szCs w:val="21"/>
                <w:color w:val="auto"/>
              </w:rPr>
            </w:pPr>
          </w:p>
        </w:tc>
        <w:tc>
          <w:tcPr>
            <w:tcW w:w="1700" w:type="dxa"/>
            <w:vAlign w:val="bottom"/>
          </w:tcPr>
          <w:p>
            <w:pPr>
              <w:jc w:val="right"/>
              <w:ind w:right="412"/>
              <w:spacing w:after="0"/>
              <w:rPr>
                <w:sz w:val="20"/>
                <w:szCs w:val="20"/>
                <w:color w:val="auto"/>
              </w:rPr>
            </w:pPr>
            <w:r>
              <w:rPr>
                <w:rFonts w:ascii="Arial" w:cs="Arial" w:eastAsia="Arial" w:hAnsi="Arial"/>
                <w:sz w:val="18"/>
                <w:szCs w:val="18"/>
                <w:color w:val="auto"/>
              </w:rPr>
              <w:t>US$(000)</w:t>
            </w:r>
          </w:p>
        </w:tc>
        <w:tc>
          <w:tcPr>
            <w:tcW w:w="20" w:type="dxa"/>
            <w:vAlign w:val="bottom"/>
          </w:tcPr>
          <w:p>
            <w:pPr>
              <w:spacing w:after="0"/>
              <w:rPr>
                <w:sz w:val="21"/>
                <w:szCs w:val="21"/>
                <w:color w:val="auto"/>
              </w:rPr>
            </w:pPr>
          </w:p>
        </w:tc>
        <w:tc>
          <w:tcPr>
            <w:tcW w:w="1700" w:type="dxa"/>
            <w:vAlign w:val="bottom"/>
          </w:tcPr>
          <w:p>
            <w:pPr>
              <w:jc w:val="right"/>
              <w:ind w:right="412"/>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By type -</w:t>
            </w: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Due to banks and correspondents (b)</w:t>
            </w:r>
          </w:p>
        </w:tc>
        <w:tc>
          <w:tcPr>
            <w:tcW w:w="1700" w:type="dxa"/>
            <w:vAlign w:val="bottom"/>
          </w:tcPr>
          <w:p>
            <w:pPr>
              <w:jc w:val="right"/>
              <w:spacing w:after="0"/>
              <w:rPr>
                <w:sz w:val="20"/>
                <w:szCs w:val="20"/>
                <w:color w:val="auto"/>
              </w:rPr>
            </w:pPr>
            <w:r>
              <w:rPr>
                <w:rFonts w:ascii="Arial" w:cs="Arial" w:eastAsia="Arial" w:hAnsi="Arial"/>
                <w:sz w:val="18"/>
                <w:szCs w:val="18"/>
                <w:color w:val="auto"/>
              </w:rPr>
              <w:t>182,676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230,066</w:t>
            </w:r>
          </w:p>
        </w:tc>
        <w:tc>
          <w:tcPr>
            <w:tcW w:w="0" w:type="dxa"/>
            <w:vAlign w:val="bottom"/>
          </w:tcPr>
          <w:p>
            <w:pPr>
              <w:spacing w:after="0"/>
              <w:rPr>
                <w:sz w:val="1"/>
                <w:szCs w:val="1"/>
                <w:color w:val="auto"/>
              </w:rPr>
            </w:pP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Promotional credit lines (c)</w:t>
            </w:r>
          </w:p>
        </w:tc>
        <w:tc>
          <w:tcPr>
            <w:tcW w:w="1700" w:type="dxa"/>
            <w:vAlign w:val="bottom"/>
          </w:tcPr>
          <w:p>
            <w:pPr>
              <w:jc w:val="right"/>
              <w:spacing w:after="0"/>
              <w:rPr>
                <w:sz w:val="20"/>
                <w:szCs w:val="20"/>
                <w:color w:val="auto"/>
              </w:rPr>
            </w:pPr>
            <w:r>
              <w:rPr>
                <w:rFonts w:ascii="Arial" w:cs="Arial" w:eastAsia="Arial" w:hAnsi="Arial"/>
                <w:sz w:val="18"/>
                <w:szCs w:val="18"/>
                <w:color w:val="auto"/>
              </w:rPr>
              <w:t>59,164</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34,241</w:t>
            </w:r>
          </w:p>
        </w:tc>
        <w:tc>
          <w:tcPr>
            <w:tcW w:w="0" w:type="dxa"/>
            <w:vAlign w:val="bottom"/>
          </w:tcPr>
          <w:p>
            <w:pPr>
              <w:spacing w:after="0"/>
              <w:rPr>
                <w:sz w:val="1"/>
                <w:szCs w:val="1"/>
                <w:color w:val="auto"/>
              </w:rPr>
            </w:pP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Interbank funds</w:t>
            </w:r>
          </w:p>
        </w:tc>
        <w:tc>
          <w:tcPr>
            <w:tcW w:w="1700" w:type="dxa"/>
            <w:vAlign w:val="bottom"/>
          </w:tcPr>
          <w:p>
            <w:pPr>
              <w:jc w:val="right"/>
              <w:spacing w:after="0"/>
              <w:rPr>
                <w:sz w:val="20"/>
                <w:szCs w:val="20"/>
                <w:color w:val="auto"/>
              </w:rPr>
            </w:pPr>
            <w:r>
              <w:rPr>
                <w:rFonts w:ascii="Arial" w:cs="Arial" w:eastAsia="Arial" w:hAnsi="Arial"/>
                <w:sz w:val="18"/>
                <w:szCs w:val="18"/>
                <w:color w:val="auto"/>
              </w:rPr>
              <w:t>28,618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43,194</w:t>
            </w:r>
          </w:p>
        </w:tc>
        <w:tc>
          <w:tcPr>
            <w:tcW w:w="0" w:type="dxa"/>
            <w:vAlign w:val="bottom"/>
          </w:tcPr>
          <w:p>
            <w:pPr>
              <w:spacing w:after="0"/>
              <w:rPr>
                <w:sz w:val="1"/>
                <w:szCs w:val="1"/>
                <w:color w:val="auto"/>
              </w:rPr>
            </w:pP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Loans of international funds</w:t>
            </w:r>
          </w:p>
        </w:tc>
        <w:tc>
          <w:tcPr>
            <w:tcW w:w="1700" w:type="dxa"/>
            <w:vAlign w:val="bottom"/>
          </w:tcPr>
          <w:p>
            <w:pPr>
              <w:jc w:val="right"/>
              <w:spacing w:after="0"/>
              <w:rPr>
                <w:sz w:val="20"/>
                <w:szCs w:val="20"/>
                <w:color w:val="auto"/>
              </w:rPr>
            </w:pPr>
            <w:r>
              <w:rPr>
                <w:rFonts w:ascii="Arial" w:cs="Arial" w:eastAsia="Arial" w:hAnsi="Arial"/>
                <w:sz w:val="18"/>
                <w:szCs w:val="18"/>
                <w:color w:val="auto"/>
              </w:rPr>
              <w:t>3,276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2,197</w:t>
            </w:r>
          </w:p>
        </w:tc>
        <w:tc>
          <w:tcPr>
            <w:tcW w:w="0" w:type="dxa"/>
            <w:vAlign w:val="bottom"/>
          </w:tcPr>
          <w:p>
            <w:pPr>
              <w:spacing w:after="0"/>
              <w:rPr>
                <w:sz w:val="1"/>
                <w:szCs w:val="1"/>
                <w:color w:val="auto"/>
              </w:rPr>
            </w:pPr>
          </w:p>
        </w:tc>
      </w:tr>
      <w:tr>
        <w:trPr>
          <w:trHeight w:val="137"/>
        </w:trPr>
        <w:tc>
          <w:tcPr>
            <w:tcW w:w="798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599"/>
        </w:trPr>
        <w:tc>
          <w:tcPr>
            <w:tcW w:w="798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9"/>
              </w:rPr>
              <w:t>273,734</w:t>
            </w:r>
          </w:p>
        </w:tc>
        <w:tc>
          <w:tcPr>
            <w:tcW w:w="1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309,698</w:t>
            </w:r>
          </w:p>
        </w:tc>
        <w:tc>
          <w:tcPr>
            <w:tcW w:w="0" w:type="dxa"/>
            <w:vAlign w:val="bottom"/>
          </w:tcPr>
          <w:p>
            <w:pPr>
              <w:spacing w:after="0"/>
              <w:rPr>
                <w:sz w:val="1"/>
                <w:szCs w:val="1"/>
                <w:color w:val="auto"/>
              </w:rPr>
            </w:pPr>
          </w:p>
        </w:tc>
      </w:tr>
      <w:tr>
        <w:trPr>
          <w:trHeight w:val="147"/>
        </w:trPr>
        <w:tc>
          <w:tcPr>
            <w:tcW w:w="7980" w:type="dxa"/>
            <w:vAlign w:val="bottom"/>
            <w:vMerge w:val="restart"/>
          </w:tcPr>
          <w:p>
            <w:pPr>
              <w:ind w:left="40"/>
              <w:spacing w:after="0"/>
              <w:rPr>
                <w:sz w:val="20"/>
                <w:szCs w:val="20"/>
                <w:color w:val="auto"/>
              </w:rPr>
            </w:pPr>
            <w:r>
              <w:rPr>
                <w:rFonts w:ascii="Arial" w:cs="Arial" w:eastAsia="Arial" w:hAnsi="Arial"/>
                <w:sz w:val="18"/>
                <w:szCs w:val="18"/>
                <w:color w:val="auto"/>
              </w:rPr>
              <w:t>By term -</w:t>
            </w:r>
          </w:p>
        </w:tc>
        <w:tc>
          <w:tcPr>
            <w:tcW w:w="1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89"/>
        </w:trPr>
        <w:tc>
          <w:tcPr>
            <w:tcW w:w="798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Short-term debt</w:t>
            </w:r>
          </w:p>
        </w:tc>
        <w:tc>
          <w:tcPr>
            <w:tcW w:w="1700" w:type="dxa"/>
            <w:vAlign w:val="bottom"/>
          </w:tcPr>
          <w:p>
            <w:pPr>
              <w:jc w:val="right"/>
              <w:spacing w:after="0"/>
              <w:rPr>
                <w:sz w:val="20"/>
                <w:szCs w:val="20"/>
                <w:color w:val="auto"/>
              </w:rPr>
            </w:pPr>
            <w:r>
              <w:rPr>
                <w:rFonts w:ascii="Arial" w:cs="Arial" w:eastAsia="Arial" w:hAnsi="Arial"/>
                <w:sz w:val="18"/>
                <w:szCs w:val="18"/>
                <w:color w:val="auto"/>
              </w:rPr>
              <w:t>96,311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124,961</w:t>
            </w:r>
          </w:p>
        </w:tc>
        <w:tc>
          <w:tcPr>
            <w:tcW w:w="0" w:type="dxa"/>
            <w:vAlign w:val="bottom"/>
          </w:tcPr>
          <w:p>
            <w:pPr>
              <w:spacing w:after="0"/>
              <w:rPr>
                <w:sz w:val="1"/>
                <w:szCs w:val="1"/>
                <w:color w:val="auto"/>
              </w:rPr>
            </w:pP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Long-term debt</w:t>
            </w:r>
          </w:p>
        </w:tc>
        <w:tc>
          <w:tcPr>
            <w:tcW w:w="1700" w:type="dxa"/>
            <w:vAlign w:val="bottom"/>
          </w:tcPr>
          <w:p>
            <w:pPr>
              <w:jc w:val="right"/>
              <w:spacing w:after="0"/>
              <w:rPr>
                <w:sz w:val="20"/>
                <w:szCs w:val="20"/>
                <w:color w:val="auto"/>
              </w:rPr>
            </w:pPr>
            <w:r>
              <w:rPr>
                <w:rFonts w:ascii="Arial" w:cs="Arial" w:eastAsia="Arial" w:hAnsi="Arial"/>
                <w:sz w:val="18"/>
                <w:szCs w:val="18"/>
                <w:color w:val="auto"/>
              </w:rPr>
              <w:t>177,423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184,737</w:t>
            </w:r>
          </w:p>
        </w:tc>
        <w:tc>
          <w:tcPr>
            <w:tcW w:w="0" w:type="dxa"/>
            <w:vAlign w:val="bottom"/>
          </w:tcPr>
          <w:p>
            <w:pPr>
              <w:spacing w:after="0"/>
              <w:rPr>
                <w:sz w:val="1"/>
                <w:szCs w:val="1"/>
                <w:color w:val="auto"/>
              </w:rPr>
            </w:pPr>
          </w:p>
        </w:tc>
      </w:tr>
      <w:tr>
        <w:trPr>
          <w:trHeight w:val="137"/>
        </w:trPr>
        <w:tc>
          <w:tcPr>
            <w:tcW w:w="798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Total</w:t>
            </w: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599"/>
        </w:trPr>
        <w:tc>
          <w:tcPr>
            <w:tcW w:w="7980" w:type="dxa"/>
            <w:vAlign w:val="bottom"/>
            <w:vMerge w:val="continue"/>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273,734</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309,698</w:t>
            </w:r>
          </w:p>
        </w:tc>
        <w:tc>
          <w:tcPr>
            <w:tcW w:w="0" w:type="dxa"/>
            <w:vAlign w:val="bottom"/>
          </w:tcPr>
          <w:p>
            <w:pPr>
              <w:spacing w:after="0"/>
              <w:rPr>
                <w:sz w:val="1"/>
                <w:szCs w:val="1"/>
                <w:color w:val="auto"/>
              </w:rPr>
            </w:pPr>
          </w:p>
        </w:tc>
      </w:tr>
      <w:tr>
        <w:trPr>
          <w:trHeight w:val="147"/>
        </w:trPr>
        <w:tc>
          <w:tcPr>
            <w:tcW w:w="798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6123940</wp:posOffset>
            </wp:positionH>
            <wp:positionV relativeFrom="paragraph">
              <wp:posOffset>-4216400</wp:posOffset>
            </wp:positionV>
            <wp:extent cx="34290" cy="34290"/>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-4216400</wp:posOffset>
            </wp:positionV>
            <wp:extent cx="34290" cy="3429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-3719195</wp:posOffset>
            </wp:positionV>
            <wp:extent cx="12700" cy="889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-3719195</wp:posOffset>
            </wp:positionV>
            <wp:extent cx="12700" cy="8890"/>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-3719195</wp:posOffset>
            </wp:positionV>
            <wp:extent cx="12700" cy="8890"/>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-3719195</wp:posOffset>
            </wp:positionV>
            <wp:extent cx="12700" cy="8890"/>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-1780540</wp:posOffset>
            </wp:positionV>
            <wp:extent cx="34290" cy="34290"/>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-1780540</wp:posOffset>
            </wp:positionV>
            <wp:extent cx="34290" cy="3429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-1283335</wp:posOffset>
            </wp:positionV>
            <wp:extent cx="12700" cy="8890"/>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-1283335</wp:posOffset>
            </wp:positionV>
            <wp:extent cx="12700" cy="8890"/>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-1283335</wp:posOffset>
            </wp:positionV>
            <wp:extent cx="12700" cy="8890"/>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-1283335</wp:posOffset>
            </wp:positionV>
            <wp:extent cx="12700" cy="8890"/>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-511810</wp:posOffset>
            </wp:positionV>
            <wp:extent cx="34290" cy="3429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-511810</wp:posOffset>
            </wp:positionV>
            <wp:extent cx="34290" cy="34290"/>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-14605</wp:posOffset>
            </wp:positionV>
            <wp:extent cx="12700" cy="8890"/>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-14605</wp:posOffset>
            </wp:positionV>
            <wp:extent cx="12700" cy="8890"/>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-14605</wp:posOffset>
            </wp:positionV>
            <wp:extent cx="12700" cy="8890"/>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-14605</wp:posOffset>
            </wp:positionV>
            <wp:extent cx="12700" cy="8890"/>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(b) The balance of the liabilities with banks and correspondents correspond to the following operations:</w:t>
      </w:r>
    </w:p>
    <w:p>
      <w:pPr>
        <w:spacing w:after="0" w:line="225" w:lineRule="exact"/>
        <w:rPr>
          <w:sz w:val="20"/>
          <w:szCs w:val="20"/>
          <w:color w:val="auto"/>
        </w:rPr>
      </w:pPr>
    </w:p>
    <w:p>
      <w:pPr>
        <w:ind w:left="580" w:right="440" w:hanging="572"/>
        <w:spacing w:after="0" w:line="268" w:lineRule="auto"/>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Bank loans obtained by the Group mainly to finance foreign trade and working capital amounted US$84.1 and US$103.5 million in 2003 and 2002, respectively.</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59320" cy="34290"/>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ectPr>
          <w:pgSz w:w="11900" w:h="16838" w:orient="portrait"/>
          <w:cols w:equalWidth="0" w:num="1">
            <w:col w:w="11400"/>
          </w:cols>
          <w:pgMar w:left="240" w:top="347" w:right="259" w:bottom="1440" w:gutter="0" w:footer="0" w:header="0"/>
        </w:sectPr>
      </w:pPr>
    </w:p>
    <w:bookmarkStart w:id="166" w:name="page167"/>
    <w:bookmarkEnd w:id="166"/>
    <w:p>
      <w:pPr>
        <w:ind w:left="580" w:right="20" w:hanging="572"/>
        <w:spacing w:after="0" w:line="253" w:lineRule="auto"/>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amount owed from a loan transaction made in November 1998, amounting to US$100 million, with maturities until November 2005, secured by the collection of the BCP’s future inflows corresponding to the receivables and advances made in Peru through the credit cards of Visa International issued by foreign banks. In this transaction, Deutsche Bank AG. of Germany acted as trustee for the securitization operation. This obligation will be paid through the transfers of funds corresponding to the future inflows to be received by BCP from Visa International, which will be deposited directly by Visa International in a special account managed by Deutsche Bank A.G. of Germany. This transaction bears an annual interest rate of 5.74 percent. As of December 31, 2003 and 2002, the securitization obligation amounted to US$33.3 and US$48.4 million, respectively. This transaction is recorded as a secured borrowing.</w:t>
      </w:r>
    </w:p>
    <w:p>
      <w:pPr>
        <w:spacing w:after="0" w:line="228" w:lineRule="exact"/>
        <w:rPr>
          <w:rFonts w:ascii="Arial" w:cs="Arial" w:eastAsia="Arial" w:hAnsi="Arial"/>
          <w:sz w:val="18"/>
          <w:szCs w:val="18"/>
          <w:color w:val="auto"/>
        </w:rPr>
      </w:pPr>
    </w:p>
    <w:p>
      <w:pPr>
        <w:ind w:left="580" w:right="540"/>
        <w:spacing w:after="0" w:line="268" w:lineRule="auto"/>
        <w:rPr>
          <w:rFonts w:ascii="Arial" w:cs="Arial" w:eastAsia="Arial" w:hAnsi="Arial"/>
          <w:sz w:val="18"/>
          <w:szCs w:val="18"/>
          <w:color w:val="auto"/>
        </w:rPr>
      </w:pPr>
      <w:r>
        <w:rPr>
          <w:rFonts w:ascii="Arial" w:cs="Arial" w:eastAsia="Arial" w:hAnsi="Arial"/>
          <w:sz w:val="18"/>
          <w:szCs w:val="18"/>
          <w:color w:val="auto"/>
        </w:rPr>
        <w:t>In addition, BCP has signed an insurance policy with MBIA Insurance Corporation of New York that guarantees the future cash inflows to pay the quarterly payments with maturities November 2005.</w:t>
      </w:r>
    </w:p>
    <w:p>
      <w:pPr>
        <w:spacing w:after="0" w:line="212" w:lineRule="exact"/>
        <w:rPr>
          <w:rFonts w:ascii="Arial" w:cs="Arial" w:eastAsia="Arial" w:hAnsi="Arial"/>
          <w:sz w:val="18"/>
          <w:szCs w:val="18"/>
          <w:color w:val="auto"/>
        </w:rPr>
      </w:pPr>
    </w:p>
    <w:p>
      <w:pPr>
        <w:ind w:left="580" w:right="180" w:hanging="572"/>
        <w:spacing w:after="0" w:line="254" w:lineRule="auto"/>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amount owed from a securitization transaction made by the BCP in January 2001 amounting to US$100 million, with maturity until January 2008, corresponding to the future collection of the orders of payment in US Dollars related to the transfers of funds received from banks located outside Peru associated with the Society for Worldwide Interbank Financial Telecommunications (Swift). In this transaction, ING Barings acted as trustee for the securitization transaction. This transaction bears a monthly interest rate that fluctuates between 1.44 and 1.83 percent (between 1.73 and 2.41 percent in 2002). As of December 31, 2003 and 2002 the balance of this obligation amounts to US$65.3 and US$78.2 million, respectively. This transaction is recorded as a secured borrowing.</w:t>
      </w:r>
    </w:p>
    <w:p>
      <w:pPr>
        <w:spacing w:after="0" w:line="200" w:lineRule="exact"/>
        <w:rPr>
          <w:sz w:val="20"/>
          <w:szCs w:val="20"/>
          <w:color w:val="auto"/>
        </w:rPr>
      </w:pPr>
    </w:p>
    <w:p>
      <w:pPr>
        <w:spacing w:after="0" w:line="241" w:lineRule="exact"/>
        <w:rPr>
          <w:sz w:val="20"/>
          <w:szCs w:val="20"/>
          <w:color w:val="auto"/>
        </w:rPr>
      </w:pPr>
    </w:p>
    <w:p>
      <w:pPr>
        <w:jc w:val="both"/>
        <w:ind w:right="140" w:firstLine="8"/>
        <w:spacing w:after="0" w:line="256" w:lineRule="auto"/>
        <w:tabs>
          <w:tab w:leader="none" w:pos="239"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Promotional credit lines represent loans granted to BCP by Corporacion Financiera de Desarrollo (COFIDE) and Banco Interamericano de Desarrollo (BID), for promoting the development of the Republic of Peru. As of December 31, 2003 and 2002, these credit lines are guaranteed with a loan portfolio amounting to US$43.2 and US$18.4 million, respectively, and include covenants specifying the use of funds, financial conditions that the borrower must maintain and other administrative matters.</w:t>
      </w:r>
    </w:p>
    <w:p>
      <w:pPr>
        <w:spacing w:after="0" w:line="197" w:lineRule="exact"/>
        <w:rPr>
          <w:rFonts w:ascii="Arial" w:cs="Arial" w:eastAsia="Arial" w:hAnsi="Arial"/>
          <w:sz w:val="18"/>
          <w:szCs w:val="18"/>
          <w:color w:val="auto"/>
        </w:rPr>
      </w:pPr>
    </w:p>
    <w:p>
      <w:pPr>
        <w:ind w:left="260" w:hanging="252"/>
        <w:spacing w:after="0"/>
        <w:tabs>
          <w:tab w:leader="none" w:pos="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Maturities of due to banks and correspondents are shown below, based in the remaining period to the repayment date: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20" w:type="dxa"/>
            <w:vAlign w:val="bottom"/>
          </w:tcPr>
          <w:p>
            <w:pPr>
              <w:spacing w:after="0"/>
              <w:rPr>
                <w:sz w:val="19"/>
                <w:szCs w:val="19"/>
                <w:color w:val="auto"/>
              </w:rPr>
            </w:pPr>
          </w:p>
        </w:tc>
        <w:tc>
          <w:tcPr>
            <w:tcW w:w="6260" w:type="dxa"/>
            <w:vAlign w:val="bottom"/>
            <w:gridSpan w:val="2"/>
          </w:tcPr>
          <w:p>
            <w:pPr>
              <w:jc w:val="right"/>
              <w:ind w:right="612"/>
              <w:spacing w:after="0"/>
              <w:rPr>
                <w:sz w:val="20"/>
                <w:szCs w:val="20"/>
                <w:color w:val="auto"/>
              </w:rPr>
            </w:pPr>
            <w:r>
              <w:rPr>
                <w:rFonts w:ascii="Arial" w:cs="Arial" w:eastAsia="Arial" w:hAnsi="Arial"/>
                <w:sz w:val="18"/>
                <w:szCs w:val="18"/>
                <w:b w:val="1"/>
                <w:bCs w:val="1"/>
                <w:color w:val="auto"/>
              </w:rPr>
              <w:t>2003</w:t>
            </w:r>
          </w:p>
        </w:tc>
        <w:tc>
          <w:tcPr>
            <w:tcW w:w="1720" w:type="dxa"/>
            <w:vAlign w:val="bottom"/>
            <w:gridSpan w:val="2"/>
          </w:tcPr>
          <w:p>
            <w:pPr>
              <w:jc w:val="right"/>
              <w:ind w:right="612"/>
              <w:spacing w:after="0"/>
              <w:rPr>
                <w:sz w:val="20"/>
                <w:szCs w:val="20"/>
                <w:color w:val="auto"/>
              </w:rPr>
            </w:pPr>
            <w:r>
              <w:rPr>
                <w:rFonts w:ascii="Arial" w:cs="Arial" w:eastAsia="Arial" w:hAnsi="Arial"/>
                <w:sz w:val="18"/>
                <w:szCs w:val="18"/>
                <w:b w:val="1"/>
                <w:bCs w:val="1"/>
                <w:color w:val="auto"/>
              </w:rPr>
              <w:t>2002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1700" w:type="dxa"/>
            <w:vAlign w:val="bottom"/>
          </w:tcPr>
          <w:p>
            <w:pPr>
              <w:jc w:val="right"/>
              <w:ind w:right="412"/>
              <w:spacing w:after="0"/>
              <w:rPr>
                <w:sz w:val="20"/>
                <w:szCs w:val="20"/>
                <w:color w:val="auto"/>
              </w:rPr>
            </w:pPr>
            <w:r>
              <w:rPr>
                <w:rFonts w:ascii="Arial" w:cs="Arial" w:eastAsia="Arial" w:hAnsi="Arial"/>
                <w:sz w:val="18"/>
                <w:szCs w:val="18"/>
                <w:color w:val="auto"/>
              </w:rPr>
              <w:t>US$(000)</w:t>
            </w:r>
          </w:p>
        </w:tc>
        <w:tc>
          <w:tcPr>
            <w:tcW w:w="20" w:type="dxa"/>
            <w:vAlign w:val="bottom"/>
          </w:tcPr>
          <w:p>
            <w:pPr>
              <w:spacing w:after="0"/>
              <w:rPr>
                <w:sz w:val="21"/>
                <w:szCs w:val="21"/>
                <w:color w:val="auto"/>
              </w:rPr>
            </w:pPr>
          </w:p>
        </w:tc>
        <w:tc>
          <w:tcPr>
            <w:tcW w:w="1700" w:type="dxa"/>
            <w:vAlign w:val="bottom"/>
          </w:tcPr>
          <w:p>
            <w:pPr>
              <w:jc w:val="right"/>
              <w:ind w:right="412"/>
              <w:spacing w:after="0"/>
              <w:rPr>
                <w:sz w:val="20"/>
                <w:szCs w:val="20"/>
                <w:color w:val="auto"/>
              </w:rPr>
            </w:pPr>
            <w:r>
              <w:rPr>
                <w:rFonts w:ascii="Arial" w:cs="Arial" w:eastAsia="Arial" w:hAnsi="Arial"/>
                <w:sz w:val="18"/>
                <w:szCs w:val="18"/>
                <w:color w:val="auto"/>
              </w:rPr>
              <w:t>US$(000)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3420" w:type="dxa"/>
            <w:vAlign w:val="bottom"/>
          </w:tcPr>
          <w:p>
            <w:pPr>
              <w:ind w:left="40"/>
              <w:spacing w:after="0"/>
              <w:rPr>
                <w:sz w:val="20"/>
                <w:szCs w:val="20"/>
                <w:color w:val="auto"/>
              </w:rPr>
            </w:pPr>
            <w:r>
              <w:rPr>
                <w:rFonts w:ascii="Arial" w:cs="Arial" w:eastAsia="Arial" w:hAnsi="Arial"/>
                <w:sz w:val="18"/>
                <w:szCs w:val="18"/>
                <w:color w:val="auto"/>
              </w:rPr>
              <w:t>Up to 1 year</w:t>
            </w:r>
          </w:p>
        </w:tc>
        <w:tc>
          <w:tcPr>
            <w:tcW w:w="6260" w:type="dxa"/>
            <w:vAlign w:val="bottom"/>
            <w:gridSpan w:val="2"/>
          </w:tcPr>
          <w:p>
            <w:pPr>
              <w:jc w:val="right"/>
              <w:spacing w:after="0"/>
              <w:rPr>
                <w:sz w:val="20"/>
                <w:szCs w:val="20"/>
                <w:color w:val="auto"/>
              </w:rPr>
            </w:pPr>
            <w:r>
              <w:rPr>
                <w:rFonts w:ascii="Arial" w:cs="Arial" w:eastAsia="Arial" w:hAnsi="Arial"/>
                <w:sz w:val="18"/>
                <w:szCs w:val="18"/>
                <w:color w:val="auto"/>
              </w:rPr>
              <w:t>96,311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130,961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From 1 to 5 years</w:t>
            </w:r>
          </w:p>
        </w:tc>
        <w:tc>
          <w:tcPr>
            <w:tcW w:w="6260" w:type="dxa"/>
            <w:vAlign w:val="bottom"/>
            <w:gridSpan w:val="2"/>
          </w:tcPr>
          <w:p>
            <w:pPr>
              <w:jc w:val="right"/>
              <w:spacing w:after="0"/>
              <w:rPr>
                <w:sz w:val="20"/>
                <w:szCs w:val="20"/>
                <w:color w:val="auto"/>
              </w:rPr>
            </w:pPr>
            <w:r>
              <w:rPr>
                <w:rFonts w:ascii="Arial" w:cs="Arial" w:eastAsia="Arial" w:hAnsi="Arial"/>
                <w:sz w:val="18"/>
                <w:szCs w:val="18"/>
                <w:color w:val="auto"/>
              </w:rPr>
              <w:t>137,627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135,822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Over 5 years</w:t>
            </w:r>
          </w:p>
        </w:tc>
        <w:tc>
          <w:tcPr>
            <w:tcW w:w="6260" w:type="dxa"/>
            <w:vAlign w:val="bottom"/>
            <w:gridSpan w:val="2"/>
          </w:tcPr>
          <w:p>
            <w:pPr>
              <w:jc w:val="right"/>
              <w:spacing w:after="0"/>
              <w:rPr>
                <w:sz w:val="20"/>
                <w:szCs w:val="20"/>
                <w:color w:val="auto"/>
              </w:rPr>
            </w:pPr>
            <w:r>
              <w:rPr>
                <w:rFonts w:ascii="Arial" w:cs="Arial" w:eastAsia="Arial" w:hAnsi="Arial"/>
                <w:sz w:val="18"/>
                <w:szCs w:val="18"/>
                <w:color w:val="auto"/>
              </w:rPr>
              <w:t>39,796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42,915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7"/>
        </w:trPr>
        <w:tc>
          <w:tcPr>
            <w:tcW w:w="34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Total</w:t>
            </w:r>
          </w:p>
        </w:tc>
        <w:tc>
          <w:tcPr>
            <w:tcW w:w="456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99"/>
        </w:trPr>
        <w:tc>
          <w:tcPr>
            <w:tcW w:w="3420" w:type="dxa"/>
            <w:vAlign w:val="bottom"/>
            <w:vMerge w:val="continue"/>
          </w:tcPr>
          <w:p>
            <w:pPr>
              <w:spacing w:after="0"/>
              <w:rPr>
                <w:sz w:val="24"/>
                <w:szCs w:val="24"/>
                <w:color w:val="auto"/>
              </w:rPr>
            </w:pPr>
          </w:p>
        </w:tc>
        <w:tc>
          <w:tcPr>
            <w:tcW w:w="6260" w:type="dxa"/>
            <w:vAlign w:val="bottom"/>
            <w:gridSpan w:val="2"/>
          </w:tcPr>
          <w:p>
            <w:pPr>
              <w:jc w:val="right"/>
              <w:spacing w:after="0"/>
              <w:rPr>
                <w:sz w:val="20"/>
                <w:szCs w:val="20"/>
                <w:color w:val="auto"/>
              </w:rPr>
            </w:pPr>
            <w:r>
              <w:rPr>
                <w:rFonts w:ascii="Arial" w:cs="Arial" w:eastAsia="Arial" w:hAnsi="Arial"/>
                <w:sz w:val="18"/>
                <w:szCs w:val="18"/>
                <w:color w:val="auto"/>
              </w:rPr>
              <w:t>273,734</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309,698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34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89"/>
        </w:trPr>
        <w:tc>
          <w:tcPr>
            <w:tcW w:w="3420" w:type="dxa"/>
            <w:vAlign w:val="bottom"/>
          </w:tcPr>
          <w:p>
            <w:pPr>
              <w:spacing w:after="0"/>
              <w:rPr>
                <w:sz w:val="24"/>
                <w:szCs w:val="24"/>
                <w:color w:val="auto"/>
              </w:rPr>
            </w:pPr>
          </w:p>
        </w:tc>
        <w:tc>
          <w:tcPr>
            <w:tcW w:w="6260" w:type="dxa"/>
            <w:vAlign w:val="bottom"/>
            <w:gridSpan w:val="2"/>
          </w:tcPr>
          <w:p>
            <w:pPr>
              <w:jc w:val="right"/>
              <w:ind w:right="3712"/>
              <w:spacing w:after="0"/>
              <w:rPr>
                <w:sz w:val="20"/>
                <w:szCs w:val="20"/>
                <w:color w:val="auto"/>
              </w:rPr>
            </w:pPr>
            <w:r>
              <w:rPr>
                <w:rFonts w:ascii="Arial" w:cs="Arial" w:eastAsia="Arial" w:hAnsi="Arial"/>
                <w:sz w:val="18"/>
                <w:szCs w:val="18"/>
                <w:color w:val="auto"/>
              </w:rPr>
              <w:t>F-39</w:t>
            </w: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420" w:type="dxa"/>
            <w:vAlign w:val="bottom"/>
            <w:tcBorders>
              <w:bottom w:val="single" w:sz="8" w:color="9A9A9A"/>
            </w:tcBorders>
          </w:tcPr>
          <w:p>
            <w:pPr>
              <w:spacing w:after="0"/>
              <w:rPr>
                <w:sz w:val="9"/>
                <w:szCs w:val="9"/>
                <w:color w:val="auto"/>
              </w:rPr>
            </w:pPr>
          </w:p>
        </w:tc>
        <w:tc>
          <w:tcPr>
            <w:tcW w:w="456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6123940</wp:posOffset>
            </wp:positionH>
            <wp:positionV relativeFrom="paragraph">
              <wp:posOffset>-963930</wp:posOffset>
            </wp:positionV>
            <wp:extent cx="34290" cy="34290"/>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-963930</wp:posOffset>
            </wp:positionV>
            <wp:extent cx="34290" cy="34290"/>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-466725</wp:posOffset>
            </wp:positionV>
            <wp:extent cx="12700" cy="8890"/>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-466725</wp:posOffset>
            </wp:positionV>
            <wp:extent cx="12700" cy="889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-466725</wp:posOffset>
            </wp:positionV>
            <wp:extent cx="12700" cy="8890"/>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-466725</wp:posOffset>
            </wp:positionV>
            <wp:extent cx="12700" cy="8890"/>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228"/>
        </w:trPr>
        <w:tc>
          <w:tcPr>
            <w:tcW w:w="3200" w:type="dxa"/>
            <w:vAlign w:val="bottom"/>
          </w:tcPr>
          <w:p>
            <w:pPr>
              <w:spacing w:after="0"/>
              <w:rPr>
                <w:sz w:val="20"/>
                <w:szCs w:val="20"/>
                <w:color w:val="auto"/>
              </w:rPr>
            </w:pPr>
            <w:r>
              <w:rPr>
                <w:rFonts w:ascii="Arial" w:cs="Arial" w:eastAsia="Arial" w:hAnsi="Arial"/>
                <w:sz w:val="18"/>
                <w:szCs w:val="18"/>
                <w:b w:val="1"/>
                <w:bCs w:val="1"/>
                <w:color w:val="auto"/>
              </w:rPr>
              <w:t>13. Bonds issued</w:t>
            </w:r>
          </w:p>
        </w:tc>
        <w:tc>
          <w:tcPr>
            <w:tcW w:w="17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200" w:type="dxa"/>
            <w:vAlign w:val="bottom"/>
          </w:tcPr>
          <w:p>
            <w:pPr>
              <w:spacing w:after="0"/>
              <w:rPr>
                <w:sz w:val="20"/>
                <w:szCs w:val="20"/>
                <w:color w:val="auto"/>
              </w:rPr>
            </w:pPr>
            <w:r>
              <w:rPr>
                <w:rFonts w:ascii="Arial" w:cs="Arial" w:eastAsia="Arial" w:hAnsi="Arial"/>
                <w:sz w:val="18"/>
                <w:szCs w:val="18"/>
                <w:color w:val="auto"/>
              </w:rPr>
              <w:t>(a) This item is made up as follows:</w:t>
            </w:r>
          </w:p>
        </w:tc>
        <w:tc>
          <w:tcPr>
            <w:tcW w:w="17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200" w:type="dxa"/>
            <w:vAlign w:val="bottom"/>
          </w:tcPr>
          <w:p>
            <w:pPr>
              <w:spacing w:after="0"/>
              <w:rPr>
                <w:sz w:val="24"/>
                <w:szCs w:val="24"/>
                <w:color w:val="auto"/>
              </w:rPr>
            </w:pPr>
          </w:p>
        </w:tc>
        <w:tc>
          <w:tcPr>
            <w:tcW w:w="1740" w:type="dxa"/>
            <w:vAlign w:val="bottom"/>
          </w:tcPr>
          <w:p>
            <w:pPr>
              <w:jc w:val="center"/>
              <w:ind w:left="332"/>
              <w:spacing w:after="0"/>
              <w:rPr>
                <w:sz w:val="20"/>
                <w:szCs w:val="20"/>
                <w:color w:val="auto"/>
              </w:rPr>
            </w:pPr>
            <w:r>
              <w:rPr>
                <w:rFonts w:ascii="Arial" w:cs="Arial" w:eastAsia="Arial" w:hAnsi="Arial"/>
                <w:sz w:val="18"/>
                <w:szCs w:val="18"/>
                <w:b w:val="1"/>
                <w:bCs w:val="1"/>
                <w:color w:val="auto"/>
                <w:w w:val="88"/>
              </w:rPr>
              <w:t>Weighted</w:t>
            </w:r>
          </w:p>
        </w:tc>
        <w:tc>
          <w:tcPr>
            <w:tcW w:w="30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0" w:type="dxa"/>
            <w:vAlign w:val="bottom"/>
          </w:tcPr>
          <w:p>
            <w:pPr>
              <w:spacing w:after="0"/>
              <w:rPr>
                <w:sz w:val="21"/>
                <w:szCs w:val="21"/>
                <w:color w:val="auto"/>
              </w:rPr>
            </w:pPr>
          </w:p>
        </w:tc>
        <w:tc>
          <w:tcPr>
            <w:tcW w:w="1740" w:type="dxa"/>
            <w:vAlign w:val="bottom"/>
          </w:tcPr>
          <w:p>
            <w:pPr>
              <w:jc w:val="center"/>
              <w:ind w:left="352"/>
              <w:spacing w:after="0"/>
              <w:rPr>
                <w:sz w:val="20"/>
                <w:szCs w:val="20"/>
                <w:color w:val="auto"/>
              </w:rPr>
            </w:pPr>
            <w:r>
              <w:rPr>
                <w:rFonts w:ascii="Arial" w:cs="Arial" w:eastAsia="Arial" w:hAnsi="Arial"/>
                <w:sz w:val="18"/>
                <w:szCs w:val="18"/>
                <w:b w:val="1"/>
                <w:bCs w:val="1"/>
                <w:color w:val="auto"/>
                <w:w w:val="89"/>
              </w:rPr>
              <w:t>annual rate</w:t>
            </w:r>
          </w:p>
        </w:tc>
        <w:tc>
          <w:tcPr>
            <w:tcW w:w="3060" w:type="dxa"/>
            <w:vAlign w:val="bottom"/>
          </w:tcPr>
          <w:p>
            <w:pPr>
              <w:ind w:left="1280"/>
              <w:spacing w:after="0"/>
              <w:rPr>
                <w:sz w:val="20"/>
                <w:szCs w:val="20"/>
                <w:color w:val="auto"/>
              </w:rPr>
            </w:pPr>
            <w:r>
              <w:rPr>
                <w:rFonts w:ascii="Arial" w:cs="Arial" w:eastAsia="Arial" w:hAnsi="Arial"/>
                <w:sz w:val="18"/>
                <w:szCs w:val="18"/>
                <w:b w:val="1"/>
                <w:bCs w:val="1"/>
                <w:color w:val="auto"/>
              </w:rPr>
              <w:t>Maturity</w:t>
            </w:r>
          </w:p>
        </w:tc>
        <w:tc>
          <w:tcPr>
            <w:tcW w:w="1700" w:type="dxa"/>
            <w:vAlign w:val="bottom"/>
          </w:tcPr>
          <w:p>
            <w:pPr>
              <w:jc w:val="right"/>
              <w:ind w:right="612"/>
              <w:spacing w:after="0"/>
              <w:rPr>
                <w:sz w:val="20"/>
                <w:szCs w:val="20"/>
                <w:color w:val="auto"/>
              </w:rPr>
            </w:pPr>
            <w:r>
              <w:rPr>
                <w:rFonts w:ascii="Arial" w:cs="Arial" w:eastAsia="Arial" w:hAnsi="Arial"/>
                <w:sz w:val="18"/>
                <w:szCs w:val="18"/>
                <w:b w:val="1"/>
                <w:bCs w:val="1"/>
                <w:color w:val="auto"/>
              </w:rPr>
              <w:t>2003</w:t>
            </w:r>
          </w:p>
        </w:tc>
        <w:tc>
          <w:tcPr>
            <w:tcW w:w="1700" w:type="dxa"/>
            <w:vAlign w:val="bottom"/>
            <w:gridSpan w:val="2"/>
          </w:tcPr>
          <w:p>
            <w:pPr>
              <w:jc w:val="right"/>
              <w:ind w:right="612"/>
              <w:spacing w:after="0"/>
              <w:rPr>
                <w:sz w:val="20"/>
                <w:szCs w:val="20"/>
                <w:color w:val="auto"/>
              </w:rPr>
            </w:pPr>
            <w:r>
              <w:rPr>
                <w:rFonts w:ascii="Arial" w:cs="Arial" w:eastAsia="Arial" w:hAnsi="Arial"/>
                <w:sz w:val="18"/>
                <w:szCs w:val="18"/>
                <w:b w:val="1"/>
                <w:bCs w:val="1"/>
                <w:color w:val="auto"/>
              </w:rPr>
              <w:t>2002</w:t>
            </w:r>
          </w:p>
        </w:tc>
        <w:tc>
          <w:tcPr>
            <w:tcW w:w="0" w:type="dxa"/>
            <w:vAlign w:val="bottom"/>
          </w:tcPr>
          <w:p>
            <w:pPr>
              <w:spacing w:after="0"/>
              <w:rPr>
                <w:sz w:val="1"/>
                <w:szCs w:val="1"/>
                <w:color w:val="auto"/>
              </w:rPr>
            </w:pPr>
          </w:p>
        </w:tc>
      </w:tr>
      <w:tr>
        <w:trPr>
          <w:trHeight w:val="243"/>
        </w:trPr>
        <w:tc>
          <w:tcPr>
            <w:tcW w:w="3200" w:type="dxa"/>
            <w:vAlign w:val="bottom"/>
          </w:tcPr>
          <w:p>
            <w:pPr>
              <w:spacing w:after="0"/>
              <w:rPr>
                <w:sz w:val="21"/>
                <w:szCs w:val="21"/>
                <w:color w:val="auto"/>
              </w:rPr>
            </w:pPr>
          </w:p>
        </w:tc>
        <w:tc>
          <w:tcPr>
            <w:tcW w:w="1740" w:type="dxa"/>
            <w:vAlign w:val="bottom"/>
          </w:tcPr>
          <w:p>
            <w:pPr>
              <w:jc w:val="center"/>
              <w:ind w:left="332"/>
              <w:spacing w:after="0"/>
              <w:rPr>
                <w:sz w:val="20"/>
                <w:szCs w:val="20"/>
                <w:color w:val="auto"/>
              </w:rPr>
            </w:pPr>
            <w:r>
              <w:rPr>
                <w:rFonts w:ascii="Arial" w:cs="Arial" w:eastAsia="Arial" w:hAnsi="Arial"/>
                <w:sz w:val="18"/>
                <w:szCs w:val="18"/>
                <w:color w:val="auto"/>
                <w:w w:val="99"/>
              </w:rPr>
              <w:t>%</w:t>
            </w:r>
          </w:p>
        </w:tc>
        <w:tc>
          <w:tcPr>
            <w:tcW w:w="3060" w:type="dxa"/>
            <w:vAlign w:val="bottom"/>
          </w:tcPr>
          <w:p>
            <w:pPr>
              <w:spacing w:after="0"/>
              <w:rPr>
                <w:sz w:val="21"/>
                <w:szCs w:val="21"/>
                <w:color w:val="auto"/>
              </w:rPr>
            </w:pPr>
          </w:p>
        </w:tc>
        <w:tc>
          <w:tcPr>
            <w:tcW w:w="1700" w:type="dxa"/>
            <w:vAlign w:val="bottom"/>
          </w:tcPr>
          <w:p>
            <w:pPr>
              <w:jc w:val="right"/>
              <w:ind w:right="412"/>
              <w:spacing w:after="0"/>
              <w:rPr>
                <w:sz w:val="20"/>
                <w:szCs w:val="20"/>
                <w:color w:val="auto"/>
              </w:rPr>
            </w:pPr>
            <w:r>
              <w:rPr>
                <w:rFonts w:ascii="Arial" w:cs="Arial" w:eastAsia="Arial" w:hAnsi="Arial"/>
                <w:sz w:val="18"/>
                <w:szCs w:val="18"/>
                <w:color w:val="auto"/>
              </w:rPr>
              <w:t>US$(000)</w:t>
            </w:r>
          </w:p>
        </w:tc>
        <w:tc>
          <w:tcPr>
            <w:tcW w:w="20" w:type="dxa"/>
            <w:vAlign w:val="bottom"/>
          </w:tcPr>
          <w:p>
            <w:pPr>
              <w:spacing w:after="0"/>
              <w:rPr>
                <w:sz w:val="21"/>
                <w:szCs w:val="21"/>
                <w:color w:val="auto"/>
              </w:rPr>
            </w:pPr>
          </w:p>
        </w:tc>
        <w:tc>
          <w:tcPr>
            <w:tcW w:w="1680" w:type="dxa"/>
            <w:vAlign w:val="bottom"/>
          </w:tcPr>
          <w:p>
            <w:pPr>
              <w:jc w:val="right"/>
              <w:ind w:right="412"/>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486"/>
        </w:trPr>
        <w:tc>
          <w:tcPr>
            <w:tcW w:w="3200" w:type="dxa"/>
            <w:vAlign w:val="bottom"/>
          </w:tcPr>
          <w:p>
            <w:pPr>
              <w:ind w:left="40"/>
              <w:spacing w:after="0"/>
              <w:rPr>
                <w:sz w:val="20"/>
                <w:szCs w:val="20"/>
                <w:color w:val="auto"/>
              </w:rPr>
            </w:pPr>
            <w:r>
              <w:rPr>
                <w:rFonts w:ascii="Arial" w:cs="Arial" w:eastAsia="Arial" w:hAnsi="Arial"/>
                <w:sz w:val="18"/>
                <w:szCs w:val="18"/>
                <w:color w:val="auto"/>
              </w:rPr>
              <w:t>Corporate bonds</w:t>
            </w:r>
          </w:p>
        </w:tc>
        <w:tc>
          <w:tcPr>
            <w:tcW w:w="1740" w:type="dxa"/>
            <w:vAlign w:val="bottom"/>
          </w:tcPr>
          <w:p>
            <w:pPr>
              <w:jc w:val="center"/>
              <w:ind w:left="332"/>
              <w:spacing w:after="0"/>
              <w:rPr>
                <w:sz w:val="20"/>
                <w:szCs w:val="20"/>
                <w:color w:val="auto"/>
              </w:rPr>
            </w:pPr>
            <w:r>
              <w:rPr>
                <w:rFonts w:ascii="Arial" w:cs="Arial" w:eastAsia="Arial" w:hAnsi="Arial"/>
                <w:sz w:val="18"/>
                <w:szCs w:val="18"/>
                <w:color w:val="auto"/>
                <w:w w:val="91"/>
              </w:rPr>
              <w:t>6.29</w:t>
            </w:r>
          </w:p>
        </w:tc>
        <w:tc>
          <w:tcPr>
            <w:tcW w:w="3060" w:type="dxa"/>
            <w:vAlign w:val="bottom"/>
          </w:tcPr>
          <w:p>
            <w:pPr>
              <w:ind w:left="220"/>
              <w:spacing w:after="0"/>
              <w:rPr>
                <w:sz w:val="20"/>
                <w:szCs w:val="20"/>
                <w:color w:val="auto"/>
              </w:rPr>
            </w:pPr>
            <w:r>
              <w:rPr>
                <w:rFonts w:ascii="Arial" w:cs="Arial" w:eastAsia="Arial" w:hAnsi="Arial"/>
                <w:sz w:val="18"/>
                <w:szCs w:val="18"/>
                <w:color w:val="auto"/>
              </w:rPr>
              <w:t>Between March 2004 and</w:t>
            </w: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3060" w:type="dxa"/>
            <w:vAlign w:val="bottom"/>
          </w:tcPr>
          <w:p>
            <w:pPr>
              <w:ind w:left="380"/>
              <w:spacing w:after="0"/>
              <w:rPr>
                <w:sz w:val="20"/>
                <w:szCs w:val="20"/>
                <w:color w:val="auto"/>
              </w:rPr>
            </w:pPr>
            <w:r>
              <w:rPr>
                <w:rFonts w:ascii="Arial" w:cs="Arial" w:eastAsia="Arial" w:hAnsi="Arial"/>
                <w:sz w:val="18"/>
                <w:szCs w:val="18"/>
                <w:color w:val="auto"/>
              </w:rPr>
              <w:t>August 2006</w:t>
            </w:r>
          </w:p>
        </w:tc>
        <w:tc>
          <w:tcPr>
            <w:tcW w:w="1700" w:type="dxa"/>
            <w:vAlign w:val="bottom"/>
          </w:tcPr>
          <w:p>
            <w:pPr>
              <w:jc w:val="right"/>
              <w:spacing w:after="0"/>
              <w:rPr>
                <w:sz w:val="20"/>
                <w:szCs w:val="20"/>
                <w:color w:val="auto"/>
              </w:rPr>
            </w:pPr>
            <w:r>
              <w:rPr>
                <w:rFonts w:ascii="Arial" w:cs="Arial" w:eastAsia="Arial" w:hAnsi="Arial"/>
                <w:sz w:val="18"/>
                <w:szCs w:val="18"/>
                <w:color w:val="auto"/>
              </w:rPr>
              <w:t>55,409</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36,561</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Leasing bonds</w:t>
            </w:r>
          </w:p>
        </w:tc>
        <w:tc>
          <w:tcPr>
            <w:tcW w:w="1740" w:type="dxa"/>
            <w:vAlign w:val="bottom"/>
          </w:tcPr>
          <w:p>
            <w:pPr>
              <w:jc w:val="center"/>
              <w:ind w:left="332"/>
              <w:spacing w:after="0"/>
              <w:rPr>
                <w:sz w:val="20"/>
                <w:szCs w:val="20"/>
                <w:color w:val="auto"/>
              </w:rPr>
            </w:pPr>
            <w:r>
              <w:rPr>
                <w:rFonts w:ascii="Arial" w:cs="Arial" w:eastAsia="Arial" w:hAnsi="Arial"/>
                <w:sz w:val="18"/>
                <w:szCs w:val="18"/>
                <w:color w:val="auto"/>
                <w:w w:val="91"/>
              </w:rPr>
              <w:t>5.93</w:t>
            </w:r>
          </w:p>
        </w:tc>
        <w:tc>
          <w:tcPr>
            <w:tcW w:w="3060" w:type="dxa"/>
            <w:vAlign w:val="bottom"/>
          </w:tcPr>
          <w:p>
            <w:pPr>
              <w:ind w:left="220"/>
              <w:spacing w:after="0"/>
              <w:rPr>
                <w:sz w:val="20"/>
                <w:szCs w:val="20"/>
                <w:color w:val="auto"/>
              </w:rPr>
            </w:pPr>
            <w:r>
              <w:rPr>
                <w:rFonts w:ascii="Arial" w:cs="Arial" w:eastAsia="Arial" w:hAnsi="Arial"/>
                <w:sz w:val="18"/>
                <w:szCs w:val="18"/>
                <w:color w:val="auto"/>
              </w:rPr>
              <w:t>Between June 2004 and</w:t>
            </w: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3060" w:type="dxa"/>
            <w:vAlign w:val="bottom"/>
          </w:tcPr>
          <w:p>
            <w:pPr>
              <w:ind w:left="380"/>
              <w:spacing w:after="0"/>
              <w:rPr>
                <w:sz w:val="20"/>
                <w:szCs w:val="20"/>
                <w:color w:val="auto"/>
              </w:rPr>
            </w:pPr>
            <w:r>
              <w:rPr>
                <w:rFonts w:ascii="Arial" w:cs="Arial" w:eastAsia="Arial" w:hAnsi="Arial"/>
                <w:sz w:val="18"/>
                <w:szCs w:val="18"/>
                <w:color w:val="auto"/>
              </w:rPr>
              <w:t>November 2010</w:t>
            </w:r>
          </w:p>
        </w:tc>
        <w:tc>
          <w:tcPr>
            <w:tcW w:w="1700" w:type="dxa"/>
            <w:vAlign w:val="bottom"/>
          </w:tcPr>
          <w:p>
            <w:pPr>
              <w:jc w:val="right"/>
              <w:spacing w:after="0"/>
              <w:rPr>
                <w:sz w:val="20"/>
                <w:szCs w:val="20"/>
                <w:color w:val="auto"/>
              </w:rPr>
            </w:pPr>
            <w:r>
              <w:rPr>
                <w:rFonts w:ascii="Arial" w:cs="Arial" w:eastAsia="Arial" w:hAnsi="Arial"/>
                <w:sz w:val="18"/>
                <w:szCs w:val="18"/>
                <w:color w:val="auto"/>
              </w:rPr>
              <w:t>232,993</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350,191</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Mortgage bonds</w:t>
            </w:r>
          </w:p>
        </w:tc>
        <w:tc>
          <w:tcPr>
            <w:tcW w:w="1740" w:type="dxa"/>
            <w:vAlign w:val="bottom"/>
          </w:tcPr>
          <w:p>
            <w:pPr>
              <w:jc w:val="center"/>
              <w:ind w:left="332"/>
              <w:spacing w:after="0"/>
              <w:rPr>
                <w:sz w:val="20"/>
                <w:szCs w:val="20"/>
                <w:color w:val="auto"/>
              </w:rPr>
            </w:pPr>
            <w:r>
              <w:rPr>
                <w:rFonts w:ascii="Arial" w:cs="Arial" w:eastAsia="Arial" w:hAnsi="Arial"/>
                <w:sz w:val="18"/>
                <w:szCs w:val="18"/>
                <w:color w:val="auto"/>
                <w:w w:val="91"/>
              </w:rPr>
              <w:t>7.71</w:t>
            </w:r>
          </w:p>
        </w:tc>
        <w:tc>
          <w:tcPr>
            <w:tcW w:w="3060" w:type="dxa"/>
            <w:vAlign w:val="bottom"/>
          </w:tcPr>
          <w:p>
            <w:pPr>
              <w:ind w:left="220"/>
              <w:spacing w:after="0"/>
              <w:rPr>
                <w:sz w:val="20"/>
                <w:szCs w:val="20"/>
                <w:color w:val="auto"/>
              </w:rPr>
            </w:pPr>
            <w:r>
              <w:rPr>
                <w:rFonts w:ascii="Arial" w:cs="Arial" w:eastAsia="Arial" w:hAnsi="Arial"/>
                <w:sz w:val="18"/>
                <w:szCs w:val="18"/>
                <w:color w:val="auto"/>
              </w:rPr>
              <w:t>Between May 2011 and</w:t>
            </w: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3060" w:type="dxa"/>
            <w:vAlign w:val="bottom"/>
          </w:tcPr>
          <w:p>
            <w:pPr>
              <w:ind w:left="380"/>
              <w:spacing w:after="0"/>
              <w:rPr>
                <w:sz w:val="20"/>
                <w:szCs w:val="20"/>
                <w:color w:val="auto"/>
              </w:rPr>
            </w:pPr>
            <w:r>
              <w:rPr>
                <w:rFonts w:ascii="Arial" w:cs="Arial" w:eastAsia="Arial" w:hAnsi="Arial"/>
                <w:sz w:val="18"/>
                <w:szCs w:val="18"/>
                <w:color w:val="auto"/>
              </w:rPr>
              <w:t>April 2012</w:t>
            </w:r>
          </w:p>
        </w:tc>
        <w:tc>
          <w:tcPr>
            <w:tcW w:w="1700" w:type="dxa"/>
            <w:vAlign w:val="bottom"/>
          </w:tcPr>
          <w:p>
            <w:pPr>
              <w:jc w:val="right"/>
              <w:spacing w:after="0"/>
              <w:rPr>
                <w:sz w:val="20"/>
                <w:szCs w:val="20"/>
                <w:color w:val="auto"/>
              </w:rPr>
            </w:pPr>
            <w:r>
              <w:rPr>
                <w:rFonts w:ascii="Arial" w:cs="Arial" w:eastAsia="Arial" w:hAnsi="Arial"/>
                <w:sz w:val="18"/>
                <w:szCs w:val="18"/>
                <w:color w:val="auto"/>
              </w:rPr>
              <w:t>30,207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28,454</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Subordinated bonds</w:t>
            </w:r>
          </w:p>
        </w:tc>
        <w:tc>
          <w:tcPr>
            <w:tcW w:w="1740" w:type="dxa"/>
            <w:vAlign w:val="bottom"/>
          </w:tcPr>
          <w:p>
            <w:pPr>
              <w:jc w:val="center"/>
              <w:ind w:left="332"/>
              <w:spacing w:after="0"/>
              <w:rPr>
                <w:sz w:val="20"/>
                <w:szCs w:val="20"/>
                <w:color w:val="auto"/>
              </w:rPr>
            </w:pPr>
            <w:r>
              <w:rPr>
                <w:rFonts w:ascii="Arial" w:cs="Arial" w:eastAsia="Arial" w:hAnsi="Arial"/>
                <w:sz w:val="18"/>
                <w:szCs w:val="18"/>
                <w:color w:val="auto"/>
                <w:w w:val="91"/>
              </w:rPr>
              <w:t>6.82</w:t>
            </w:r>
          </w:p>
        </w:tc>
        <w:tc>
          <w:tcPr>
            <w:tcW w:w="3060" w:type="dxa"/>
            <w:vAlign w:val="bottom"/>
          </w:tcPr>
          <w:p>
            <w:pPr>
              <w:ind w:left="220"/>
              <w:spacing w:after="0"/>
              <w:rPr>
                <w:sz w:val="20"/>
                <w:szCs w:val="20"/>
                <w:color w:val="auto"/>
              </w:rPr>
            </w:pPr>
            <w:r>
              <w:rPr>
                <w:rFonts w:ascii="Arial" w:cs="Arial" w:eastAsia="Arial" w:hAnsi="Arial"/>
                <w:sz w:val="18"/>
                <w:szCs w:val="18"/>
                <w:color w:val="auto"/>
              </w:rPr>
              <w:t>Between August 2007 and</w:t>
            </w: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3060" w:type="dxa"/>
            <w:vAlign w:val="bottom"/>
          </w:tcPr>
          <w:p>
            <w:pPr>
              <w:ind w:left="380"/>
              <w:spacing w:after="0"/>
              <w:rPr>
                <w:sz w:val="20"/>
                <w:szCs w:val="20"/>
                <w:color w:val="auto"/>
              </w:rPr>
            </w:pPr>
            <w:r>
              <w:rPr>
                <w:rFonts w:ascii="Arial" w:cs="Arial" w:eastAsia="Arial" w:hAnsi="Arial"/>
                <w:sz w:val="18"/>
                <w:szCs w:val="18"/>
                <w:color w:val="auto"/>
              </w:rPr>
              <w:t>October 2010</w:t>
            </w:r>
          </w:p>
        </w:tc>
        <w:tc>
          <w:tcPr>
            <w:tcW w:w="1700" w:type="dxa"/>
            <w:vAlign w:val="bottom"/>
          </w:tcPr>
          <w:p>
            <w:pPr>
              <w:jc w:val="right"/>
              <w:spacing w:after="0"/>
              <w:rPr>
                <w:sz w:val="20"/>
                <w:szCs w:val="20"/>
                <w:color w:val="auto"/>
              </w:rPr>
            </w:pPr>
            <w:r>
              <w:rPr>
                <w:rFonts w:ascii="Arial" w:cs="Arial" w:eastAsia="Arial" w:hAnsi="Arial"/>
                <w:sz w:val="18"/>
                <w:szCs w:val="18"/>
                <w:color w:val="auto"/>
              </w:rPr>
              <w:t>97,140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68,349</w:t>
            </w:r>
          </w:p>
        </w:tc>
        <w:tc>
          <w:tcPr>
            <w:tcW w:w="0" w:type="dxa"/>
            <w:vAlign w:val="bottom"/>
          </w:tcPr>
          <w:p>
            <w:pPr>
              <w:spacing w:after="0"/>
              <w:rPr>
                <w:sz w:val="1"/>
                <w:szCs w:val="1"/>
                <w:color w:val="auto"/>
              </w:rPr>
            </w:pPr>
          </w:p>
        </w:tc>
      </w:tr>
      <w:tr>
        <w:trPr>
          <w:trHeight w:val="137"/>
        </w:trPr>
        <w:tc>
          <w:tcPr>
            <w:tcW w:w="32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Total</w:t>
            </w:r>
          </w:p>
        </w:tc>
        <w:tc>
          <w:tcPr>
            <w:tcW w:w="174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599"/>
        </w:trPr>
        <w:tc>
          <w:tcPr>
            <w:tcW w:w="3200" w:type="dxa"/>
            <w:vAlign w:val="bottom"/>
            <w:vMerge w:val="continue"/>
          </w:tcPr>
          <w:p>
            <w:pPr>
              <w:spacing w:after="0"/>
              <w:rPr>
                <w:sz w:val="24"/>
                <w:szCs w:val="24"/>
                <w:color w:val="auto"/>
              </w:rPr>
            </w:pPr>
          </w:p>
        </w:tc>
        <w:tc>
          <w:tcPr>
            <w:tcW w:w="17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415,749</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483,555</w:t>
            </w:r>
          </w:p>
        </w:tc>
        <w:tc>
          <w:tcPr>
            <w:tcW w:w="0" w:type="dxa"/>
            <w:vAlign w:val="bottom"/>
          </w:tcPr>
          <w:p>
            <w:pPr>
              <w:spacing w:after="0"/>
              <w:rPr>
                <w:sz w:val="1"/>
                <w:szCs w:val="1"/>
                <w:color w:val="auto"/>
              </w:rPr>
            </w:pPr>
          </w:p>
        </w:tc>
      </w:tr>
      <w:tr>
        <w:trPr>
          <w:trHeight w:val="147"/>
        </w:trPr>
        <w:tc>
          <w:tcPr>
            <w:tcW w:w="32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6132830</wp:posOffset>
            </wp:positionH>
            <wp:positionV relativeFrom="paragraph">
              <wp:posOffset>-511810</wp:posOffset>
            </wp:positionV>
            <wp:extent cx="34290" cy="34290"/>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-511810</wp:posOffset>
            </wp:positionV>
            <wp:extent cx="34290" cy="34290"/>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-14605</wp:posOffset>
            </wp:positionV>
            <wp:extent cx="12700" cy="8890"/>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-14605</wp:posOffset>
            </wp:positionV>
            <wp:extent cx="12700" cy="8890"/>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-14605</wp:posOffset>
            </wp:positionV>
            <wp:extent cx="12700" cy="8890"/>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-14605</wp:posOffset>
            </wp:positionV>
            <wp:extent cx="12700" cy="8890"/>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20" w:lineRule="exact"/>
        <w:rPr>
          <w:sz w:val="20"/>
          <w:szCs w:val="20"/>
          <w:color w:val="auto"/>
        </w:rPr>
      </w:pPr>
    </w:p>
    <w:p>
      <w:pPr>
        <w:ind w:left="260" w:hanging="252"/>
        <w:spacing w:after="0"/>
        <w:tabs>
          <w:tab w:leader="none" w:pos="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Leasing and mortgages loans are collateralized by the fixed assets financed by the Group with these resources.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issued bonds balance as of December 31, 2003 and 2002, classified by maturity, is shown below:</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7940" w:type="dxa"/>
            <w:vAlign w:val="bottom"/>
          </w:tcPr>
          <w:p>
            <w:pPr>
              <w:spacing w:after="0"/>
              <w:rPr>
                <w:sz w:val="19"/>
                <w:szCs w:val="19"/>
                <w:color w:val="auto"/>
              </w:rPr>
            </w:pPr>
          </w:p>
        </w:tc>
        <w:tc>
          <w:tcPr>
            <w:tcW w:w="1700" w:type="dxa"/>
            <w:vAlign w:val="bottom"/>
          </w:tcPr>
          <w:p>
            <w:pPr>
              <w:jc w:val="right"/>
              <w:ind w:right="592"/>
              <w:spacing w:after="0"/>
              <w:rPr>
                <w:sz w:val="20"/>
                <w:szCs w:val="20"/>
                <w:color w:val="auto"/>
              </w:rPr>
            </w:pPr>
            <w:r>
              <w:rPr>
                <w:rFonts w:ascii="Arial" w:cs="Arial" w:eastAsia="Arial" w:hAnsi="Arial"/>
                <w:sz w:val="18"/>
                <w:szCs w:val="18"/>
                <w:b w:val="1"/>
                <w:bCs w:val="1"/>
                <w:color w:val="auto"/>
              </w:rPr>
              <w:t>2003</w:t>
            </w:r>
          </w:p>
        </w:tc>
        <w:tc>
          <w:tcPr>
            <w:tcW w:w="1720" w:type="dxa"/>
            <w:vAlign w:val="bottom"/>
            <w:gridSpan w:val="2"/>
          </w:tcPr>
          <w:p>
            <w:pPr>
              <w:jc w:val="right"/>
              <w:ind w:right="592"/>
              <w:spacing w:after="0"/>
              <w:rPr>
                <w:sz w:val="20"/>
                <w:szCs w:val="20"/>
                <w:color w:val="auto"/>
              </w:rPr>
            </w:pPr>
            <w:r>
              <w:rPr>
                <w:rFonts w:ascii="Arial" w:cs="Arial" w:eastAsia="Arial" w:hAnsi="Arial"/>
                <w:sz w:val="18"/>
                <w:szCs w:val="18"/>
                <w:b w:val="1"/>
                <w:bCs w:val="1"/>
                <w:color w:val="auto"/>
              </w:rPr>
              <w:t>2002</w:t>
            </w:r>
          </w:p>
        </w:tc>
        <w:tc>
          <w:tcPr>
            <w:tcW w:w="0" w:type="dxa"/>
            <w:vAlign w:val="bottom"/>
          </w:tcPr>
          <w:p>
            <w:pPr>
              <w:spacing w:after="0"/>
              <w:rPr>
                <w:sz w:val="1"/>
                <w:szCs w:val="1"/>
                <w:color w:val="auto"/>
              </w:rPr>
            </w:pPr>
          </w:p>
        </w:tc>
      </w:tr>
      <w:tr>
        <w:trPr>
          <w:trHeight w:val="243"/>
        </w:trPr>
        <w:tc>
          <w:tcPr>
            <w:tcW w:w="7940" w:type="dxa"/>
            <w:vAlign w:val="bottom"/>
          </w:tcPr>
          <w:p>
            <w:pPr>
              <w:spacing w:after="0"/>
              <w:rPr>
                <w:sz w:val="21"/>
                <w:szCs w:val="21"/>
                <w:color w:val="auto"/>
              </w:rPr>
            </w:pPr>
          </w:p>
        </w:tc>
        <w:tc>
          <w:tcPr>
            <w:tcW w:w="1700" w:type="dxa"/>
            <w:vAlign w:val="bottom"/>
          </w:tcPr>
          <w:p>
            <w:pPr>
              <w:jc w:val="right"/>
              <w:ind w:right="412"/>
              <w:spacing w:after="0"/>
              <w:rPr>
                <w:sz w:val="20"/>
                <w:szCs w:val="20"/>
                <w:color w:val="auto"/>
              </w:rPr>
            </w:pPr>
            <w:r>
              <w:rPr>
                <w:rFonts w:ascii="Arial" w:cs="Arial" w:eastAsia="Arial" w:hAnsi="Arial"/>
                <w:sz w:val="18"/>
                <w:szCs w:val="18"/>
                <w:color w:val="auto"/>
              </w:rPr>
              <w:t>US$(000)</w:t>
            </w:r>
          </w:p>
        </w:tc>
        <w:tc>
          <w:tcPr>
            <w:tcW w:w="20" w:type="dxa"/>
            <w:vAlign w:val="bottom"/>
          </w:tcPr>
          <w:p>
            <w:pPr>
              <w:spacing w:after="0"/>
              <w:rPr>
                <w:sz w:val="21"/>
                <w:szCs w:val="21"/>
                <w:color w:val="auto"/>
              </w:rPr>
            </w:pPr>
          </w:p>
        </w:tc>
        <w:tc>
          <w:tcPr>
            <w:tcW w:w="1700" w:type="dxa"/>
            <w:vAlign w:val="bottom"/>
          </w:tcPr>
          <w:p>
            <w:pPr>
              <w:jc w:val="right"/>
              <w:ind w:right="412"/>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486"/>
        </w:trPr>
        <w:tc>
          <w:tcPr>
            <w:tcW w:w="7940" w:type="dxa"/>
            <w:vAlign w:val="bottom"/>
          </w:tcPr>
          <w:p>
            <w:pPr>
              <w:spacing w:after="0"/>
              <w:rPr>
                <w:sz w:val="20"/>
                <w:szCs w:val="20"/>
                <w:color w:val="auto"/>
              </w:rPr>
            </w:pPr>
            <w:r>
              <w:rPr>
                <w:rFonts w:ascii="Arial" w:cs="Arial" w:eastAsia="Arial" w:hAnsi="Arial"/>
                <w:sz w:val="18"/>
                <w:szCs w:val="18"/>
                <w:color w:val="auto"/>
              </w:rPr>
              <w:t>Up to 1 year</w:t>
            </w:r>
          </w:p>
        </w:tc>
        <w:tc>
          <w:tcPr>
            <w:tcW w:w="1700" w:type="dxa"/>
            <w:vAlign w:val="bottom"/>
          </w:tcPr>
          <w:p>
            <w:pPr>
              <w:jc w:val="right"/>
              <w:spacing w:after="0"/>
              <w:rPr>
                <w:sz w:val="20"/>
                <w:szCs w:val="20"/>
                <w:color w:val="auto"/>
              </w:rPr>
            </w:pPr>
            <w:r>
              <w:rPr>
                <w:rFonts w:ascii="Arial" w:cs="Arial" w:eastAsia="Arial" w:hAnsi="Arial"/>
                <w:sz w:val="18"/>
                <w:szCs w:val="18"/>
                <w:color w:val="auto"/>
              </w:rPr>
              <w:t>34,487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223,523</w:t>
            </w:r>
          </w:p>
        </w:tc>
        <w:tc>
          <w:tcPr>
            <w:tcW w:w="0" w:type="dxa"/>
            <w:vAlign w:val="bottom"/>
          </w:tcPr>
          <w:p>
            <w:pPr>
              <w:spacing w:after="0"/>
              <w:rPr>
                <w:sz w:val="1"/>
                <w:szCs w:val="1"/>
                <w:color w:val="auto"/>
              </w:rPr>
            </w:pPr>
          </w:p>
        </w:tc>
      </w:tr>
      <w:tr>
        <w:trPr>
          <w:trHeight w:val="243"/>
        </w:trPr>
        <w:tc>
          <w:tcPr>
            <w:tcW w:w="7940" w:type="dxa"/>
            <w:vAlign w:val="bottom"/>
          </w:tcPr>
          <w:p>
            <w:pPr>
              <w:spacing w:after="0"/>
              <w:rPr>
                <w:sz w:val="20"/>
                <w:szCs w:val="20"/>
                <w:color w:val="auto"/>
              </w:rPr>
            </w:pPr>
            <w:r>
              <w:rPr>
                <w:rFonts w:ascii="Arial" w:cs="Arial" w:eastAsia="Arial" w:hAnsi="Arial"/>
                <w:sz w:val="18"/>
                <w:szCs w:val="18"/>
                <w:color w:val="auto"/>
              </w:rPr>
              <w:t>From 1 to 5 years</w:t>
            </w:r>
          </w:p>
        </w:tc>
        <w:tc>
          <w:tcPr>
            <w:tcW w:w="1700" w:type="dxa"/>
            <w:vAlign w:val="bottom"/>
          </w:tcPr>
          <w:p>
            <w:pPr>
              <w:jc w:val="right"/>
              <w:spacing w:after="0"/>
              <w:rPr>
                <w:sz w:val="20"/>
                <w:szCs w:val="20"/>
                <w:color w:val="auto"/>
              </w:rPr>
            </w:pPr>
            <w:r>
              <w:rPr>
                <w:rFonts w:ascii="Arial" w:cs="Arial" w:eastAsia="Arial" w:hAnsi="Arial"/>
                <w:sz w:val="18"/>
                <w:szCs w:val="18"/>
                <w:color w:val="auto"/>
              </w:rPr>
              <w:t>247,005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101,846</w:t>
            </w:r>
          </w:p>
        </w:tc>
        <w:tc>
          <w:tcPr>
            <w:tcW w:w="0" w:type="dxa"/>
            <w:vAlign w:val="bottom"/>
          </w:tcPr>
          <w:p>
            <w:pPr>
              <w:spacing w:after="0"/>
              <w:rPr>
                <w:sz w:val="1"/>
                <w:szCs w:val="1"/>
                <w:color w:val="auto"/>
              </w:rPr>
            </w:pPr>
          </w:p>
        </w:tc>
      </w:tr>
      <w:tr>
        <w:trPr>
          <w:trHeight w:val="243"/>
        </w:trPr>
        <w:tc>
          <w:tcPr>
            <w:tcW w:w="7940" w:type="dxa"/>
            <w:vAlign w:val="bottom"/>
          </w:tcPr>
          <w:p>
            <w:pPr>
              <w:spacing w:after="0"/>
              <w:rPr>
                <w:sz w:val="20"/>
                <w:szCs w:val="20"/>
                <w:color w:val="auto"/>
              </w:rPr>
            </w:pPr>
            <w:r>
              <w:rPr>
                <w:rFonts w:ascii="Arial" w:cs="Arial" w:eastAsia="Arial" w:hAnsi="Arial"/>
                <w:sz w:val="18"/>
                <w:szCs w:val="18"/>
                <w:color w:val="auto"/>
              </w:rPr>
              <w:t>Over 5 years</w:t>
            </w:r>
          </w:p>
        </w:tc>
        <w:tc>
          <w:tcPr>
            <w:tcW w:w="1700" w:type="dxa"/>
            <w:vAlign w:val="bottom"/>
          </w:tcPr>
          <w:p>
            <w:pPr>
              <w:jc w:val="right"/>
              <w:spacing w:after="0"/>
              <w:rPr>
                <w:sz w:val="20"/>
                <w:szCs w:val="20"/>
                <w:color w:val="auto"/>
              </w:rPr>
            </w:pPr>
            <w:r>
              <w:rPr>
                <w:rFonts w:ascii="Arial" w:cs="Arial" w:eastAsia="Arial" w:hAnsi="Arial"/>
                <w:sz w:val="18"/>
                <w:szCs w:val="18"/>
                <w:color w:val="auto"/>
              </w:rPr>
              <w:t>134,257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158,186</w:t>
            </w:r>
          </w:p>
        </w:tc>
        <w:tc>
          <w:tcPr>
            <w:tcW w:w="0" w:type="dxa"/>
            <w:vAlign w:val="bottom"/>
          </w:tcPr>
          <w:p>
            <w:pPr>
              <w:spacing w:after="0"/>
              <w:rPr>
                <w:sz w:val="1"/>
                <w:szCs w:val="1"/>
                <w:color w:val="auto"/>
              </w:rPr>
            </w:pPr>
          </w:p>
        </w:tc>
      </w:tr>
      <w:tr>
        <w:trPr>
          <w:trHeight w:val="137"/>
        </w:trPr>
        <w:tc>
          <w:tcPr>
            <w:tcW w:w="794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599"/>
        </w:trPr>
        <w:tc>
          <w:tcPr>
            <w:tcW w:w="7940" w:type="dxa"/>
            <w:vAlign w:val="bottom"/>
            <w:vMerge w:val="continue"/>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415,749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483,555</w:t>
            </w:r>
          </w:p>
        </w:tc>
        <w:tc>
          <w:tcPr>
            <w:tcW w:w="0" w:type="dxa"/>
            <w:vAlign w:val="bottom"/>
          </w:tcPr>
          <w:p>
            <w:pPr>
              <w:spacing w:after="0"/>
              <w:rPr>
                <w:sz w:val="1"/>
                <w:szCs w:val="1"/>
                <w:color w:val="auto"/>
              </w:rPr>
            </w:pPr>
          </w:p>
        </w:tc>
      </w:tr>
      <w:tr>
        <w:trPr>
          <w:trHeight w:val="147"/>
        </w:trPr>
        <w:tc>
          <w:tcPr>
            <w:tcW w:w="794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6123940</wp:posOffset>
            </wp:positionH>
            <wp:positionV relativeFrom="paragraph">
              <wp:posOffset>-511810</wp:posOffset>
            </wp:positionV>
            <wp:extent cx="34290" cy="34290"/>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-511810</wp:posOffset>
            </wp:positionV>
            <wp:extent cx="34290" cy="34290"/>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-14605</wp:posOffset>
            </wp:positionV>
            <wp:extent cx="12700" cy="8890"/>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-14605</wp:posOffset>
            </wp:positionV>
            <wp:extent cx="12700" cy="8890"/>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-14605</wp:posOffset>
            </wp:positionV>
            <wp:extent cx="12700" cy="8890"/>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-14605</wp:posOffset>
            </wp:positionV>
            <wp:extent cx="12700" cy="8890"/>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Shareholders’ equity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 Capital stock -</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2003, 2002 and 2001, the capital stock is represented by 94,382,317 outstanding common shares, with a par value of US$5.</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(b) Treasury stock -</w:t>
      </w:r>
    </w:p>
    <w:p>
      <w:pPr>
        <w:spacing w:after="0" w:line="15"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Treasury stock corresponds to the nominal value of Credicorp’s shares owned by Group companies, which amounts to 14,634,925 shares as of December 31, 2003 and 2002 (14,920,825 shares as of December 31, 2001). The difference between the acquisition cost of US$186.5 million and their par value of US$73.2 million is recorded as a capital surplus.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59320" cy="34290"/>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color w:val="auto"/>
        </w:rPr>
        <w:t>(c) Reserves -</w:t>
      </w:r>
    </w:p>
    <w:p>
      <w:pPr>
        <w:spacing w:after="0" w:line="1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accordance with the laws that regulate financial and insurance activities of the Group’s subsidiaries, they are required to establish a reserve of up to at least 35 percent of their paid-in capital through annual transfers of at least 10 percent of their net income. These reserves amount to approximately US$247.1 and US$242.1 million as of December 31, 2003 and 2002, respectively. Also, include transfers from retained earnings for an estimation of generic provisions for previous years for approximately US$34.6 million.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Credicorp has recorded similar reserves on a consolidated basis, which are not subject to any restriction.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 Dividends distribution -</w:t>
      </w:r>
    </w:p>
    <w:p>
      <w:pPr>
        <w:spacing w:after="0" w:line="15"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During 2003, 2002 and 2001, Credicorp paid cash dividends for approximately US$23.9, US$16.0 and US$8 million, respectively. In addition, in 2001 the Board of Directors agreed to distribute an extraordinary dividend of approximately US$15.9 million related to the gain generated by the Group on the sale of the Union de Cerveceras Peruanas Backus y Johnston S.A. shares.</w:t>
      </w:r>
    </w:p>
    <w:p>
      <w:pPr>
        <w:spacing w:after="0" w:line="198"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In accordance with current Peruvian legislation, there is no restriction for overseas remittance of dividends or the repatriation of foreign investment. As explained in note 15, since 2003 the tax regime applicable to dividends has been modified.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(e) Shareholders’ equity for legal purposes (Regulatory capital) -</w:t>
      </w:r>
    </w:p>
    <w:p>
      <w:pPr>
        <w:spacing w:after="0" w:line="1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minimum regulatory capital for the subsidiaries engaged on financial activities (hereafter “the financial group”) amounted approximately to US$820.1 and US$809.4 million as of December 31, 2003 and 2002, respectively. This regulatory capital has been determined in accordance with the Superintendencia de Banca y Seguros del Perú regulations in force as of such dates. The assets and indirect credits weighted by credit risk, determined by the financial group, amount approximately to US$5,367.3 million and US$576.9 million, respectively, generating a global ratio for credit and market risk of 10.8 times the regulatory capital of the financial group as of December 31, 2003 (9.6 times as of December 31, 2002). According to the Banking law, this ratio cannot be more than 11 times higher than regulatory capital.</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Taxes</w:t>
      </w:r>
    </w:p>
    <w:p>
      <w:pPr>
        <w:spacing w:after="0" w:line="231" w:lineRule="exact"/>
        <w:rPr>
          <w:sz w:val="20"/>
          <w:szCs w:val="20"/>
          <w:color w:val="auto"/>
        </w:rPr>
      </w:pPr>
    </w:p>
    <w:p>
      <w:pPr>
        <w:ind w:firstLine="8"/>
        <w:spacing w:after="0" w:line="256" w:lineRule="auto"/>
        <w:tabs>
          <w:tab w:leader="none" w:pos="239" w:val="left"/>
        </w:tabs>
        <w:numPr>
          <w:ilvl w:val="0"/>
          <w:numId w:val="56"/>
        </w:numPr>
        <w:rPr>
          <w:rFonts w:ascii="Arial" w:cs="Arial" w:eastAsia="Arial" w:hAnsi="Arial"/>
          <w:sz w:val="18"/>
          <w:szCs w:val="18"/>
          <w:color w:val="auto"/>
        </w:rPr>
      </w:pPr>
      <w:r>
        <w:rPr>
          <w:rFonts w:ascii="Arial" w:cs="Arial" w:eastAsia="Arial" w:hAnsi="Arial"/>
          <w:sz w:val="18"/>
          <w:szCs w:val="18"/>
          <w:color w:val="auto"/>
        </w:rPr>
        <w:t>Credicorp is not subject to any type of income taxes, nor taxes on capital gains, equity or property. The Peruvian subsidiaries are subject to corporate taxation on income under the Peruvian Tax system. The statutory income tax rate payable in Peru is 27 percent of taxable income (as of December 31, 2001 the income tax rate was 30 percent which could be reduced to 20 percent for the re-invested portion of the taxable income of the subsidiaries). Effective January 1, 2004, the tax rate was increased to 30 percent.</w:t>
      </w:r>
    </w:p>
    <w:p>
      <w:pPr>
        <w:spacing w:after="0" w:line="19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ASHC and its subsidiaries are not subject to taxes in the Cayman Islands nor Panama. For the years ended December 31, 2003, 2002 and 2001, no taxable income was generated from its operations in the United States of America.</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59320" cy="34290"/>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color w:val="auto"/>
        </w:rPr>
        <w:t>A reconciliation of the differences between the statutory income tax rate and the effective tax rate for the Group is shown as follows:</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73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2003</w:t>
            </w:r>
          </w:p>
        </w:tc>
        <w:tc>
          <w:tcPr>
            <w:tcW w:w="17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2002</w:t>
            </w:r>
          </w:p>
        </w:tc>
        <w:tc>
          <w:tcPr>
            <w:tcW w:w="560" w:type="dxa"/>
            <w:vAlign w:val="bottom"/>
          </w:tcPr>
          <w:p>
            <w:pPr>
              <w:spacing w:after="0"/>
              <w:rPr>
                <w:sz w:val="19"/>
                <w:szCs w:val="19"/>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2001</w:t>
            </w:r>
          </w:p>
        </w:tc>
      </w:tr>
      <w:tr>
        <w:trPr>
          <w:trHeight w:val="243"/>
        </w:trPr>
        <w:tc>
          <w:tcPr>
            <w:tcW w:w="7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7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r>
      <w:tr>
        <w:trPr>
          <w:trHeight w:val="486"/>
        </w:trPr>
        <w:tc>
          <w:tcPr>
            <w:tcW w:w="7360" w:type="dxa"/>
            <w:vAlign w:val="bottom"/>
            <w:gridSpan w:val="2"/>
          </w:tcPr>
          <w:p>
            <w:pPr>
              <w:spacing w:after="0"/>
              <w:rPr>
                <w:sz w:val="20"/>
                <w:szCs w:val="20"/>
                <w:color w:val="auto"/>
              </w:rPr>
            </w:pPr>
            <w:r>
              <w:rPr>
                <w:rFonts w:ascii="Arial" w:cs="Arial" w:eastAsia="Arial" w:hAnsi="Arial"/>
                <w:sz w:val="18"/>
                <w:szCs w:val="18"/>
                <w:color w:val="auto"/>
              </w:rPr>
              <w:t>Peruvian statutory tax rate</w:t>
            </w:r>
          </w:p>
        </w:tc>
        <w:tc>
          <w:tcPr>
            <w:tcW w:w="560" w:type="dxa"/>
            <w:vAlign w:val="bottom"/>
          </w:tcPr>
          <w:p>
            <w:pPr>
              <w:jc w:val="right"/>
              <w:spacing w:after="0"/>
              <w:rPr>
                <w:sz w:val="20"/>
                <w:szCs w:val="20"/>
                <w:color w:val="auto"/>
              </w:rPr>
            </w:pPr>
            <w:r>
              <w:rPr>
                <w:rFonts w:ascii="Arial" w:cs="Arial" w:eastAsia="Arial" w:hAnsi="Arial"/>
                <w:sz w:val="18"/>
                <w:szCs w:val="18"/>
                <w:color w:val="auto"/>
              </w:rPr>
              <w:t>27.00</w:t>
            </w: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27.00</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30.00</w:t>
            </w:r>
          </w:p>
        </w:tc>
      </w:tr>
      <w:tr>
        <w:trPr>
          <w:trHeight w:val="243"/>
        </w:trPr>
        <w:tc>
          <w:tcPr>
            <w:tcW w:w="7360" w:type="dxa"/>
            <w:vAlign w:val="bottom"/>
            <w:gridSpan w:val="2"/>
          </w:tcPr>
          <w:p>
            <w:pPr>
              <w:spacing w:after="0"/>
              <w:rPr>
                <w:sz w:val="20"/>
                <w:szCs w:val="20"/>
                <w:color w:val="auto"/>
              </w:rPr>
            </w:pPr>
            <w:r>
              <w:rPr>
                <w:rFonts w:ascii="Arial" w:cs="Arial" w:eastAsia="Arial" w:hAnsi="Arial"/>
                <w:sz w:val="18"/>
                <w:szCs w:val="18"/>
                <w:color w:val="auto"/>
              </w:rPr>
              <w:t>Increase (decrease) in the statutory tax rate due to:</w:t>
            </w: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43"/>
        </w:trPr>
        <w:tc>
          <w:tcPr>
            <w:tcW w:w="7360" w:type="dxa"/>
            <w:vAlign w:val="bottom"/>
            <w:gridSpan w:val="2"/>
          </w:tcPr>
          <w:p>
            <w:pPr>
              <w:spacing w:after="0"/>
              <w:rPr>
                <w:sz w:val="20"/>
                <w:szCs w:val="20"/>
                <w:color w:val="auto"/>
              </w:rPr>
            </w:pPr>
            <w:r>
              <w:rPr>
                <w:rFonts w:ascii="Arial" w:cs="Arial" w:eastAsia="Arial" w:hAnsi="Arial"/>
                <w:sz w:val="18"/>
                <w:szCs w:val="18"/>
                <w:color w:val="auto"/>
              </w:rPr>
              <w:t>(i) Increase (decrease) arising from net income of subsidiaries not domiciled in Peru</w:t>
            </w:r>
          </w:p>
        </w:tc>
        <w:tc>
          <w:tcPr>
            <w:tcW w:w="560" w:type="dxa"/>
            <w:vAlign w:val="bottom"/>
          </w:tcPr>
          <w:p>
            <w:pPr>
              <w:jc w:val="right"/>
              <w:spacing w:after="0"/>
              <w:rPr>
                <w:sz w:val="20"/>
                <w:szCs w:val="20"/>
                <w:color w:val="auto"/>
              </w:rPr>
            </w:pPr>
            <w:r>
              <w:rPr>
                <w:rFonts w:ascii="Arial" w:cs="Arial" w:eastAsia="Arial" w:hAnsi="Arial"/>
                <w:sz w:val="18"/>
                <w:szCs w:val="18"/>
                <w:color w:val="auto"/>
              </w:rPr>
              <w:t>6.00</w:t>
            </w: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8.00</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2.00</w:t>
            </w:r>
          </w:p>
        </w:tc>
      </w:tr>
      <w:tr>
        <w:trPr>
          <w:trHeight w:val="243"/>
        </w:trPr>
        <w:tc>
          <w:tcPr>
            <w:tcW w:w="7360" w:type="dxa"/>
            <w:vAlign w:val="bottom"/>
            <w:gridSpan w:val="2"/>
          </w:tcPr>
          <w:p>
            <w:pPr>
              <w:spacing w:after="0"/>
              <w:rPr>
                <w:sz w:val="20"/>
                <w:szCs w:val="20"/>
                <w:color w:val="auto"/>
              </w:rPr>
            </w:pPr>
            <w:r>
              <w:rPr>
                <w:rFonts w:ascii="Arial" w:cs="Arial" w:eastAsia="Arial" w:hAnsi="Arial"/>
                <w:sz w:val="18"/>
                <w:szCs w:val="18"/>
                <w:color w:val="auto"/>
              </w:rPr>
              <w:t>(ii) Non-taxable costs (income), net</w:t>
            </w:r>
          </w:p>
        </w:tc>
        <w:tc>
          <w:tcPr>
            <w:tcW w:w="560" w:type="dxa"/>
            <w:vAlign w:val="bottom"/>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(9.00)</w:t>
            </w:r>
          </w:p>
        </w:tc>
      </w:tr>
      <w:tr>
        <w:trPr>
          <w:trHeight w:val="243"/>
        </w:trPr>
        <w:tc>
          <w:tcPr>
            <w:tcW w:w="7360" w:type="dxa"/>
            <w:vAlign w:val="bottom"/>
            <w:gridSpan w:val="2"/>
          </w:tcPr>
          <w:p>
            <w:pPr>
              <w:spacing w:after="0"/>
              <w:rPr>
                <w:sz w:val="20"/>
                <w:szCs w:val="20"/>
                <w:color w:val="auto"/>
              </w:rPr>
            </w:pPr>
            <w:r>
              <w:rPr>
                <w:rFonts w:ascii="Arial" w:cs="Arial" w:eastAsia="Arial" w:hAnsi="Arial"/>
                <w:sz w:val="18"/>
                <w:szCs w:val="18"/>
                <w:color w:val="auto"/>
              </w:rPr>
              <w:t>(iii) Adjustment of deferred income tax for changes in rates</w:t>
            </w:r>
          </w:p>
        </w:tc>
        <w:tc>
          <w:tcPr>
            <w:tcW w:w="560" w:type="dxa"/>
            <w:vAlign w:val="bottom"/>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3.00</w:t>
            </w:r>
          </w:p>
        </w:tc>
      </w:tr>
      <w:tr>
        <w:trPr>
          <w:trHeight w:val="137"/>
        </w:trPr>
        <w:tc>
          <w:tcPr>
            <w:tcW w:w="624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r>
      <w:tr>
        <w:trPr>
          <w:trHeight w:val="599"/>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Effective income tax rate</w:t>
            </w:r>
          </w:p>
        </w:tc>
        <w:tc>
          <w:tcPr>
            <w:tcW w:w="560" w:type="dxa"/>
            <w:vAlign w:val="bottom"/>
          </w:tcPr>
          <w:p>
            <w:pPr>
              <w:jc w:val="right"/>
              <w:spacing w:after="0"/>
              <w:rPr>
                <w:sz w:val="20"/>
                <w:szCs w:val="20"/>
                <w:color w:val="auto"/>
              </w:rPr>
            </w:pPr>
            <w:r>
              <w:rPr>
                <w:rFonts w:ascii="Arial" w:cs="Arial" w:eastAsia="Arial" w:hAnsi="Arial"/>
                <w:sz w:val="18"/>
                <w:szCs w:val="18"/>
                <w:color w:val="auto"/>
              </w:rPr>
              <w:t>33.00</w:t>
            </w: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38.00</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26.00</w:t>
            </w:r>
          </w:p>
        </w:tc>
      </w:tr>
      <w:tr>
        <w:trPr>
          <w:trHeight w:val="147"/>
        </w:trPr>
        <w:tc>
          <w:tcPr>
            <w:tcW w:w="6240" w:type="dxa"/>
            <w:vAlign w:val="bottom"/>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5034915</wp:posOffset>
            </wp:positionH>
            <wp:positionV relativeFrom="paragraph">
              <wp:posOffset>-511810</wp:posOffset>
            </wp:positionV>
            <wp:extent cx="34290" cy="34290"/>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-511810</wp:posOffset>
            </wp:positionV>
            <wp:extent cx="34290" cy="34290"/>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-511810</wp:posOffset>
            </wp:positionV>
            <wp:extent cx="34290" cy="34290"/>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-14605</wp:posOffset>
            </wp:positionV>
            <wp:extent cx="12700" cy="8890"/>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-14605</wp:posOffset>
            </wp:positionV>
            <wp:extent cx="12700" cy="8890"/>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-14605</wp:posOffset>
            </wp:positionV>
            <wp:extent cx="12700" cy="8890"/>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-14605</wp:posOffset>
            </wp:positionV>
            <wp:extent cx="12700" cy="8890"/>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-14605</wp:posOffset>
            </wp:positionV>
            <wp:extent cx="12700" cy="8890"/>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-14605</wp:posOffset>
            </wp:positionV>
            <wp:extent cx="12700" cy="8890"/>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20" w:lineRule="exact"/>
        <w:rPr>
          <w:sz w:val="20"/>
          <w:szCs w:val="20"/>
          <w:color w:val="auto"/>
        </w:rPr>
      </w:pPr>
    </w:p>
    <w:p>
      <w:pPr>
        <w:ind w:right="80" w:firstLine="8"/>
        <w:spacing w:after="0" w:line="332" w:lineRule="auto"/>
        <w:tabs>
          <w:tab w:leader="none" w:pos="249"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 2003, 2002 and 2001, the deferred income tax has been calculated on all temporary differences applied at an income tax rate of 30 percent for 2003 and 27 percent for 2002 and 2001. The income tax expense analysis as of December 31, 2003, 2002 and 2001, is as follows:</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6240" w:type="dxa"/>
            <w:vAlign w:val="bottom"/>
          </w:tcPr>
          <w:p>
            <w:pPr>
              <w:spacing w:after="0"/>
              <w:rPr>
                <w:sz w:val="19"/>
                <w:szCs w:val="19"/>
                <w:color w:val="auto"/>
              </w:rPr>
            </w:pPr>
          </w:p>
        </w:tc>
        <w:tc>
          <w:tcPr>
            <w:tcW w:w="1680" w:type="dxa"/>
            <w:vAlign w:val="bottom"/>
          </w:tcPr>
          <w:p>
            <w:pPr>
              <w:jc w:val="right"/>
              <w:ind w:right="592"/>
              <w:spacing w:after="0"/>
              <w:rPr>
                <w:sz w:val="20"/>
                <w:szCs w:val="20"/>
                <w:color w:val="auto"/>
              </w:rPr>
            </w:pPr>
            <w:r>
              <w:rPr>
                <w:rFonts w:ascii="Arial" w:cs="Arial" w:eastAsia="Arial" w:hAnsi="Arial"/>
                <w:sz w:val="18"/>
                <w:szCs w:val="18"/>
                <w:b w:val="1"/>
                <w:bCs w:val="1"/>
                <w:color w:val="auto"/>
              </w:rPr>
              <w:t>2003</w:t>
            </w:r>
          </w:p>
        </w:tc>
        <w:tc>
          <w:tcPr>
            <w:tcW w:w="1720" w:type="dxa"/>
            <w:vAlign w:val="bottom"/>
            <w:gridSpan w:val="2"/>
          </w:tcPr>
          <w:p>
            <w:pPr>
              <w:jc w:val="right"/>
              <w:ind w:right="612"/>
              <w:spacing w:after="0"/>
              <w:rPr>
                <w:sz w:val="20"/>
                <w:szCs w:val="20"/>
                <w:color w:val="auto"/>
              </w:rPr>
            </w:pPr>
            <w:r>
              <w:rPr>
                <w:rFonts w:ascii="Arial" w:cs="Arial" w:eastAsia="Arial" w:hAnsi="Arial"/>
                <w:sz w:val="18"/>
                <w:szCs w:val="18"/>
                <w:b w:val="1"/>
                <w:bCs w:val="1"/>
                <w:color w:val="auto"/>
              </w:rPr>
              <w:t>2002</w:t>
            </w:r>
          </w:p>
        </w:tc>
        <w:tc>
          <w:tcPr>
            <w:tcW w:w="20" w:type="dxa"/>
            <w:vAlign w:val="bottom"/>
          </w:tcPr>
          <w:p>
            <w:pPr>
              <w:spacing w:after="0"/>
              <w:rPr>
                <w:sz w:val="19"/>
                <w:szCs w:val="19"/>
                <w:color w:val="auto"/>
              </w:rPr>
            </w:pPr>
          </w:p>
        </w:tc>
        <w:tc>
          <w:tcPr>
            <w:tcW w:w="1700" w:type="dxa"/>
            <w:vAlign w:val="bottom"/>
          </w:tcPr>
          <w:p>
            <w:pPr>
              <w:jc w:val="right"/>
              <w:ind w:right="612"/>
              <w:spacing w:after="0"/>
              <w:rPr>
                <w:sz w:val="20"/>
                <w:szCs w:val="20"/>
                <w:color w:val="auto"/>
              </w:rPr>
            </w:pPr>
            <w:r>
              <w:rPr>
                <w:rFonts w:ascii="Arial" w:cs="Arial" w:eastAsia="Arial" w:hAnsi="Arial"/>
                <w:sz w:val="18"/>
                <w:szCs w:val="18"/>
                <w:b w:val="1"/>
                <w:bCs w:val="1"/>
                <w:color w:val="auto"/>
              </w:rPr>
              <w:t>2001</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1"/>
                <w:szCs w:val="21"/>
                <w:color w:val="auto"/>
              </w:rPr>
            </w:pPr>
          </w:p>
        </w:tc>
        <w:tc>
          <w:tcPr>
            <w:tcW w:w="1680" w:type="dxa"/>
            <w:vAlign w:val="bottom"/>
          </w:tcPr>
          <w:p>
            <w:pPr>
              <w:jc w:val="right"/>
              <w:ind w:right="412"/>
              <w:spacing w:after="0"/>
              <w:rPr>
                <w:sz w:val="20"/>
                <w:szCs w:val="20"/>
                <w:color w:val="auto"/>
              </w:rPr>
            </w:pPr>
            <w:r>
              <w:rPr>
                <w:rFonts w:ascii="Arial" w:cs="Arial" w:eastAsia="Arial" w:hAnsi="Arial"/>
                <w:sz w:val="18"/>
                <w:szCs w:val="18"/>
                <w:color w:val="auto"/>
              </w:rPr>
              <w:t>US$(000)</w:t>
            </w:r>
          </w:p>
        </w:tc>
        <w:tc>
          <w:tcPr>
            <w:tcW w:w="20" w:type="dxa"/>
            <w:vAlign w:val="bottom"/>
          </w:tcPr>
          <w:p>
            <w:pPr>
              <w:spacing w:after="0"/>
              <w:rPr>
                <w:sz w:val="21"/>
                <w:szCs w:val="21"/>
                <w:color w:val="auto"/>
              </w:rPr>
            </w:pPr>
          </w:p>
        </w:tc>
        <w:tc>
          <w:tcPr>
            <w:tcW w:w="1720" w:type="dxa"/>
            <w:vAlign w:val="bottom"/>
            <w:gridSpan w:val="2"/>
          </w:tcPr>
          <w:p>
            <w:pPr>
              <w:ind w:left="500"/>
              <w:spacing w:after="0"/>
              <w:rPr>
                <w:sz w:val="20"/>
                <w:szCs w:val="20"/>
                <w:color w:val="auto"/>
              </w:rPr>
            </w:pPr>
            <w:r>
              <w:rPr>
                <w:rFonts w:ascii="Arial" w:cs="Arial" w:eastAsia="Arial" w:hAnsi="Arial"/>
                <w:sz w:val="18"/>
                <w:szCs w:val="18"/>
                <w:color w:val="auto"/>
              </w:rPr>
              <w:t>US$(000)</w:t>
            </w:r>
          </w:p>
        </w:tc>
        <w:tc>
          <w:tcPr>
            <w:tcW w:w="1700" w:type="dxa"/>
            <w:vAlign w:val="bottom"/>
          </w:tcPr>
          <w:p>
            <w:pPr>
              <w:jc w:val="right"/>
              <w:ind w:right="412"/>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Current -</w:t>
            </w: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Peruvian</w:t>
            </w:r>
          </w:p>
        </w:tc>
        <w:tc>
          <w:tcPr>
            <w:tcW w:w="1680" w:type="dxa"/>
            <w:vAlign w:val="bottom"/>
          </w:tcPr>
          <w:p>
            <w:pPr>
              <w:jc w:val="right"/>
              <w:spacing w:after="0"/>
              <w:rPr>
                <w:sz w:val="20"/>
                <w:szCs w:val="20"/>
                <w:color w:val="auto"/>
              </w:rPr>
            </w:pPr>
            <w:r>
              <w:rPr>
                <w:rFonts w:ascii="Arial" w:cs="Arial" w:eastAsia="Arial" w:hAnsi="Arial"/>
                <w:sz w:val="18"/>
                <w:szCs w:val="18"/>
                <w:color w:val="auto"/>
              </w:rPr>
              <w:t>33,206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34,344</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23,266</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In other countries</w:t>
            </w:r>
          </w:p>
        </w:tc>
        <w:tc>
          <w:tcPr>
            <w:tcW w:w="1680" w:type="dxa"/>
            <w:vAlign w:val="bottom"/>
          </w:tcPr>
          <w:p>
            <w:pPr>
              <w:jc w:val="right"/>
              <w:spacing w:after="0"/>
              <w:rPr>
                <w:sz w:val="20"/>
                <w:szCs w:val="20"/>
                <w:color w:val="auto"/>
              </w:rPr>
            </w:pPr>
            <w:r>
              <w:rPr>
                <w:rFonts w:ascii="Arial" w:cs="Arial" w:eastAsia="Arial" w:hAnsi="Arial"/>
                <w:sz w:val="18"/>
                <w:szCs w:val="18"/>
                <w:color w:val="auto"/>
              </w:rPr>
              <w:t>2,079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399</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137"/>
        </w:trPr>
        <w:tc>
          <w:tcPr>
            <w:tcW w:w="62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624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35,285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34,743</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23,613</w:t>
            </w:r>
          </w:p>
        </w:tc>
        <w:tc>
          <w:tcPr>
            <w:tcW w:w="0" w:type="dxa"/>
            <w:vAlign w:val="bottom"/>
          </w:tcPr>
          <w:p>
            <w:pPr>
              <w:spacing w:after="0"/>
              <w:rPr>
                <w:sz w:val="1"/>
                <w:szCs w:val="1"/>
                <w:color w:val="auto"/>
              </w:rPr>
            </w:pPr>
          </w:p>
        </w:tc>
      </w:tr>
      <w:tr>
        <w:trPr>
          <w:trHeight w:val="137"/>
        </w:trPr>
        <w:tc>
          <w:tcPr>
            <w:tcW w:w="6240" w:type="dxa"/>
            <w:vAlign w:val="bottom"/>
            <w:vMerge w:val="restart"/>
          </w:tcPr>
          <w:p>
            <w:pPr>
              <w:spacing w:after="0"/>
              <w:rPr>
                <w:sz w:val="20"/>
                <w:szCs w:val="20"/>
                <w:color w:val="auto"/>
              </w:rPr>
            </w:pPr>
            <w:r>
              <w:rPr>
                <w:rFonts w:ascii="Arial" w:cs="Arial" w:eastAsia="Arial" w:hAnsi="Arial"/>
                <w:sz w:val="18"/>
                <w:szCs w:val="18"/>
                <w:color w:val="auto"/>
              </w:rPr>
              <w:t>Deferred -</w:t>
            </w: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624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Peruvian</w:t>
            </w:r>
          </w:p>
        </w:tc>
        <w:tc>
          <w:tcPr>
            <w:tcW w:w="1680" w:type="dxa"/>
            <w:vAlign w:val="bottom"/>
          </w:tcPr>
          <w:p>
            <w:pPr>
              <w:jc w:val="right"/>
              <w:spacing w:after="0"/>
              <w:rPr>
                <w:sz w:val="20"/>
                <w:szCs w:val="20"/>
                <w:color w:val="auto"/>
              </w:rPr>
            </w:pPr>
            <w:r>
              <w:rPr>
                <w:rFonts w:ascii="Arial" w:cs="Arial" w:eastAsia="Arial" w:hAnsi="Arial"/>
                <w:sz w:val="18"/>
                <w:szCs w:val="18"/>
                <w:color w:val="auto"/>
              </w:rPr>
              <w:t>982</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(2,115)</w:t>
            </w:r>
          </w:p>
        </w:tc>
        <w:tc>
          <w:tcPr>
            <w:tcW w:w="1700" w:type="dxa"/>
            <w:vAlign w:val="bottom"/>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Adjustment of deferred income tax for change in rates</w:t>
            </w:r>
          </w:p>
        </w:tc>
        <w:tc>
          <w:tcPr>
            <w:tcW w:w="1680" w:type="dxa"/>
            <w:vAlign w:val="bottom"/>
          </w:tcPr>
          <w:p>
            <w:pPr>
              <w:jc w:val="right"/>
              <w:spacing w:after="0"/>
              <w:rPr>
                <w:sz w:val="20"/>
                <w:szCs w:val="20"/>
                <w:color w:val="auto"/>
              </w:rPr>
            </w:pPr>
            <w:r>
              <w:rPr>
                <w:rFonts w:ascii="Arial" w:cs="Arial" w:eastAsia="Arial" w:hAnsi="Arial"/>
                <w:sz w:val="18"/>
                <w:szCs w:val="18"/>
                <w:color w:val="auto"/>
              </w:rPr>
              <w:t>3,428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137"/>
        </w:trPr>
        <w:tc>
          <w:tcPr>
            <w:tcW w:w="62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624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4,410</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(2,115)</w:t>
            </w:r>
          </w:p>
        </w:tc>
        <w:tc>
          <w:tcPr>
            <w:tcW w:w="1700" w:type="dxa"/>
            <w:vAlign w:val="bottom"/>
          </w:tcPr>
          <w:p>
            <w:pPr>
              <w:jc w:val="right"/>
              <w:spacing w:after="0"/>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137"/>
        </w:trPr>
        <w:tc>
          <w:tcPr>
            <w:tcW w:w="624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599"/>
        </w:trPr>
        <w:tc>
          <w:tcPr>
            <w:tcW w:w="6240" w:type="dxa"/>
            <w:vAlign w:val="bottom"/>
            <w:vMerge w:val="continue"/>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39,695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32,628</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25,135</w:t>
            </w:r>
          </w:p>
        </w:tc>
        <w:tc>
          <w:tcPr>
            <w:tcW w:w="0" w:type="dxa"/>
            <w:vAlign w:val="bottom"/>
          </w:tcPr>
          <w:p>
            <w:pPr>
              <w:spacing w:after="0"/>
              <w:rPr>
                <w:sz w:val="1"/>
                <w:szCs w:val="1"/>
                <w:color w:val="auto"/>
              </w:rPr>
            </w:pPr>
          </w:p>
        </w:tc>
      </w:tr>
      <w:tr>
        <w:trPr>
          <w:trHeight w:val="147"/>
        </w:trPr>
        <w:tc>
          <w:tcPr>
            <w:tcW w:w="6240" w:type="dxa"/>
            <w:vAlign w:val="bottom"/>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5034915</wp:posOffset>
            </wp:positionH>
            <wp:positionV relativeFrom="paragraph">
              <wp:posOffset>-1797685</wp:posOffset>
            </wp:positionV>
            <wp:extent cx="34290" cy="34290"/>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-1797685</wp:posOffset>
            </wp:positionV>
            <wp:extent cx="34290" cy="34290"/>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-1797685</wp:posOffset>
            </wp:positionV>
            <wp:extent cx="34290" cy="34290"/>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-1471930</wp:posOffset>
            </wp:positionV>
            <wp:extent cx="34290" cy="34290"/>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-1471930</wp:posOffset>
            </wp:positionV>
            <wp:extent cx="34290" cy="34290"/>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-1471930</wp:posOffset>
            </wp:positionV>
            <wp:extent cx="34290" cy="34290"/>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-837565</wp:posOffset>
            </wp:positionV>
            <wp:extent cx="34290" cy="34290"/>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-837565</wp:posOffset>
            </wp:positionV>
            <wp:extent cx="34290" cy="34290"/>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-837565</wp:posOffset>
            </wp:positionV>
            <wp:extent cx="34290" cy="34290"/>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-511810</wp:posOffset>
            </wp:positionV>
            <wp:extent cx="34290" cy="34290"/>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-511810</wp:posOffset>
            </wp:positionV>
            <wp:extent cx="34290" cy="34290"/>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-511810</wp:posOffset>
            </wp:positionV>
            <wp:extent cx="34290" cy="34290"/>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-14605</wp:posOffset>
            </wp:positionV>
            <wp:extent cx="12700" cy="8890"/>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-14605</wp:posOffset>
            </wp:positionV>
            <wp:extent cx="12700" cy="8890"/>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-14605</wp:posOffset>
            </wp:positionV>
            <wp:extent cx="12700" cy="8890"/>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-14605</wp:posOffset>
            </wp:positionV>
            <wp:extent cx="12700" cy="8890"/>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-14605</wp:posOffset>
            </wp:positionV>
            <wp:extent cx="12700" cy="8890"/>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-14605</wp:posOffset>
            </wp:positionV>
            <wp:extent cx="12700" cy="8890"/>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20" w:lineRule="exact"/>
        <w:rPr>
          <w:sz w:val="20"/>
          <w:szCs w:val="20"/>
          <w:color w:val="auto"/>
        </w:rPr>
      </w:pPr>
    </w:p>
    <w:p>
      <w:pPr>
        <w:ind w:right="420"/>
        <w:spacing w:after="0" w:line="306" w:lineRule="auto"/>
        <w:rPr>
          <w:sz w:val="20"/>
          <w:szCs w:val="20"/>
          <w:color w:val="auto"/>
        </w:rPr>
      </w:pPr>
      <w:r>
        <w:rPr>
          <w:rFonts w:ascii="Arial" w:cs="Arial" w:eastAsia="Arial" w:hAnsi="Arial"/>
          <w:sz w:val="16"/>
          <w:szCs w:val="16"/>
          <w:color w:val="auto"/>
        </w:rPr>
        <w:t>A portion of the Group’s deferred tax asset arises from part of the provisions for sundry risks and for credit losses, which are not deductible for income tax purposes until they comply with all the requirements established by the tax authorities. Therefore, the Group has recorded an accumulated deferred tax asset (including the effect of the workers’ profit sharing) to reflect the future tax benefit of the deduction of these provisions.</w:t>
      </w:r>
    </w:p>
    <w:p>
      <w:pPr>
        <w:spacing w:after="0" w:line="16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Group’s deferred tax liability arises mainly from the depreciation of certain buildings from the BCP and PPS that is not acceptable for tax purposes and from leasing operations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59320" cy="34290"/>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ectPr>
          <w:pgSz w:w="11900" w:h="16838" w:orient="portrait"/>
          <w:cols w:equalWidth="0" w:num="1">
            <w:col w:w="11400"/>
          </w:cols>
          <w:pgMar w:left="240" w:top="347" w:right="259" w:bottom="1440" w:gutter="0" w:footer="0" w:header="0"/>
        </w:sectPr>
      </w:pPr>
    </w:p>
    <w:bookmarkStart w:id="170" w:name="page171"/>
    <w:bookmarkEnd w:id="170"/>
    <w:tbl>
      <w:tblPr>
        <w:tblLayout w:type="fixed"/>
        <w:tblInd w:w="0" w:type="dxa"/>
        <w:tblCellMar>
          <w:top w:w="0" w:type="dxa"/>
          <w:left w:w="0" w:type="dxa"/>
          <w:bottom w:w="0" w:type="dxa"/>
          <w:right w:w="0" w:type="dxa"/>
        </w:tblCellMar>
      </w:tblPr>
      <w:tr>
        <w:trPr>
          <w:trHeight w:val="222"/>
        </w:trPr>
        <w:tc>
          <w:tcPr>
            <w:tcW w:w="7980" w:type="dxa"/>
            <w:vAlign w:val="bottom"/>
          </w:tcPr>
          <w:p>
            <w:pPr>
              <w:spacing w:after="0"/>
              <w:rPr>
                <w:sz w:val="20"/>
                <w:szCs w:val="20"/>
                <w:color w:val="auto"/>
              </w:rPr>
            </w:pPr>
            <w:r>
              <w:rPr>
                <w:rFonts w:ascii="Arial" w:cs="Arial" w:eastAsia="Arial" w:hAnsi="Arial"/>
                <w:sz w:val="18"/>
                <w:szCs w:val="18"/>
                <w:color w:val="auto"/>
              </w:rPr>
              <w:t>The following table shows a summary of the Group’s deferred income taxes:</w:t>
            </w: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7980" w:type="dxa"/>
            <w:vAlign w:val="bottom"/>
          </w:tcPr>
          <w:p>
            <w:pPr>
              <w:spacing w:after="0"/>
              <w:rPr>
                <w:sz w:val="24"/>
                <w:szCs w:val="24"/>
                <w:color w:val="auto"/>
              </w:rPr>
            </w:pPr>
          </w:p>
        </w:tc>
        <w:tc>
          <w:tcPr>
            <w:tcW w:w="1700" w:type="dxa"/>
            <w:vAlign w:val="bottom"/>
          </w:tcPr>
          <w:p>
            <w:pPr>
              <w:jc w:val="right"/>
              <w:ind w:right="612"/>
              <w:spacing w:after="0"/>
              <w:rPr>
                <w:sz w:val="20"/>
                <w:szCs w:val="20"/>
                <w:color w:val="auto"/>
              </w:rPr>
            </w:pPr>
            <w:r>
              <w:rPr>
                <w:rFonts w:ascii="Arial" w:cs="Arial" w:eastAsia="Arial" w:hAnsi="Arial"/>
                <w:sz w:val="18"/>
                <w:szCs w:val="18"/>
                <w:b w:val="1"/>
                <w:bCs w:val="1"/>
                <w:color w:val="auto"/>
              </w:rPr>
              <w:t>2003</w:t>
            </w:r>
          </w:p>
        </w:tc>
        <w:tc>
          <w:tcPr>
            <w:tcW w:w="20" w:type="dxa"/>
            <w:vAlign w:val="bottom"/>
          </w:tcPr>
          <w:p>
            <w:pPr>
              <w:spacing w:after="0"/>
              <w:rPr>
                <w:sz w:val="24"/>
                <w:szCs w:val="24"/>
                <w:color w:val="auto"/>
              </w:rPr>
            </w:pPr>
          </w:p>
        </w:tc>
        <w:tc>
          <w:tcPr>
            <w:tcW w:w="1700" w:type="dxa"/>
            <w:vAlign w:val="bottom"/>
          </w:tcPr>
          <w:p>
            <w:pPr>
              <w:jc w:val="right"/>
              <w:ind w:right="612"/>
              <w:spacing w:after="0"/>
              <w:rPr>
                <w:sz w:val="20"/>
                <w:szCs w:val="20"/>
                <w:color w:val="auto"/>
              </w:rPr>
            </w:pPr>
            <w:r>
              <w:rPr>
                <w:rFonts w:ascii="Arial" w:cs="Arial" w:eastAsia="Arial" w:hAnsi="Arial"/>
                <w:sz w:val="18"/>
                <w:szCs w:val="18"/>
                <w:b w:val="1"/>
                <w:bCs w:val="1"/>
                <w:color w:val="auto"/>
              </w:rPr>
              <w:t>2002</w:t>
            </w:r>
          </w:p>
        </w:tc>
        <w:tc>
          <w:tcPr>
            <w:tcW w:w="0" w:type="dxa"/>
            <w:vAlign w:val="bottom"/>
          </w:tcPr>
          <w:p>
            <w:pPr>
              <w:spacing w:after="0"/>
              <w:rPr>
                <w:sz w:val="1"/>
                <w:szCs w:val="1"/>
                <w:color w:val="auto"/>
              </w:rPr>
            </w:pPr>
          </w:p>
        </w:tc>
      </w:tr>
      <w:tr>
        <w:trPr>
          <w:trHeight w:val="243"/>
        </w:trPr>
        <w:tc>
          <w:tcPr>
            <w:tcW w:w="7980" w:type="dxa"/>
            <w:vAlign w:val="bottom"/>
          </w:tcPr>
          <w:p>
            <w:pPr>
              <w:spacing w:after="0"/>
              <w:rPr>
                <w:sz w:val="21"/>
                <w:szCs w:val="21"/>
                <w:color w:val="auto"/>
              </w:rPr>
            </w:pPr>
          </w:p>
        </w:tc>
        <w:tc>
          <w:tcPr>
            <w:tcW w:w="1720" w:type="dxa"/>
            <w:vAlign w:val="bottom"/>
            <w:gridSpan w:val="2"/>
          </w:tcPr>
          <w:p>
            <w:pPr>
              <w:ind w:left="500"/>
              <w:spacing w:after="0"/>
              <w:rPr>
                <w:sz w:val="20"/>
                <w:szCs w:val="20"/>
                <w:color w:val="auto"/>
              </w:rPr>
            </w:pPr>
            <w:r>
              <w:rPr>
                <w:rFonts w:ascii="Arial" w:cs="Arial" w:eastAsia="Arial" w:hAnsi="Arial"/>
                <w:sz w:val="18"/>
                <w:szCs w:val="18"/>
                <w:color w:val="auto"/>
              </w:rPr>
              <w:t>US$(000)</w:t>
            </w:r>
          </w:p>
        </w:tc>
        <w:tc>
          <w:tcPr>
            <w:tcW w:w="1700" w:type="dxa"/>
            <w:vAlign w:val="bottom"/>
          </w:tcPr>
          <w:p>
            <w:pPr>
              <w:jc w:val="right"/>
              <w:ind w:right="412"/>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486"/>
        </w:trPr>
        <w:tc>
          <w:tcPr>
            <w:tcW w:w="798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Allowance for credit losses</w:t>
            </w:r>
          </w:p>
        </w:tc>
        <w:tc>
          <w:tcPr>
            <w:tcW w:w="1700" w:type="dxa"/>
            <w:vAlign w:val="bottom"/>
          </w:tcPr>
          <w:p>
            <w:pPr>
              <w:jc w:val="right"/>
              <w:spacing w:after="0"/>
              <w:rPr>
                <w:sz w:val="20"/>
                <w:szCs w:val="20"/>
                <w:color w:val="auto"/>
              </w:rPr>
            </w:pPr>
            <w:r>
              <w:rPr>
                <w:rFonts w:ascii="Arial" w:cs="Arial" w:eastAsia="Arial" w:hAnsi="Arial"/>
                <w:sz w:val="18"/>
                <w:szCs w:val="18"/>
                <w:color w:val="auto"/>
              </w:rPr>
              <w:t>10,023</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5,693</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Reserve for sundry risks</w:t>
            </w:r>
          </w:p>
        </w:tc>
        <w:tc>
          <w:tcPr>
            <w:tcW w:w="1700" w:type="dxa"/>
            <w:vAlign w:val="bottom"/>
          </w:tcPr>
          <w:p>
            <w:pPr>
              <w:jc w:val="right"/>
              <w:spacing w:after="0"/>
              <w:rPr>
                <w:sz w:val="20"/>
                <w:szCs w:val="20"/>
                <w:color w:val="auto"/>
              </w:rPr>
            </w:pPr>
            <w:r>
              <w:rPr>
                <w:rFonts w:ascii="Arial" w:cs="Arial" w:eastAsia="Arial" w:hAnsi="Arial"/>
                <w:sz w:val="18"/>
                <w:szCs w:val="18"/>
                <w:color w:val="auto"/>
              </w:rPr>
              <w:t>5,583</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4,462</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Tax loss carry-forward</w:t>
            </w:r>
          </w:p>
        </w:tc>
        <w:tc>
          <w:tcPr>
            <w:tcW w:w="1700" w:type="dxa"/>
            <w:vAlign w:val="bottom"/>
          </w:tcPr>
          <w:p>
            <w:pPr>
              <w:jc w:val="right"/>
              <w:spacing w:after="0"/>
              <w:rPr>
                <w:sz w:val="20"/>
                <w:szCs w:val="20"/>
                <w:color w:val="auto"/>
              </w:rPr>
            </w:pPr>
            <w:r>
              <w:rPr>
                <w:rFonts w:ascii="Arial" w:cs="Arial" w:eastAsia="Arial" w:hAnsi="Arial"/>
                <w:sz w:val="18"/>
                <w:szCs w:val="18"/>
                <w:color w:val="auto"/>
              </w:rPr>
              <w:t>1,590</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2,136</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Other</w:t>
            </w:r>
          </w:p>
        </w:tc>
        <w:tc>
          <w:tcPr>
            <w:tcW w:w="1700" w:type="dxa"/>
            <w:vAlign w:val="bottom"/>
          </w:tcPr>
          <w:p>
            <w:pPr>
              <w:jc w:val="right"/>
              <w:spacing w:after="0"/>
              <w:rPr>
                <w:sz w:val="20"/>
                <w:szCs w:val="20"/>
                <w:color w:val="auto"/>
              </w:rPr>
            </w:pPr>
            <w:r>
              <w:rPr>
                <w:rFonts w:ascii="Arial" w:cs="Arial" w:eastAsia="Arial" w:hAnsi="Arial"/>
                <w:sz w:val="18"/>
                <w:szCs w:val="18"/>
                <w:color w:val="auto"/>
              </w:rPr>
              <w:t>3,109</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137"/>
        </w:trPr>
        <w:tc>
          <w:tcPr>
            <w:tcW w:w="798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798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20,305</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12,858</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Tax loss carry-forward of ASHC - Miami</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4,831</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Allowance for deferred tax corresponding to the tax loss</w:t>
            </w: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carry-forward</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(4,831)</w:t>
            </w:r>
          </w:p>
        </w:tc>
        <w:tc>
          <w:tcPr>
            <w:tcW w:w="0" w:type="dxa"/>
            <w:vAlign w:val="bottom"/>
          </w:tcPr>
          <w:p>
            <w:pPr>
              <w:spacing w:after="0"/>
              <w:rPr>
                <w:sz w:val="1"/>
                <w:szCs w:val="1"/>
                <w:color w:val="auto"/>
              </w:rPr>
            </w:pPr>
          </w:p>
        </w:tc>
      </w:tr>
      <w:tr>
        <w:trPr>
          <w:trHeight w:val="137"/>
        </w:trPr>
        <w:tc>
          <w:tcPr>
            <w:tcW w:w="79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deferred income tax assets</w:t>
            </w: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7980" w:type="dxa"/>
            <w:vAlign w:val="bottom"/>
            <w:vMerge w:val="continue"/>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20,305</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12,858</w:t>
            </w:r>
          </w:p>
        </w:tc>
        <w:tc>
          <w:tcPr>
            <w:tcW w:w="0" w:type="dxa"/>
            <w:vAlign w:val="bottom"/>
          </w:tcPr>
          <w:p>
            <w:pPr>
              <w:spacing w:after="0"/>
              <w:rPr>
                <w:sz w:val="1"/>
                <w:szCs w:val="1"/>
                <w:color w:val="auto"/>
              </w:rPr>
            </w:pPr>
          </w:p>
        </w:tc>
      </w:tr>
      <w:tr>
        <w:trPr>
          <w:trHeight w:val="137"/>
        </w:trPr>
        <w:tc>
          <w:tcPr>
            <w:tcW w:w="79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599"/>
        </w:trPr>
        <w:tc>
          <w:tcPr>
            <w:tcW w:w="798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Provision for assets seized</w:t>
            </w:r>
          </w:p>
        </w:tc>
        <w:tc>
          <w:tcPr>
            <w:tcW w:w="1700" w:type="dxa"/>
            <w:vAlign w:val="bottom"/>
          </w:tcPr>
          <w:p>
            <w:pPr>
              <w:jc w:val="right"/>
              <w:spacing w:after="0"/>
              <w:rPr>
                <w:sz w:val="20"/>
                <w:szCs w:val="20"/>
                <w:color w:val="auto"/>
              </w:rPr>
            </w:pPr>
            <w:r>
              <w:rPr>
                <w:rFonts w:ascii="Arial" w:cs="Arial" w:eastAsia="Arial" w:hAnsi="Arial"/>
                <w:sz w:val="18"/>
                <w:szCs w:val="18"/>
                <w:color w:val="auto"/>
              </w:rPr>
              <w:t>(7,479)</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(2,131)</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Fixed assets</w:t>
            </w:r>
          </w:p>
        </w:tc>
        <w:tc>
          <w:tcPr>
            <w:tcW w:w="1700" w:type="dxa"/>
            <w:vAlign w:val="bottom"/>
          </w:tcPr>
          <w:p>
            <w:pPr>
              <w:jc w:val="right"/>
              <w:spacing w:after="0"/>
              <w:rPr>
                <w:sz w:val="20"/>
                <w:szCs w:val="20"/>
                <w:color w:val="auto"/>
              </w:rPr>
            </w:pPr>
            <w:r>
              <w:rPr>
                <w:rFonts w:ascii="Arial" w:cs="Arial" w:eastAsia="Arial" w:hAnsi="Arial"/>
                <w:sz w:val="18"/>
                <w:szCs w:val="18"/>
                <w:color w:val="auto"/>
              </w:rPr>
              <w:t>(6,511)</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(8,412)</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Leasing operations</w:t>
            </w:r>
          </w:p>
        </w:tc>
        <w:tc>
          <w:tcPr>
            <w:tcW w:w="1700" w:type="dxa"/>
            <w:vAlign w:val="bottom"/>
          </w:tcPr>
          <w:p>
            <w:pPr>
              <w:jc w:val="right"/>
              <w:spacing w:after="0"/>
              <w:rPr>
                <w:sz w:val="20"/>
                <w:szCs w:val="20"/>
                <w:color w:val="auto"/>
              </w:rPr>
            </w:pPr>
            <w:r>
              <w:rPr>
                <w:rFonts w:ascii="Arial" w:cs="Arial" w:eastAsia="Arial" w:hAnsi="Arial"/>
                <w:sz w:val="18"/>
                <w:szCs w:val="18"/>
                <w:color w:val="auto"/>
              </w:rPr>
              <w:t>(4,507)</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(4,430)</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Intangibles</w:t>
            </w:r>
          </w:p>
        </w:tc>
        <w:tc>
          <w:tcPr>
            <w:tcW w:w="1700" w:type="dxa"/>
            <w:vAlign w:val="bottom"/>
          </w:tcPr>
          <w:p>
            <w:pPr>
              <w:jc w:val="right"/>
              <w:spacing w:after="0"/>
              <w:rPr>
                <w:sz w:val="20"/>
                <w:szCs w:val="20"/>
                <w:color w:val="auto"/>
              </w:rPr>
            </w:pPr>
            <w:r>
              <w:rPr>
                <w:rFonts w:ascii="Arial" w:cs="Arial" w:eastAsia="Arial" w:hAnsi="Arial"/>
                <w:sz w:val="18"/>
                <w:szCs w:val="18"/>
                <w:color w:val="auto"/>
              </w:rPr>
              <w:t>(3,731)</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(5,621)</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Other</w:t>
            </w:r>
          </w:p>
        </w:tc>
        <w:tc>
          <w:tcPr>
            <w:tcW w:w="1700" w:type="dxa"/>
            <w:vAlign w:val="bottom"/>
          </w:tcPr>
          <w:p>
            <w:pPr>
              <w:jc w:val="right"/>
              <w:spacing w:after="0"/>
              <w:rPr>
                <w:sz w:val="20"/>
                <w:szCs w:val="20"/>
                <w:color w:val="auto"/>
              </w:rPr>
            </w:pPr>
            <w:r>
              <w:rPr>
                <w:rFonts w:ascii="Arial" w:cs="Arial" w:eastAsia="Arial" w:hAnsi="Arial"/>
                <w:sz w:val="18"/>
                <w:szCs w:val="18"/>
                <w:color w:val="auto"/>
              </w:rPr>
              <w:t>(794)</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(4,491)</w:t>
            </w:r>
          </w:p>
        </w:tc>
        <w:tc>
          <w:tcPr>
            <w:tcW w:w="0" w:type="dxa"/>
            <w:vAlign w:val="bottom"/>
          </w:tcPr>
          <w:p>
            <w:pPr>
              <w:spacing w:after="0"/>
              <w:rPr>
                <w:sz w:val="1"/>
                <w:szCs w:val="1"/>
                <w:color w:val="auto"/>
              </w:rPr>
            </w:pPr>
          </w:p>
        </w:tc>
      </w:tr>
      <w:tr>
        <w:trPr>
          <w:trHeight w:val="137"/>
        </w:trPr>
        <w:tc>
          <w:tcPr>
            <w:tcW w:w="79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Deferred income tax liabilities</w:t>
            </w: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7980" w:type="dxa"/>
            <w:vAlign w:val="bottom"/>
            <w:vMerge w:val="continue"/>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(23,022)</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(25,085)</w:t>
            </w:r>
          </w:p>
        </w:tc>
        <w:tc>
          <w:tcPr>
            <w:tcW w:w="0" w:type="dxa"/>
            <w:vAlign w:val="bottom"/>
          </w:tcPr>
          <w:p>
            <w:pPr>
              <w:spacing w:after="0"/>
              <w:rPr>
                <w:sz w:val="1"/>
                <w:szCs w:val="1"/>
                <w:color w:val="auto"/>
              </w:rPr>
            </w:pPr>
          </w:p>
        </w:tc>
      </w:tr>
      <w:tr>
        <w:trPr>
          <w:trHeight w:val="137"/>
        </w:trPr>
        <w:tc>
          <w:tcPr>
            <w:tcW w:w="79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deferred income tax liability</w:t>
            </w: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599"/>
        </w:trPr>
        <w:tc>
          <w:tcPr>
            <w:tcW w:w="7980" w:type="dxa"/>
            <w:vAlign w:val="bottom"/>
            <w:vMerge w:val="continue"/>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(2,717)</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(12,227)</w:t>
            </w:r>
          </w:p>
        </w:tc>
        <w:tc>
          <w:tcPr>
            <w:tcW w:w="0" w:type="dxa"/>
            <w:vAlign w:val="bottom"/>
          </w:tcPr>
          <w:p>
            <w:pPr>
              <w:spacing w:after="0"/>
              <w:rPr>
                <w:sz w:val="1"/>
                <w:szCs w:val="1"/>
                <w:color w:val="auto"/>
              </w:rPr>
            </w:pPr>
          </w:p>
        </w:tc>
      </w:tr>
      <w:tr>
        <w:trPr>
          <w:trHeight w:val="147"/>
        </w:trPr>
        <w:tc>
          <w:tcPr>
            <w:tcW w:w="798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6123940</wp:posOffset>
            </wp:positionH>
            <wp:positionV relativeFrom="paragraph">
              <wp:posOffset>-3204210</wp:posOffset>
            </wp:positionV>
            <wp:extent cx="34290" cy="34290"/>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-3204210</wp:posOffset>
            </wp:positionV>
            <wp:extent cx="34290" cy="34290"/>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-2415540</wp:posOffset>
            </wp:positionV>
            <wp:extent cx="34290" cy="34290"/>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-2415540</wp:posOffset>
            </wp:positionV>
            <wp:extent cx="34290" cy="34290"/>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-2089785</wp:posOffset>
            </wp:positionV>
            <wp:extent cx="34290" cy="34290"/>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-2089785</wp:posOffset>
            </wp:positionV>
            <wp:extent cx="34290" cy="34290"/>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-837565</wp:posOffset>
            </wp:positionV>
            <wp:extent cx="34290" cy="34290"/>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-837565</wp:posOffset>
            </wp:positionV>
            <wp:extent cx="34290" cy="34290"/>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-511810</wp:posOffset>
            </wp:positionV>
            <wp:extent cx="34290" cy="34290"/>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-511810</wp:posOffset>
            </wp:positionV>
            <wp:extent cx="34290" cy="34290"/>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-14605</wp:posOffset>
            </wp:positionV>
            <wp:extent cx="12700" cy="8890"/>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-14605</wp:posOffset>
            </wp:positionV>
            <wp:extent cx="12700" cy="8890"/>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-14605</wp:posOffset>
            </wp:positionV>
            <wp:extent cx="12700" cy="8890"/>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-14605</wp:posOffset>
            </wp:positionV>
            <wp:extent cx="12700" cy="8890"/>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20" w:lineRule="exact"/>
        <w:rPr>
          <w:sz w:val="20"/>
          <w:szCs w:val="20"/>
          <w:color w:val="auto"/>
        </w:rPr>
      </w:pPr>
    </w:p>
    <w:p>
      <w:pPr>
        <w:ind w:right="20" w:firstLine="8"/>
        <w:spacing w:after="0" w:line="256" w:lineRule="auto"/>
        <w:tabs>
          <w:tab w:leader="none" w:pos="239" w:val="left"/>
        </w:tabs>
        <w:numPr>
          <w:ilvl w:val="0"/>
          <w:numId w:val="58"/>
        </w:numPr>
        <w:rPr>
          <w:rFonts w:ascii="Arial" w:cs="Arial" w:eastAsia="Arial" w:hAnsi="Arial"/>
          <w:sz w:val="18"/>
          <w:szCs w:val="18"/>
          <w:color w:val="auto"/>
        </w:rPr>
      </w:pPr>
      <w:r>
        <w:rPr>
          <w:rFonts w:ascii="Arial" w:cs="Arial" w:eastAsia="Arial" w:hAnsi="Arial"/>
          <w:sz w:val="18"/>
          <w:szCs w:val="18"/>
          <w:color w:val="auto"/>
        </w:rPr>
        <w:t>As of December 31, 2002, ASHC’s Miami agency had United States federal tax loss carry forwards available to reduce future taxable income, if any, for approximately US$17.9 million. Due to the uncertainty regarding the Agency’s ability to generate future federal and state taxable income needed to utilize the net deferred tax assets, the net deferred tax assets related to those tax loss carry-forward were not recorded. Such tax loss carry-forward was not recovered because the agency ceased operations during the year 2003.</w:t>
      </w:r>
    </w:p>
    <w:p>
      <w:pPr>
        <w:spacing w:after="0" w:line="197" w:lineRule="exact"/>
        <w:rPr>
          <w:rFonts w:ascii="Arial" w:cs="Arial" w:eastAsia="Arial" w:hAnsi="Arial"/>
          <w:sz w:val="18"/>
          <w:szCs w:val="18"/>
          <w:color w:val="auto"/>
        </w:rPr>
      </w:pPr>
    </w:p>
    <w:p>
      <w:pPr>
        <w:ind w:right="40" w:firstLine="8"/>
        <w:spacing w:after="0" w:line="255" w:lineRule="auto"/>
        <w:tabs>
          <w:tab w:leader="none" w:pos="249"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Peruvian tax authorities have the right to review and, if necessary, amend the annual tax returns of the Peruvian subsidiaries. Fiscal years 2001 through 2003, inclusive, are pending review by the tax authorities. Any additional tax arising as a result of examination by the tax authorities will be charged to income in the year when such tax is determined, if any. At present, it is not possible to estimate the adjustments that the tax authorities may determine. However, in Management’s opinion, it is not expected that any additional assessments will be determined in amounts considered significant to the consolidated financial statements as of December 31, 2003 and 2002.</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59320" cy="34290"/>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ectPr>
          <w:pgSz w:w="11900" w:h="16838" w:orient="portrait"/>
          <w:cols w:equalWidth="0" w:num="1">
            <w:col w:w="11400"/>
          </w:cols>
          <w:pgMar w:left="240" w:top="347" w:right="25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b w:val="1"/>
          <w:bCs w:val="1"/>
          <w:color w:val="auto"/>
        </w:rPr>
        <w:t>16. Stock options on appreciation rights</w:t>
      </w:r>
    </w:p>
    <w:p>
      <w:pPr>
        <w:spacing w:after="0" w:line="23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indicated in note 3(t), Credicorp has granted options over Credicorp’s stock appreciation rights to certain key executives and employees who have at least one year of service in Credicorp or any of its subsidiaries. The options expire after eight years and 25 percent of the appreciation rights granted may be exercised during each of the first four years of the plan.</w:t>
      </w:r>
    </w:p>
    <w:p>
      <w:pPr>
        <w:spacing w:after="0" w:line="194"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At the end of the fourth year and until the expiration date of the option, all or a portion of the options that are still outstanding under the plan may be exercised at any time. As of December 31, 2003, 298,500 appreciation rights had been exercised (1,250 as of December 31, 2002) under this plan for an approximate amount of US$1 million.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stock appreciation rights options outstanding and the price of such rights at December 31, 2003, 2002 and 2001 are as follows:</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2380" w:type="dxa"/>
            <w:vAlign w:val="bottom"/>
          </w:tcPr>
          <w:p>
            <w:pPr>
              <w:spacing w:after="0"/>
              <w:rPr>
                <w:sz w:val="20"/>
                <w:szCs w:val="20"/>
                <w:color w:val="auto"/>
              </w:rPr>
            </w:pPr>
            <w:r>
              <w:rPr>
                <w:rFonts w:ascii="Arial" w:cs="Arial" w:eastAsia="Arial" w:hAnsi="Arial"/>
                <w:sz w:val="18"/>
                <w:szCs w:val="18"/>
                <w:b w:val="1"/>
                <w:bCs w:val="1"/>
                <w:color w:val="auto"/>
              </w:rPr>
              <w:t>Year</w:t>
            </w:r>
          </w:p>
        </w:tc>
        <w:tc>
          <w:tcPr>
            <w:tcW w:w="3940" w:type="dxa"/>
            <w:vAlign w:val="bottom"/>
          </w:tcPr>
          <w:p>
            <w:pPr>
              <w:jc w:val="right"/>
              <w:ind w:right="472"/>
              <w:spacing w:after="0"/>
              <w:rPr>
                <w:sz w:val="20"/>
                <w:szCs w:val="20"/>
                <w:color w:val="auto"/>
              </w:rPr>
            </w:pPr>
            <w:r>
              <w:rPr>
                <w:rFonts w:ascii="Arial" w:cs="Arial" w:eastAsia="Arial" w:hAnsi="Arial"/>
                <w:sz w:val="18"/>
                <w:szCs w:val="18"/>
                <w:b w:val="1"/>
                <w:bCs w:val="1"/>
                <w:color w:val="auto"/>
              </w:rPr>
              <w:t>Number of shares</w:t>
            </w:r>
          </w:p>
        </w:tc>
        <w:tc>
          <w:tcPr>
            <w:tcW w:w="1060" w:type="dxa"/>
            <w:vAlign w:val="bottom"/>
          </w:tcPr>
          <w:p>
            <w:pPr>
              <w:ind w:left="580"/>
              <w:spacing w:after="0"/>
              <w:rPr>
                <w:sz w:val="20"/>
                <w:szCs w:val="20"/>
                <w:color w:val="auto"/>
              </w:rPr>
            </w:pPr>
            <w:r>
              <w:rPr>
                <w:rFonts w:ascii="Arial" w:cs="Arial" w:eastAsia="Arial" w:hAnsi="Arial"/>
                <w:sz w:val="18"/>
                <w:szCs w:val="18"/>
                <w:b w:val="1"/>
                <w:bCs w:val="1"/>
                <w:color w:val="auto"/>
              </w:rPr>
              <w:t>2003</w:t>
            </w:r>
          </w:p>
        </w:tc>
        <w:tc>
          <w:tcPr>
            <w:tcW w:w="880" w:type="dxa"/>
            <w:vAlign w:val="bottom"/>
          </w:tcPr>
          <w:p>
            <w:pPr>
              <w:spacing w:after="0"/>
              <w:rPr>
                <w:sz w:val="19"/>
                <w:szCs w:val="19"/>
                <w:color w:val="auto"/>
              </w:rPr>
            </w:pPr>
          </w:p>
        </w:tc>
        <w:tc>
          <w:tcPr>
            <w:tcW w:w="1700" w:type="dxa"/>
            <w:vAlign w:val="bottom"/>
          </w:tcPr>
          <w:p>
            <w:pPr>
              <w:jc w:val="right"/>
              <w:ind w:right="912"/>
              <w:spacing w:after="0"/>
              <w:rPr>
                <w:sz w:val="20"/>
                <w:szCs w:val="20"/>
                <w:color w:val="auto"/>
              </w:rPr>
            </w:pPr>
            <w:r>
              <w:rPr>
                <w:rFonts w:ascii="Arial" w:cs="Arial" w:eastAsia="Arial" w:hAnsi="Arial"/>
                <w:sz w:val="18"/>
                <w:szCs w:val="18"/>
                <w:b w:val="1"/>
                <w:bCs w:val="1"/>
                <w:color w:val="auto"/>
              </w:rPr>
              <w:t>2002</w:t>
            </w:r>
          </w:p>
        </w:tc>
        <w:tc>
          <w:tcPr>
            <w:tcW w:w="1340" w:type="dxa"/>
            <w:vAlign w:val="bottom"/>
          </w:tcPr>
          <w:p>
            <w:pPr>
              <w:jc w:val="right"/>
              <w:ind w:right="552"/>
              <w:spacing w:after="0"/>
              <w:rPr>
                <w:sz w:val="20"/>
                <w:szCs w:val="20"/>
                <w:color w:val="auto"/>
              </w:rPr>
            </w:pPr>
            <w:r>
              <w:rPr>
                <w:rFonts w:ascii="Arial" w:cs="Arial" w:eastAsia="Arial" w:hAnsi="Arial"/>
                <w:sz w:val="18"/>
                <w:szCs w:val="18"/>
                <w:b w:val="1"/>
                <w:bCs w:val="1"/>
                <w:color w:val="auto"/>
              </w:rPr>
              <w:t>2001</w:t>
            </w:r>
          </w:p>
        </w:tc>
      </w:tr>
      <w:tr>
        <w:trPr>
          <w:trHeight w:val="243"/>
        </w:trPr>
        <w:tc>
          <w:tcPr>
            <w:tcW w:w="238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1060" w:type="dxa"/>
            <w:vAlign w:val="bottom"/>
          </w:tcPr>
          <w:p>
            <w:pPr>
              <w:ind w:left="600"/>
              <w:spacing w:after="0"/>
              <w:rPr>
                <w:sz w:val="20"/>
                <w:szCs w:val="20"/>
                <w:color w:val="auto"/>
              </w:rPr>
            </w:pPr>
            <w:r>
              <w:rPr>
                <w:rFonts w:ascii="Arial" w:cs="Arial" w:eastAsia="Arial" w:hAnsi="Arial"/>
                <w:sz w:val="18"/>
                <w:szCs w:val="18"/>
                <w:color w:val="auto"/>
              </w:rPr>
              <w:t>US$</w:t>
            </w:r>
          </w:p>
        </w:tc>
        <w:tc>
          <w:tcPr>
            <w:tcW w:w="880" w:type="dxa"/>
            <w:vAlign w:val="bottom"/>
          </w:tcPr>
          <w:p>
            <w:pPr>
              <w:spacing w:after="0"/>
              <w:rPr>
                <w:sz w:val="21"/>
                <w:szCs w:val="21"/>
                <w:color w:val="auto"/>
              </w:rPr>
            </w:pPr>
          </w:p>
        </w:tc>
        <w:tc>
          <w:tcPr>
            <w:tcW w:w="1700" w:type="dxa"/>
            <w:vAlign w:val="bottom"/>
          </w:tcPr>
          <w:p>
            <w:pPr>
              <w:jc w:val="right"/>
              <w:ind w:right="932"/>
              <w:spacing w:after="0"/>
              <w:rPr>
                <w:sz w:val="20"/>
                <w:szCs w:val="20"/>
                <w:color w:val="auto"/>
              </w:rPr>
            </w:pPr>
            <w:r>
              <w:rPr>
                <w:rFonts w:ascii="Arial" w:cs="Arial" w:eastAsia="Arial" w:hAnsi="Arial"/>
                <w:sz w:val="18"/>
                <w:szCs w:val="18"/>
                <w:color w:val="auto"/>
              </w:rPr>
              <w:t>US$</w:t>
            </w:r>
          </w:p>
        </w:tc>
        <w:tc>
          <w:tcPr>
            <w:tcW w:w="1340" w:type="dxa"/>
            <w:vAlign w:val="bottom"/>
          </w:tcPr>
          <w:p>
            <w:pPr>
              <w:jc w:val="right"/>
              <w:ind w:right="572"/>
              <w:spacing w:after="0"/>
              <w:rPr>
                <w:sz w:val="20"/>
                <w:szCs w:val="20"/>
                <w:color w:val="auto"/>
              </w:rPr>
            </w:pPr>
            <w:r>
              <w:rPr>
                <w:rFonts w:ascii="Arial" w:cs="Arial" w:eastAsia="Arial" w:hAnsi="Arial"/>
                <w:sz w:val="18"/>
                <w:szCs w:val="18"/>
                <w:color w:val="auto"/>
              </w:rPr>
              <w:t>US$</w:t>
            </w:r>
          </w:p>
        </w:tc>
      </w:tr>
      <w:tr>
        <w:trPr>
          <w:trHeight w:val="486"/>
        </w:trPr>
        <w:tc>
          <w:tcPr>
            <w:tcW w:w="2380" w:type="dxa"/>
            <w:vAlign w:val="bottom"/>
          </w:tcPr>
          <w:p>
            <w:pPr>
              <w:spacing w:after="0"/>
              <w:rPr>
                <w:sz w:val="20"/>
                <w:szCs w:val="20"/>
                <w:color w:val="auto"/>
              </w:rPr>
            </w:pPr>
            <w:r>
              <w:rPr>
                <w:rFonts w:ascii="Arial" w:cs="Arial" w:eastAsia="Arial" w:hAnsi="Arial"/>
                <w:sz w:val="18"/>
                <w:szCs w:val="18"/>
                <w:color w:val="auto"/>
              </w:rPr>
              <w:t>1999</w:t>
            </w:r>
          </w:p>
        </w:tc>
        <w:tc>
          <w:tcPr>
            <w:tcW w:w="3940" w:type="dxa"/>
            <w:vAlign w:val="bottom"/>
          </w:tcPr>
          <w:p>
            <w:pPr>
              <w:jc w:val="right"/>
              <w:ind w:right="872"/>
              <w:spacing w:after="0"/>
              <w:rPr>
                <w:sz w:val="20"/>
                <w:szCs w:val="20"/>
                <w:color w:val="auto"/>
              </w:rPr>
            </w:pPr>
            <w:r>
              <w:rPr>
                <w:rFonts w:ascii="Arial" w:cs="Arial" w:eastAsia="Arial" w:hAnsi="Arial"/>
                <w:sz w:val="18"/>
                <w:szCs w:val="18"/>
                <w:color w:val="auto"/>
              </w:rPr>
              <w:t>366,000</w:t>
            </w:r>
          </w:p>
        </w:tc>
        <w:tc>
          <w:tcPr>
            <w:tcW w:w="1060" w:type="dxa"/>
            <w:vAlign w:val="bottom"/>
          </w:tcPr>
          <w:p>
            <w:pPr>
              <w:spacing w:after="0"/>
              <w:rPr>
                <w:sz w:val="24"/>
                <w:szCs w:val="24"/>
                <w:color w:val="auto"/>
              </w:rPr>
            </w:pPr>
          </w:p>
        </w:tc>
        <w:tc>
          <w:tcPr>
            <w:tcW w:w="880" w:type="dxa"/>
            <w:vAlign w:val="bottom"/>
          </w:tcPr>
          <w:p>
            <w:pPr>
              <w:jc w:val="right"/>
              <w:ind w:right="272"/>
              <w:spacing w:after="0"/>
              <w:rPr>
                <w:sz w:val="20"/>
                <w:szCs w:val="20"/>
                <w:color w:val="auto"/>
              </w:rPr>
            </w:pPr>
            <w:r>
              <w:rPr>
                <w:rFonts w:ascii="Arial" w:cs="Arial" w:eastAsia="Arial" w:hAnsi="Arial"/>
                <w:sz w:val="18"/>
                <w:szCs w:val="18"/>
                <w:color w:val="auto"/>
              </w:rPr>
              <w:t>8.94</w:t>
            </w:r>
          </w:p>
        </w:tc>
        <w:tc>
          <w:tcPr>
            <w:tcW w:w="1700" w:type="dxa"/>
            <w:vAlign w:val="bottom"/>
          </w:tcPr>
          <w:p>
            <w:pPr>
              <w:jc w:val="right"/>
              <w:ind w:right="272"/>
              <w:spacing w:after="0"/>
              <w:rPr>
                <w:sz w:val="20"/>
                <w:szCs w:val="20"/>
                <w:color w:val="auto"/>
              </w:rPr>
            </w:pPr>
            <w:r>
              <w:rPr>
                <w:rFonts w:ascii="Arial" w:cs="Arial" w:eastAsia="Arial" w:hAnsi="Arial"/>
                <w:sz w:val="18"/>
                <w:szCs w:val="18"/>
                <w:color w:val="auto"/>
              </w:rPr>
              <w:t>9.09</w:t>
            </w:r>
          </w:p>
        </w:tc>
        <w:tc>
          <w:tcPr>
            <w:tcW w:w="1340" w:type="dxa"/>
            <w:vAlign w:val="bottom"/>
          </w:tcPr>
          <w:p>
            <w:pPr>
              <w:jc w:val="right"/>
              <w:spacing w:after="0"/>
              <w:rPr>
                <w:sz w:val="20"/>
                <w:szCs w:val="20"/>
                <w:color w:val="auto"/>
              </w:rPr>
            </w:pPr>
            <w:r>
              <w:rPr>
                <w:rFonts w:ascii="Arial" w:cs="Arial" w:eastAsia="Arial" w:hAnsi="Arial"/>
                <w:sz w:val="18"/>
                <w:szCs w:val="18"/>
                <w:color w:val="auto"/>
              </w:rPr>
              <w:t>9.39</w:t>
            </w:r>
          </w:p>
        </w:tc>
      </w:tr>
      <w:tr>
        <w:trPr>
          <w:trHeight w:val="243"/>
        </w:trPr>
        <w:tc>
          <w:tcPr>
            <w:tcW w:w="2380" w:type="dxa"/>
            <w:vAlign w:val="bottom"/>
          </w:tcPr>
          <w:p>
            <w:pPr>
              <w:spacing w:after="0"/>
              <w:rPr>
                <w:sz w:val="20"/>
                <w:szCs w:val="20"/>
                <w:color w:val="auto"/>
              </w:rPr>
            </w:pPr>
            <w:r>
              <w:rPr>
                <w:rFonts w:ascii="Arial" w:cs="Arial" w:eastAsia="Arial" w:hAnsi="Arial"/>
                <w:sz w:val="18"/>
                <w:szCs w:val="18"/>
                <w:color w:val="auto"/>
              </w:rPr>
              <w:t>2000</w:t>
            </w:r>
          </w:p>
        </w:tc>
        <w:tc>
          <w:tcPr>
            <w:tcW w:w="3940" w:type="dxa"/>
            <w:vAlign w:val="bottom"/>
          </w:tcPr>
          <w:p>
            <w:pPr>
              <w:jc w:val="right"/>
              <w:ind w:right="872"/>
              <w:spacing w:after="0"/>
              <w:rPr>
                <w:sz w:val="20"/>
                <w:szCs w:val="20"/>
                <w:color w:val="auto"/>
              </w:rPr>
            </w:pPr>
            <w:r>
              <w:rPr>
                <w:rFonts w:ascii="Arial" w:cs="Arial" w:eastAsia="Arial" w:hAnsi="Arial"/>
                <w:sz w:val="18"/>
                <w:szCs w:val="18"/>
                <w:color w:val="auto"/>
              </w:rPr>
              <w:t>429,000</w:t>
            </w:r>
          </w:p>
        </w:tc>
        <w:tc>
          <w:tcPr>
            <w:tcW w:w="1060" w:type="dxa"/>
            <w:vAlign w:val="bottom"/>
          </w:tcPr>
          <w:p>
            <w:pPr>
              <w:spacing w:after="0"/>
              <w:rPr>
                <w:sz w:val="21"/>
                <w:szCs w:val="21"/>
                <w:color w:val="auto"/>
              </w:rPr>
            </w:pPr>
          </w:p>
        </w:tc>
        <w:tc>
          <w:tcPr>
            <w:tcW w:w="880" w:type="dxa"/>
            <w:vAlign w:val="bottom"/>
          </w:tcPr>
          <w:p>
            <w:pPr>
              <w:jc w:val="right"/>
              <w:ind w:right="272"/>
              <w:spacing w:after="0"/>
              <w:rPr>
                <w:sz w:val="20"/>
                <w:szCs w:val="20"/>
                <w:color w:val="auto"/>
              </w:rPr>
            </w:pPr>
            <w:r>
              <w:rPr>
                <w:rFonts w:ascii="Arial" w:cs="Arial" w:eastAsia="Arial" w:hAnsi="Arial"/>
                <w:sz w:val="18"/>
                <w:szCs w:val="18"/>
                <w:color w:val="auto"/>
              </w:rPr>
              <w:t>10.10</w:t>
            </w:r>
          </w:p>
        </w:tc>
        <w:tc>
          <w:tcPr>
            <w:tcW w:w="1700" w:type="dxa"/>
            <w:vAlign w:val="bottom"/>
          </w:tcPr>
          <w:p>
            <w:pPr>
              <w:jc w:val="right"/>
              <w:ind w:right="272"/>
              <w:spacing w:after="0"/>
              <w:rPr>
                <w:sz w:val="20"/>
                <w:szCs w:val="20"/>
                <w:color w:val="auto"/>
              </w:rPr>
            </w:pPr>
            <w:r>
              <w:rPr>
                <w:rFonts w:ascii="Arial" w:cs="Arial" w:eastAsia="Arial" w:hAnsi="Arial"/>
                <w:sz w:val="18"/>
                <w:szCs w:val="18"/>
                <w:color w:val="auto"/>
              </w:rPr>
              <w:t>10.25</w:t>
            </w:r>
          </w:p>
        </w:tc>
        <w:tc>
          <w:tcPr>
            <w:tcW w:w="1340" w:type="dxa"/>
            <w:vAlign w:val="bottom"/>
          </w:tcPr>
          <w:p>
            <w:pPr>
              <w:jc w:val="right"/>
              <w:spacing w:after="0"/>
              <w:rPr>
                <w:sz w:val="20"/>
                <w:szCs w:val="20"/>
                <w:color w:val="auto"/>
              </w:rPr>
            </w:pPr>
            <w:r>
              <w:rPr>
                <w:rFonts w:ascii="Arial" w:cs="Arial" w:eastAsia="Arial" w:hAnsi="Arial"/>
                <w:sz w:val="18"/>
                <w:szCs w:val="18"/>
                <w:color w:val="auto"/>
              </w:rPr>
              <w:t>10.50</w:t>
            </w:r>
          </w:p>
        </w:tc>
      </w:tr>
      <w:tr>
        <w:trPr>
          <w:trHeight w:val="243"/>
        </w:trPr>
        <w:tc>
          <w:tcPr>
            <w:tcW w:w="2380" w:type="dxa"/>
            <w:vAlign w:val="bottom"/>
          </w:tcPr>
          <w:p>
            <w:pPr>
              <w:spacing w:after="0"/>
              <w:rPr>
                <w:sz w:val="20"/>
                <w:szCs w:val="20"/>
                <w:color w:val="auto"/>
              </w:rPr>
            </w:pPr>
            <w:r>
              <w:rPr>
                <w:rFonts w:ascii="Arial" w:cs="Arial" w:eastAsia="Arial" w:hAnsi="Arial"/>
                <w:sz w:val="18"/>
                <w:szCs w:val="18"/>
                <w:color w:val="auto"/>
              </w:rPr>
              <w:t>2001</w:t>
            </w:r>
          </w:p>
        </w:tc>
        <w:tc>
          <w:tcPr>
            <w:tcW w:w="3940" w:type="dxa"/>
            <w:vAlign w:val="bottom"/>
          </w:tcPr>
          <w:p>
            <w:pPr>
              <w:jc w:val="right"/>
              <w:ind w:right="872"/>
              <w:spacing w:after="0"/>
              <w:rPr>
                <w:sz w:val="20"/>
                <w:szCs w:val="20"/>
                <w:color w:val="auto"/>
              </w:rPr>
            </w:pPr>
            <w:r>
              <w:rPr>
                <w:rFonts w:ascii="Arial" w:cs="Arial" w:eastAsia="Arial" w:hAnsi="Arial"/>
                <w:sz w:val="18"/>
                <w:szCs w:val="18"/>
                <w:color w:val="auto"/>
              </w:rPr>
              <w:t>481,500</w:t>
            </w:r>
          </w:p>
        </w:tc>
        <w:tc>
          <w:tcPr>
            <w:tcW w:w="1060" w:type="dxa"/>
            <w:vAlign w:val="bottom"/>
          </w:tcPr>
          <w:p>
            <w:pPr>
              <w:spacing w:after="0"/>
              <w:rPr>
                <w:sz w:val="21"/>
                <w:szCs w:val="21"/>
                <w:color w:val="auto"/>
              </w:rPr>
            </w:pPr>
          </w:p>
        </w:tc>
        <w:tc>
          <w:tcPr>
            <w:tcW w:w="880" w:type="dxa"/>
            <w:vAlign w:val="bottom"/>
          </w:tcPr>
          <w:p>
            <w:pPr>
              <w:jc w:val="right"/>
              <w:ind w:right="272"/>
              <w:spacing w:after="0"/>
              <w:rPr>
                <w:sz w:val="20"/>
                <w:szCs w:val="20"/>
                <w:color w:val="auto"/>
              </w:rPr>
            </w:pPr>
            <w:r>
              <w:rPr>
                <w:rFonts w:ascii="Arial" w:cs="Arial" w:eastAsia="Arial" w:hAnsi="Arial"/>
                <w:sz w:val="18"/>
                <w:szCs w:val="18"/>
                <w:color w:val="auto"/>
              </w:rPr>
              <w:t>6.90</w:t>
            </w:r>
          </w:p>
        </w:tc>
        <w:tc>
          <w:tcPr>
            <w:tcW w:w="1700" w:type="dxa"/>
            <w:vAlign w:val="bottom"/>
          </w:tcPr>
          <w:p>
            <w:pPr>
              <w:jc w:val="right"/>
              <w:ind w:right="272"/>
              <w:spacing w:after="0"/>
              <w:rPr>
                <w:sz w:val="20"/>
                <w:szCs w:val="20"/>
                <w:color w:val="auto"/>
              </w:rPr>
            </w:pPr>
            <w:r>
              <w:rPr>
                <w:rFonts w:ascii="Arial" w:cs="Arial" w:eastAsia="Arial" w:hAnsi="Arial"/>
                <w:sz w:val="18"/>
                <w:szCs w:val="18"/>
                <w:color w:val="auto"/>
              </w:rPr>
              <w:t>7.05</w:t>
            </w:r>
          </w:p>
        </w:tc>
        <w:tc>
          <w:tcPr>
            <w:tcW w:w="1340" w:type="dxa"/>
            <w:vAlign w:val="bottom"/>
          </w:tcPr>
          <w:p>
            <w:pPr>
              <w:jc w:val="right"/>
              <w:spacing w:after="0"/>
              <w:rPr>
                <w:sz w:val="20"/>
                <w:szCs w:val="20"/>
                <w:color w:val="auto"/>
              </w:rPr>
            </w:pPr>
            <w:r>
              <w:rPr>
                <w:rFonts w:ascii="Arial" w:cs="Arial" w:eastAsia="Arial" w:hAnsi="Arial"/>
                <w:sz w:val="18"/>
                <w:szCs w:val="18"/>
                <w:color w:val="auto"/>
              </w:rPr>
              <w:t>7.30</w:t>
            </w:r>
          </w:p>
        </w:tc>
      </w:tr>
      <w:tr>
        <w:trPr>
          <w:trHeight w:val="243"/>
        </w:trPr>
        <w:tc>
          <w:tcPr>
            <w:tcW w:w="2380" w:type="dxa"/>
            <w:vAlign w:val="bottom"/>
          </w:tcPr>
          <w:p>
            <w:pPr>
              <w:spacing w:after="0"/>
              <w:rPr>
                <w:sz w:val="20"/>
                <w:szCs w:val="20"/>
                <w:color w:val="auto"/>
              </w:rPr>
            </w:pPr>
            <w:r>
              <w:rPr>
                <w:rFonts w:ascii="Arial" w:cs="Arial" w:eastAsia="Arial" w:hAnsi="Arial"/>
                <w:sz w:val="18"/>
                <w:szCs w:val="18"/>
                <w:color w:val="auto"/>
              </w:rPr>
              <w:t>2002</w:t>
            </w:r>
          </w:p>
        </w:tc>
        <w:tc>
          <w:tcPr>
            <w:tcW w:w="3940" w:type="dxa"/>
            <w:vAlign w:val="bottom"/>
          </w:tcPr>
          <w:p>
            <w:pPr>
              <w:jc w:val="right"/>
              <w:ind w:right="872"/>
              <w:spacing w:after="0"/>
              <w:rPr>
                <w:sz w:val="20"/>
                <w:szCs w:val="20"/>
                <w:color w:val="auto"/>
              </w:rPr>
            </w:pPr>
            <w:r>
              <w:rPr>
                <w:rFonts w:ascii="Arial" w:cs="Arial" w:eastAsia="Arial" w:hAnsi="Arial"/>
                <w:sz w:val="18"/>
                <w:szCs w:val="18"/>
                <w:color w:val="auto"/>
              </w:rPr>
              <w:t>515,000</w:t>
            </w:r>
          </w:p>
        </w:tc>
        <w:tc>
          <w:tcPr>
            <w:tcW w:w="1060" w:type="dxa"/>
            <w:vAlign w:val="bottom"/>
          </w:tcPr>
          <w:p>
            <w:pPr>
              <w:spacing w:after="0"/>
              <w:rPr>
                <w:sz w:val="21"/>
                <w:szCs w:val="21"/>
                <w:color w:val="auto"/>
              </w:rPr>
            </w:pPr>
          </w:p>
        </w:tc>
        <w:tc>
          <w:tcPr>
            <w:tcW w:w="880" w:type="dxa"/>
            <w:vAlign w:val="bottom"/>
          </w:tcPr>
          <w:p>
            <w:pPr>
              <w:jc w:val="right"/>
              <w:ind w:right="272"/>
              <w:spacing w:after="0"/>
              <w:rPr>
                <w:sz w:val="20"/>
                <w:szCs w:val="20"/>
                <w:color w:val="auto"/>
              </w:rPr>
            </w:pPr>
            <w:r>
              <w:rPr>
                <w:rFonts w:ascii="Arial" w:cs="Arial" w:eastAsia="Arial" w:hAnsi="Arial"/>
                <w:sz w:val="18"/>
                <w:szCs w:val="18"/>
                <w:color w:val="auto"/>
              </w:rPr>
              <w:t>8.58</w:t>
            </w:r>
          </w:p>
        </w:tc>
        <w:tc>
          <w:tcPr>
            <w:tcW w:w="1700" w:type="dxa"/>
            <w:vAlign w:val="bottom"/>
          </w:tcPr>
          <w:p>
            <w:pPr>
              <w:jc w:val="right"/>
              <w:ind w:right="272"/>
              <w:spacing w:after="0"/>
              <w:rPr>
                <w:sz w:val="20"/>
                <w:szCs w:val="20"/>
                <w:color w:val="auto"/>
              </w:rPr>
            </w:pPr>
            <w:r>
              <w:rPr>
                <w:rFonts w:ascii="Arial" w:cs="Arial" w:eastAsia="Arial" w:hAnsi="Arial"/>
                <w:sz w:val="18"/>
                <w:szCs w:val="18"/>
                <w:color w:val="auto"/>
              </w:rPr>
              <w:t>8.73</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380" w:type="dxa"/>
            <w:vAlign w:val="bottom"/>
          </w:tcPr>
          <w:p>
            <w:pPr>
              <w:spacing w:after="0"/>
              <w:rPr>
                <w:sz w:val="20"/>
                <w:szCs w:val="20"/>
                <w:color w:val="auto"/>
              </w:rPr>
            </w:pPr>
            <w:r>
              <w:rPr>
                <w:rFonts w:ascii="Arial" w:cs="Arial" w:eastAsia="Arial" w:hAnsi="Arial"/>
                <w:sz w:val="18"/>
                <w:szCs w:val="18"/>
                <w:color w:val="auto"/>
              </w:rPr>
              <w:t>2003</w:t>
            </w:r>
          </w:p>
        </w:tc>
        <w:tc>
          <w:tcPr>
            <w:tcW w:w="3940" w:type="dxa"/>
            <w:vAlign w:val="bottom"/>
          </w:tcPr>
          <w:p>
            <w:pPr>
              <w:jc w:val="right"/>
              <w:ind w:right="872"/>
              <w:spacing w:after="0"/>
              <w:rPr>
                <w:sz w:val="20"/>
                <w:szCs w:val="20"/>
                <w:color w:val="auto"/>
              </w:rPr>
            </w:pPr>
            <w:r>
              <w:rPr>
                <w:rFonts w:ascii="Arial" w:cs="Arial" w:eastAsia="Arial" w:hAnsi="Arial"/>
                <w:sz w:val="18"/>
                <w:szCs w:val="18"/>
                <w:color w:val="auto"/>
              </w:rPr>
              <w:t>569,750</w:t>
            </w:r>
          </w:p>
        </w:tc>
        <w:tc>
          <w:tcPr>
            <w:tcW w:w="1060" w:type="dxa"/>
            <w:vAlign w:val="bottom"/>
          </w:tcPr>
          <w:p>
            <w:pPr>
              <w:spacing w:after="0"/>
              <w:rPr>
                <w:sz w:val="21"/>
                <w:szCs w:val="21"/>
                <w:color w:val="auto"/>
              </w:rPr>
            </w:pPr>
          </w:p>
        </w:tc>
        <w:tc>
          <w:tcPr>
            <w:tcW w:w="880" w:type="dxa"/>
            <w:vAlign w:val="bottom"/>
          </w:tcPr>
          <w:p>
            <w:pPr>
              <w:jc w:val="right"/>
              <w:ind w:right="272"/>
              <w:spacing w:after="0"/>
              <w:rPr>
                <w:sz w:val="20"/>
                <w:szCs w:val="20"/>
                <w:color w:val="auto"/>
              </w:rPr>
            </w:pPr>
            <w:r>
              <w:rPr>
                <w:rFonts w:ascii="Arial" w:cs="Arial" w:eastAsia="Arial" w:hAnsi="Arial"/>
                <w:sz w:val="18"/>
                <w:szCs w:val="18"/>
                <w:color w:val="auto"/>
              </w:rPr>
              <w:t>9.77</w:t>
            </w:r>
          </w:p>
        </w:tc>
        <w:tc>
          <w:tcPr>
            <w:tcW w:w="17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3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2003 and 2002, the Group has recorded a provision for those options that could be executed corresponding to the difference between the price of the option and the quoted price at the consolidated balance sheet date (1,555,813 and 904,625, respectively), amounting approximately to US$8.4 and US$0.9 million, respectively. The provisions were recorded in the caption “Remunerations and employees’ benefits” of the consolidated statement of income. The quoted price of the Credicorp’s shares in the New York Stock Exchange as of December 31, 2003, 2002 and 2001 was US$13.35, US$9.4 and US$8.75,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In 2003 and 2002, the options prices were modified and informed to the executives of the Group.</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59320" cy="34290"/>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228"/>
        </w:trPr>
        <w:tc>
          <w:tcPr>
            <w:tcW w:w="7980" w:type="dxa"/>
            <w:vAlign w:val="bottom"/>
          </w:tcPr>
          <w:p>
            <w:pPr>
              <w:spacing w:after="0"/>
              <w:rPr>
                <w:sz w:val="20"/>
                <w:szCs w:val="20"/>
                <w:color w:val="auto"/>
              </w:rPr>
            </w:pPr>
            <w:r>
              <w:rPr>
                <w:rFonts w:ascii="Arial" w:cs="Arial" w:eastAsia="Arial" w:hAnsi="Arial"/>
                <w:sz w:val="18"/>
                <w:szCs w:val="18"/>
                <w:b w:val="1"/>
                <w:bCs w:val="1"/>
                <w:color w:val="auto"/>
              </w:rPr>
              <w:t>17. Off-balance sheet accounts</w:t>
            </w: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7980" w:type="dxa"/>
            <w:vAlign w:val="bottom"/>
          </w:tcPr>
          <w:p>
            <w:pPr>
              <w:spacing w:after="0"/>
              <w:rPr>
                <w:sz w:val="20"/>
                <w:szCs w:val="20"/>
                <w:color w:val="auto"/>
              </w:rPr>
            </w:pPr>
            <w:r>
              <w:rPr>
                <w:rFonts w:ascii="Arial" w:cs="Arial" w:eastAsia="Arial" w:hAnsi="Arial"/>
                <w:sz w:val="18"/>
                <w:szCs w:val="18"/>
                <w:color w:val="auto"/>
              </w:rPr>
              <w:t>(a) This item is made up as follows:</w:t>
            </w: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980" w:type="dxa"/>
            <w:vAlign w:val="bottom"/>
          </w:tcPr>
          <w:p>
            <w:pPr>
              <w:spacing w:after="0"/>
              <w:rPr>
                <w:sz w:val="24"/>
                <w:szCs w:val="24"/>
                <w:color w:val="auto"/>
              </w:rPr>
            </w:pPr>
          </w:p>
        </w:tc>
        <w:tc>
          <w:tcPr>
            <w:tcW w:w="1700" w:type="dxa"/>
            <w:vAlign w:val="bottom"/>
          </w:tcPr>
          <w:p>
            <w:pPr>
              <w:jc w:val="right"/>
              <w:ind w:right="612"/>
              <w:spacing w:after="0"/>
              <w:rPr>
                <w:sz w:val="20"/>
                <w:szCs w:val="20"/>
                <w:color w:val="auto"/>
              </w:rPr>
            </w:pPr>
            <w:r>
              <w:rPr>
                <w:rFonts w:ascii="Arial" w:cs="Arial" w:eastAsia="Arial" w:hAnsi="Arial"/>
                <w:sz w:val="18"/>
                <w:szCs w:val="18"/>
                <w:b w:val="1"/>
                <w:bCs w:val="1"/>
                <w:color w:val="auto"/>
              </w:rPr>
              <w:t>2003</w:t>
            </w:r>
          </w:p>
        </w:tc>
        <w:tc>
          <w:tcPr>
            <w:tcW w:w="1720" w:type="dxa"/>
            <w:vAlign w:val="bottom"/>
            <w:gridSpan w:val="2"/>
          </w:tcPr>
          <w:p>
            <w:pPr>
              <w:jc w:val="right"/>
              <w:ind w:right="612"/>
              <w:spacing w:after="0"/>
              <w:rPr>
                <w:sz w:val="20"/>
                <w:szCs w:val="20"/>
                <w:color w:val="auto"/>
              </w:rPr>
            </w:pPr>
            <w:r>
              <w:rPr>
                <w:rFonts w:ascii="Arial" w:cs="Arial" w:eastAsia="Arial" w:hAnsi="Arial"/>
                <w:sz w:val="18"/>
                <w:szCs w:val="18"/>
                <w:b w:val="1"/>
                <w:bCs w:val="1"/>
                <w:color w:val="auto"/>
              </w:rPr>
              <w:t>2002</w:t>
            </w:r>
          </w:p>
        </w:tc>
        <w:tc>
          <w:tcPr>
            <w:tcW w:w="0" w:type="dxa"/>
            <w:vAlign w:val="bottom"/>
          </w:tcPr>
          <w:p>
            <w:pPr>
              <w:spacing w:after="0"/>
              <w:rPr>
                <w:sz w:val="1"/>
                <w:szCs w:val="1"/>
                <w:color w:val="auto"/>
              </w:rPr>
            </w:pPr>
          </w:p>
        </w:tc>
      </w:tr>
      <w:tr>
        <w:trPr>
          <w:trHeight w:val="243"/>
        </w:trPr>
        <w:tc>
          <w:tcPr>
            <w:tcW w:w="7980" w:type="dxa"/>
            <w:vAlign w:val="bottom"/>
          </w:tcPr>
          <w:p>
            <w:pPr>
              <w:spacing w:after="0"/>
              <w:rPr>
                <w:sz w:val="21"/>
                <w:szCs w:val="21"/>
                <w:color w:val="auto"/>
              </w:rPr>
            </w:pPr>
          </w:p>
        </w:tc>
        <w:tc>
          <w:tcPr>
            <w:tcW w:w="1700" w:type="dxa"/>
            <w:vAlign w:val="bottom"/>
          </w:tcPr>
          <w:p>
            <w:pPr>
              <w:jc w:val="right"/>
              <w:ind w:right="412"/>
              <w:spacing w:after="0"/>
              <w:rPr>
                <w:sz w:val="20"/>
                <w:szCs w:val="20"/>
                <w:color w:val="auto"/>
              </w:rPr>
            </w:pPr>
            <w:r>
              <w:rPr>
                <w:rFonts w:ascii="Arial" w:cs="Arial" w:eastAsia="Arial" w:hAnsi="Arial"/>
                <w:sz w:val="18"/>
                <w:szCs w:val="18"/>
                <w:color w:val="auto"/>
              </w:rPr>
              <w:t>US$(000)</w:t>
            </w:r>
          </w:p>
        </w:tc>
        <w:tc>
          <w:tcPr>
            <w:tcW w:w="20" w:type="dxa"/>
            <w:vAlign w:val="bottom"/>
          </w:tcPr>
          <w:p>
            <w:pPr>
              <w:spacing w:after="0"/>
              <w:rPr>
                <w:sz w:val="21"/>
                <w:szCs w:val="21"/>
                <w:color w:val="auto"/>
              </w:rPr>
            </w:pPr>
          </w:p>
        </w:tc>
        <w:tc>
          <w:tcPr>
            <w:tcW w:w="1700" w:type="dxa"/>
            <w:vAlign w:val="bottom"/>
          </w:tcPr>
          <w:p>
            <w:pPr>
              <w:jc w:val="right"/>
              <w:ind w:right="412"/>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486"/>
        </w:trPr>
        <w:tc>
          <w:tcPr>
            <w:tcW w:w="7980" w:type="dxa"/>
            <w:vAlign w:val="bottom"/>
          </w:tcPr>
          <w:p>
            <w:pPr>
              <w:ind w:left="40"/>
              <w:spacing w:after="0"/>
              <w:rPr>
                <w:sz w:val="20"/>
                <w:szCs w:val="20"/>
                <w:color w:val="auto"/>
              </w:rPr>
            </w:pPr>
            <w:r>
              <w:rPr>
                <w:rFonts w:ascii="Arial" w:cs="Arial" w:eastAsia="Arial" w:hAnsi="Arial"/>
                <w:sz w:val="18"/>
                <w:szCs w:val="18"/>
                <w:b w:val="1"/>
                <w:bCs w:val="1"/>
                <w:color w:val="auto"/>
              </w:rPr>
              <w:t>Contingent credits</w:t>
            </w: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Guarantees and stand by letters (c)</w:t>
            </w:r>
          </w:p>
        </w:tc>
        <w:tc>
          <w:tcPr>
            <w:tcW w:w="1700" w:type="dxa"/>
            <w:vAlign w:val="bottom"/>
          </w:tcPr>
          <w:p>
            <w:pPr>
              <w:jc w:val="right"/>
              <w:spacing w:after="0"/>
              <w:rPr>
                <w:sz w:val="20"/>
                <w:szCs w:val="20"/>
                <w:color w:val="auto"/>
              </w:rPr>
            </w:pPr>
            <w:r>
              <w:rPr>
                <w:rFonts w:ascii="Arial" w:cs="Arial" w:eastAsia="Arial" w:hAnsi="Arial"/>
                <w:sz w:val="18"/>
                <w:szCs w:val="18"/>
                <w:color w:val="auto"/>
              </w:rPr>
              <w:t>690,634</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816,844</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Import and export letters of credit (c)</w:t>
            </w:r>
          </w:p>
        </w:tc>
        <w:tc>
          <w:tcPr>
            <w:tcW w:w="1700" w:type="dxa"/>
            <w:vAlign w:val="bottom"/>
          </w:tcPr>
          <w:p>
            <w:pPr>
              <w:jc w:val="right"/>
              <w:spacing w:after="0"/>
              <w:rPr>
                <w:sz w:val="20"/>
                <w:szCs w:val="20"/>
                <w:color w:val="auto"/>
              </w:rPr>
            </w:pPr>
            <w:r>
              <w:rPr>
                <w:rFonts w:ascii="Arial" w:cs="Arial" w:eastAsia="Arial" w:hAnsi="Arial"/>
                <w:sz w:val="18"/>
                <w:szCs w:val="18"/>
                <w:color w:val="auto"/>
              </w:rPr>
              <w:t>152,942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140,086</w:t>
            </w:r>
          </w:p>
        </w:tc>
        <w:tc>
          <w:tcPr>
            <w:tcW w:w="0" w:type="dxa"/>
            <w:vAlign w:val="bottom"/>
          </w:tcPr>
          <w:p>
            <w:pPr>
              <w:spacing w:after="0"/>
              <w:rPr>
                <w:sz w:val="1"/>
                <w:szCs w:val="1"/>
                <w:color w:val="auto"/>
              </w:rPr>
            </w:pPr>
          </w:p>
        </w:tc>
      </w:tr>
      <w:tr>
        <w:trPr>
          <w:trHeight w:val="137"/>
        </w:trPr>
        <w:tc>
          <w:tcPr>
            <w:tcW w:w="798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798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843,576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956,930</w:t>
            </w:r>
          </w:p>
        </w:tc>
        <w:tc>
          <w:tcPr>
            <w:tcW w:w="0" w:type="dxa"/>
            <w:vAlign w:val="bottom"/>
          </w:tcPr>
          <w:p>
            <w:pPr>
              <w:spacing w:after="0"/>
              <w:rPr>
                <w:sz w:val="1"/>
                <w:szCs w:val="1"/>
                <w:color w:val="auto"/>
              </w:rPr>
            </w:pPr>
          </w:p>
        </w:tc>
      </w:tr>
      <w:tr>
        <w:trPr>
          <w:trHeight w:val="486"/>
        </w:trPr>
        <w:tc>
          <w:tcPr>
            <w:tcW w:w="7980" w:type="dxa"/>
            <w:vAlign w:val="bottom"/>
          </w:tcPr>
          <w:p>
            <w:pPr>
              <w:ind w:left="40"/>
              <w:spacing w:after="0"/>
              <w:rPr>
                <w:sz w:val="20"/>
                <w:szCs w:val="20"/>
                <w:color w:val="auto"/>
              </w:rPr>
            </w:pPr>
            <w:r>
              <w:rPr>
                <w:rFonts w:ascii="Arial" w:cs="Arial" w:eastAsia="Arial" w:hAnsi="Arial"/>
                <w:sz w:val="18"/>
                <w:szCs w:val="18"/>
                <w:color w:val="auto"/>
              </w:rPr>
              <w:t>Responsibilities under credit lines agreements</w:t>
            </w:r>
          </w:p>
        </w:tc>
        <w:tc>
          <w:tcPr>
            <w:tcW w:w="1700" w:type="dxa"/>
            <w:vAlign w:val="bottom"/>
          </w:tcPr>
          <w:p>
            <w:pPr>
              <w:jc w:val="right"/>
              <w:spacing w:after="0"/>
              <w:rPr>
                <w:sz w:val="20"/>
                <w:szCs w:val="20"/>
                <w:color w:val="auto"/>
              </w:rPr>
            </w:pPr>
            <w:r>
              <w:rPr>
                <w:rFonts w:ascii="Arial" w:cs="Arial" w:eastAsia="Arial" w:hAnsi="Arial"/>
                <w:sz w:val="18"/>
                <w:szCs w:val="18"/>
                <w:color w:val="auto"/>
              </w:rPr>
              <w:t>509,586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188,428</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Financial derivative contracts, net (d)</w:t>
            </w:r>
          </w:p>
        </w:tc>
        <w:tc>
          <w:tcPr>
            <w:tcW w:w="1700" w:type="dxa"/>
            <w:vAlign w:val="bottom"/>
          </w:tcPr>
          <w:p>
            <w:pPr>
              <w:jc w:val="right"/>
              <w:spacing w:after="0"/>
              <w:rPr>
                <w:sz w:val="20"/>
                <w:szCs w:val="20"/>
                <w:color w:val="auto"/>
              </w:rPr>
            </w:pPr>
            <w:r>
              <w:rPr>
                <w:rFonts w:ascii="Arial" w:cs="Arial" w:eastAsia="Arial" w:hAnsi="Arial"/>
                <w:sz w:val="18"/>
                <w:szCs w:val="18"/>
                <w:color w:val="auto"/>
              </w:rPr>
              <w:t>135,647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269,500</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Swaps contracts (e)</w:t>
            </w:r>
          </w:p>
        </w:tc>
        <w:tc>
          <w:tcPr>
            <w:tcW w:w="1700" w:type="dxa"/>
            <w:vAlign w:val="bottom"/>
          </w:tcPr>
          <w:p>
            <w:pPr>
              <w:jc w:val="right"/>
              <w:spacing w:after="0"/>
              <w:rPr>
                <w:sz w:val="20"/>
                <w:szCs w:val="20"/>
                <w:color w:val="auto"/>
              </w:rPr>
            </w:pPr>
            <w:r>
              <w:rPr>
                <w:rFonts w:ascii="Arial" w:cs="Arial" w:eastAsia="Arial" w:hAnsi="Arial"/>
                <w:sz w:val="18"/>
                <w:szCs w:val="18"/>
                <w:color w:val="auto"/>
              </w:rPr>
              <w:t>98,083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10,784</w:t>
            </w:r>
          </w:p>
        </w:tc>
        <w:tc>
          <w:tcPr>
            <w:tcW w:w="0" w:type="dxa"/>
            <w:vAlign w:val="bottom"/>
          </w:tcPr>
          <w:p>
            <w:pPr>
              <w:spacing w:after="0"/>
              <w:rPr>
                <w:sz w:val="1"/>
                <w:szCs w:val="1"/>
                <w:color w:val="auto"/>
              </w:rPr>
            </w:pPr>
          </w:p>
        </w:tc>
      </w:tr>
      <w:tr>
        <w:trPr>
          <w:trHeight w:val="137"/>
        </w:trPr>
        <w:tc>
          <w:tcPr>
            <w:tcW w:w="79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Total</w:t>
            </w: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599"/>
        </w:trPr>
        <w:tc>
          <w:tcPr>
            <w:tcW w:w="7980" w:type="dxa"/>
            <w:vAlign w:val="bottom"/>
            <w:vMerge w:val="continue"/>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1,586,892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1,425,642</w:t>
            </w:r>
          </w:p>
        </w:tc>
        <w:tc>
          <w:tcPr>
            <w:tcW w:w="0" w:type="dxa"/>
            <w:vAlign w:val="bottom"/>
          </w:tcPr>
          <w:p>
            <w:pPr>
              <w:spacing w:after="0"/>
              <w:rPr>
                <w:sz w:val="1"/>
                <w:szCs w:val="1"/>
                <w:color w:val="auto"/>
              </w:rPr>
            </w:pPr>
          </w:p>
        </w:tc>
      </w:tr>
      <w:tr>
        <w:trPr>
          <w:trHeight w:val="147"/>
        </w:trPr>
        <w:tc>
          <w:tcPr>
            <w:tcW w:w="798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6123940</wp:posOffset>
            </wp:positionH>
            <wp:positionV relativeFrom="paragraph">
              <wp:posOffset>-1454785</wp:posOffset>
            </wp:positionV>
            <wp:extent cx="34290" cy="34290"/>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-1454785</wp:posOffset>
            </wp:positionV>
            <wp:extent cx="34290" cy="34290"/>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-511810</wp:posOffset>
            </wp:positionV>
            <wp:extent cx="34290" cy="34290"/>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-511810</wp:posOffset>
            </wp:positionV>
            <wp:extent cx="34290" cy="34290"/>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-14605</wp:posOffset>
            </wp:positionV>
            <wp:extent cx="12700" cy="8890"/>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-14605</wp:posOffset>
            </wp:positionV>
            <wp:extent cx="12700" cy="8890"/>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-14605</wp:posOffset>
            </wp:positionV>
            <wp:extent cx="12700" cy="8890"/>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-14605</wp:posOffset>
            </wp:positionV>
            <wp:extent cx="12700" cy="8890"/>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20" w:lineRule="exact"/>
        <w:rPr>
          <w:sz w:val="20"/>
          <w:szCs w:val="20"/>
          <w:color w:val="auto"/>
        </w:rPr>
      </w:pPr>
    </w:p>
    <w:p>
      <w:pPr>
        <w:ind w:right="80" w:firstLine="8"/>
        <w:spacing w:after="0" w:line="290" w:lineRule="auto"/>
        <w:tabs>
          <w:tab w:leader="none" w:pos="249"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 the normal course of its business, the Group’s banking subsidiaries are party to transactions with off balance sheet risk. These transactions expose the Group’s banking subsidiaries to credit risk in addition to the amounts recognized in the consolidated balance sheet. Credit risk for off-balance sheet financial instruments is defined as the possibility of sustaining a loss because any other party to a financial instrument fails to perform in accordance with the terms of the contract. The Group’s exposure to losses under commitments to extend credit, provide export and import letters of credit and guarantees is represented by the contractual amount specified in these instruments. The Group uses the same credit policies in making commitments and conditional obligations as it does for on-balance sheet instruments, including the requirement to obtain collateral to support off-balance sheet financial instruments, note 7, when it is deemed necessary. Collateral held varies, but may include deposits held in financial institutions, securities or other assets.</w:t>
      </w:r>
    </w:p>
    <w:p>
      <w:pPr>
        <w:spacing w:after="0" w:line="172"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Due to the fact that many of the contingent transactions are expected to expire without any performance being required, the total committed amounts do not necessarily represent future cash requirements.</w:t>
      </w:r>
    </w:p>
    <w:p>
      <w:pPr>
        <w:spacing w:after="0" w:line="186" w:lineRule="exact"/>
        <w:rPr>
          <w:sz w:val="20"/>
          <w:szCs w:val="20"/>
          <w:color w:val="auto"/>
        </w:rPr>
      </w:pPr>
    </w:p>
    <w:p>
      <w:pPr>
        <w:ind w:firstLine="8"/>
        <w:spacing w:after="0" w:line="259" w:lineRule="auto"/>
        <w:tabs>
          <w:tab w:leader="none" w:pos="239"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Export and import letters of credit and guarantees and stand by letters are conditional commitments issued by the Group to guarantee the performance of a customer to a third party. Export and import letters of credit are mainly issued as credit enhancements for overseas commercial transactions. Risks associated with these credits are reduced by the participation of third parties.</w:t>
      </w:r>
    </w:p>
    <w:p>
      <w:pPr>
        <w:spacing w:after="0" w:line="194" w:lineRule="exact"/>
        <w:rPr>
          <w:rFonts w:ascii="Arial" w:cs="Arial" w:eastAsia="Arial" w:hAnsi="Arial"/>
          <w:sz w:val="18"/>
          <w:szCs w:val="18"/>
          <w:color w:val="auto"/>
        </w:rPr>
      </w:pPr>
    </w:p>
    <w:p>
      <w:pPr>
        <w:ind w:right="300" w:firstLine="8"/>
        <w:spacing w:after="0" w:line="298" w:lineRule="auto"/>
        <w:tabs>
          <w:tab w:leader="none" w:pos="249" w:val="left"/>
        </w:tabs>
        <w:numPr>
          <w:ilvl w:val="0"/>
          <w:numId w:val="60"/>
        </w:numPr>
        <w:rPr>
          <w:rFonts w:ascii="Arial" w:cs="Arial" w:eastAsia="Arial" w:hAnsi="Arial"/>
          <w:sz w:val="16"/>
          <w:szCs w:val="16"/>
          <w:color w:val="auto"/>
        </w:rPr>
      </w:pPr>
      <w:r>
        <w:rPr>
          <w:rFonts w:ascii="Arial" w:cs="Arial" w:eastAsia="Arial" w:hAnsi="Arial"/>
          <w:sz w:val="16"/>
          <w:szCs w:val="16"/>
          <w:color w:val="auto"/>
        </w:rPr>
        <w:t>As of December 31, 2003 and 2002, Credicorp has derivatives transactions related to purchase and sale agreements for foreign currency forwards. Foreign currency forwards are commitments to buy or sell currency at a future date at a contracted price. Risk arises from the possibility that the counter-party to the transaction does not perform as agreed. As of December 31, 2003 and 2002, forward foreign currency purchase and sale agreements referred to above include nominal amounts of approximately US$313.9 and US$530.6 million, respectively, see note 22, with maturities not greater than one year.</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59320" cy="34290"/>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color w:val="auto"/>
        </w:rPr>
        <w:t>These agreements are executed to satisfy client requirements and are recognized in the financial statements at fair market value.</w:t>
      </w:r>
    </w:p>
    <w:p>
      <w:pPr>
        <w:spacing w:after="0" w:line="225" w:lineRule="exact"/>
        <w:rPr>
          <w:sz w:val="20"/>
          <w:szCs w:val="20"/>
          <w:color w:val="auto"/>
        </w:rPr>
      </w:pPr>
    </w:p>
    <w:p>
      <w:pPr>
        <w:jc w:val="both"/>
        <w:ind w:right="220" w:firstLine="8"/>
        <w:spacing w:after="0" w:line="256" w:lineRule="auto"/>
        <w:tabs>
          <w:tab w:leader="none" w:pos="239"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Interest rate swaps are derivatives contracts that exchange variable interest rates for fixed interest rates. The risk arises each time the projected level of the variable rate during the term of the operation is higher than the swap rate, as well as from non-compliance with contractual terms by one of the parties. As of December 2003, the notional amount of interest rate swap contracts in force was approximately US$98.1 million (approximately US$10.8 million at December 31, 2002). These contracts are recorded at fair market value.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Net premiums earned</w:t>
      </w:r>
    </w:p>
    <w:p>
      <w:pPr>
        <w:spacing w:after="0" w:line="23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In the ordinary course of its business PPS, Credicorp’s subsidiary, engages in insurance activities and transfers reinsurance to other insurance companies to share the risk of its insurance contracts and to limit the potential losses arising from significant coverage. PPS is ultimately responsible for the payment of claims to the policyholder if the reinsurer is unable to meet its obligations.</w:t>
      </w:r>
    </w:p>
    <w:p>
      <w:pPr>
        <w:spacing w:after="0" w:line="19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Reinsurance includes shared quotas, excess of loss and facultative reinsurance. Amounts recoverable from reinsurers are estimated on a basis consistent with the associated claim liabilities and are presented as a component of reinsured assets.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Net premiums earned for the three years ended December 31, 2003, 2002 and 2001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5"/>
              </w:rPr>
              <w:t>Percentage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5"/>
              </w:rPr>
              <w:t>Ceded to</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6"/>
              </w:rPr>
              <w:t>Assumed</w:t>
            </w: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amount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4"/>
              </w:rPr>
              <w:t>Gross</w:t>
            </w:r>
          </w:p>
        </w:tc>
        <w:tc>
          <w:tcPr>
            <w:tcW w:w="40" w:type="dxa"/>
            <w:vAlign w:val="bottom"/>
          </w:tcPr>
          <w:p>
            <w:pPr>
              <w:spacing w:after="0"/>
              <w:rPr>
                <w:sz w:val="18"/>
                <w:szCs w:val="18"/>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other</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1"/>
              </w:rPr>
              <w:t>from other</w:t>
            </w:r>
          </w:p>
        </w:tc>
        <w:tc>
          <w:tcPr>
            <w:tcW w:w="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9"/>
              </w:rPr>
              <w:t>Net premiums</w:t>
            </w:r>
          </w:p>
        </w:tc>
        <w:tc>
          <w:tcPr>
            <w:tcW w:w="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4"/>
              </w:rPr>
              <w:t>assumed on net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56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amount</w:t>
            </w:r>
          </w:p>
        </w:tc>
        <w:tc>
          <w:tcPr>
            <w:tcW w:w="40" w:type="dxa"/>
            <w:vAlign w:val="bottom"/>
          </w:tcPr>
          <w:p>
            <w:pPr>
              <w:spacing w:after="0"/>
              <w:rPr>
                <w:sz w:val="19"/>
                <w:szCs w:val="19"/>
                <w:color w:val="auto"/>
              </w:rPr>
            </w:pPr>
          </w:p>
        </w:tc>
        <w:tc>
          <w:tcPr>
            <w:tcW w:w="13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2"/>
              </w:rPr>
              <w:t>companies</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2"/>
              </w:rPr>
              <w:t>companies</w:t>
            </w:r>
          </w:p>
        </w:tc>
        <w:tc>
          <w:tcPr>
            <w:tcW w:w="4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8"/>
              </w:rPr>
              <w:t>earned</w:t>
            </w:r>
          </w:p>
        </w:tc>
        <w:tc>
          <w:tcPr>
            <w:tcW w:w="4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8"/>
              </w:rPr>
              <w:t>premiums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US$(000)</w:t>
            </w:r>
          </w:p>
        </w:tc>
        <w:tc>
          <w:tcPr>
            <w:tcW w:w="40" w:type="dxa"/>
            <w:vAlign w:val="bottom"/>
          </w:tcPr>
          <w:p>
            <w:pPr>
              <w:spacing w:after="0"/>
              <w:rPr>
                <w:sz w:val="21"/>
                <w:szCs w:val="21"/>
                <w:color w:val="auto"/>
              </w:rPr>
            </w:pPr>
          </w:p>
        </w:tc>
        <w:tc>
          <w:tcPr>
            <w:tcW w:w="138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US$(000)</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US$(000)</w:t>
            </w:r>
          </w:p>
        </w:tc>
        <w:tc>
          <w:tcPr>
            <w:tcW w:w="4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US$(000)</w:t>
            </w:r>
          </w:p>
        </w:tc>
        <w:tc>
          <w:tcPr>
            <w:tcW w:w="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4560" w:type="dxa"/>
            <w:vAlign w:val="bottom"/>
          </w:tcPr>
          <w:p>
            <w:pPr>
              <w:ind w:left="40"/>
              <w:spacing w:after="0"/>
              <w:rPr>
                <w:sz w:val="20"/>
                <w:szCs w:val="20"/>
                <w:color w:val="auto"/>
              </w:rPr>
            </w:pPr>
            <w:r>
              <w:rPr>
                <w:rFonts w:ascii="Arial" w:cs="Arial" w:eastAsia="Arial" w:hAnsi="Arial"/>
                <w:sz w:val="18"/>
                <w:szCs w:val="18"/>
                <w:b w:val="1"/>
                <w:bCs w:val="1"/>
                <w:color w:val="auto"/>
              </w:rPr>
              <w:t>As of December 31, 2003</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Life insurance</w:t>
            </w:r>
          </w:p>
        </w:tc>
        <w:tc>
          <w:tcPr>
            <w:tcW w:w="1340" w:type="dxa"/>
            <w:vAlign w:val="bottom"/>
          </w:tcPr>
          <w:p>
            <w:pPr>
              <w:jc w:val="right"/>
              <w:spacing w:after="0"/>
              <w:rPr>
                <w:sz w:val="20"/>
                <w:szCs w:val="20"/>
                <w:color w:val="auto"/>
              </w:rPr>
            </w:pPr>
            <w:r>
              <w:rPr>
                <w:rFonts w:ascii="Arial" w:cs="Arial" w:eastAsia="Arial" w:hAnsi="Arial"/>
                <w:sz w:val="18"/>
                <w:szCs w:val="18"/>
                <w:color w:val="auto"/>
              </w:rPr>
              <w:t>32,340</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(2,482)</w:t>
            </w:r>
          </w:p>
        </w:tc>
        <w:tc>
          <w:tcPr>
            <w:tcW w:w="1340" w:type="dxa"/>
            <w:vAlign w:val="bottom"/>
          </w:tcPr>
          <w:p>
            <w:pPr>
              <w:jc w:val="right"/>
              <w:spacing w:after="0"/>
              <w:rPr>
                <w:sz w:val="20"/>
                <w:szCs w:val="20"/>
                <w:color w:val="auto"/>
              </w:rPr>
            </w:pPr>
            <w:r>
              <w:rPr>
                <w:rFonts w:ascii="Arial" w:cs="Arial" w:eastAsia="Arial" w:hAnsi="Arial"/>
                <w:sz w:val="18"/>
                <w:szCs w:val="18"/>
                <w:color w:val="auto"/>
              </w:rPr>
              <w:t>311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30,169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Accident and health insurance</w:t>
            </w:r>
          </w:p>
        </w:tc>
        <w:tc>
          <w:tcPr>
            <w:tcW w:w="1340" w:type="dxa"/>
            <w:vAlign w:val="bottom"/>
          </w:tcPr>
          <w:p>
            <w:pPr>
              <w:jc w:val="right"/>
              <w:spacing w:after="0"/>
              <w:rPr>
                <w:sz w:val="20"/>
                <w:szCs w:val="20"/>
                <w:color w:val="auto"/>
              </w:rPr>
            </w:pPr>
            <w:r>
              <w:rPr>
                <w:rFonts w:ascii="Arial" w:cs="Arial" w:eastAsia="Arial" w:hAnsi="Arial"/>
                <w:sz w:val="18"/>
                <w:szCs w:val="18"/>
                <w:color w:val="auto"/>
              </w:rPr>
              <w:t>59,531</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(3,718)</w:t>
            </w:r>
          </w:p>
        </w:tc>
        <w:tc>
          <w:tcPr>
            <w:tcW w:w="1340" w:type="dxa"/>
            <w:vAlign w:val="bottom"/>
          </w:tcPr>
          <w:p>
            <w:pPr>
              <w:jc w:val="right"/>
              <w:spacing w:after="0"/>
              <w:rPr>
                <w:sz w:val="20"/>
                <w:szCs w:val="20"/>
                <w:color w:val="auto"/>
              </w:rPr>
            </w:pPr>
            <w:r>
              <w:rPr>
                <w:rFonts w:ascii="Arial" w:cs="Arial" w:eastAsia="Arial" w:hAnsi="Arial"/>
                <w:sz w:val="18"/>
                <w:szCs w:val="18"/>
                <w:color w:val="auto"/>
              </w:rPr>
              <w:t>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55,820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Property and casualty insurance</w:t>
            </w:r>
          </w:p>
        </w:tc>
        <w:tc>
          <w:tcPr>
            <w:tcW w:w="1340" w:type="dxa"/>
            <w:vAlign w:val="bottom"/>
          </w:tcPr>
          <w:p>
            <w:pPr>
              <w:jc w:val="right"/>
              <w:spacing w:after="0"/>
              <w:rPr>
                <w:sz w:val="20"/>
                <w:szCs w:val="20"/>
                <w:color w:val="auto"/>
              </w:rPr>
            </w:pPr>
            <w:r>
              <w:rPr>
                <w:rFonts w:ascii="Arial" w:cs="Arial" w:eastAsia="Arial" w:hAnsi="Arial"/>
                <w:sz w:val="18"/>
                <w:szCs w:val="18"/>
                <w:color w:val="auto"/>
              </w:rPr>
              <w:t>108,045</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(72,270)</w:t>
            </w:r>
          </w:p>
        </w:tc>
        <w:tc>
          <w:tcPr>
            <w:tcW w:w="1340" w:type="dxa"/>
            <w:vAlign w:val="bottom"/>
          </w:tcPr>
          <w:p>
            <w:pPr>
              <w:jc w:val="right"/>
              <w:spacing w:after="0"/>
              <w:rPr>
                <w:sz w:val="20"/>
                <w:szCs w:val="20"/>
                <w:color w:val="auto"/>
              </w:rPr>
            </w:pPr>
            <w:r>
              <w:rPr>
                <w:rFonts w:ascii="Arial" w:cs="Arial" w:eastAsia="Arial" w:hAnsi="Arial"/>
                <w:sz w:val="18"/>
                <w:szCs w:val="18"/>
                <w:color w:val="auto"/>
              </w:rPr>
              <w:t>3,351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39,126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7"/>
        </w:trPr>
        <w:tc>
          <w:tcPr>
            <w:tcW w:w="45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Total premiums</w:t>
            </w: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4560" w:type="dxa"/>
            <w:vAlign w:val="bottom"/>
            <w:vMerge w:val="continue"/>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199,916</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(78,470)</w:t>
            </w:r>
          </w:p>
        </w:tc>
        <w:tc>
          <w:tcPr>
            <w:tcW w:w="1340" w:type="dxa"/>
            <w:vAlign w:val="bottom"/>
          </w:tcPr>
          <w:p>
            <w:pPr>
              <w:jc w:val="right"/>
              <w:spacing w:after="0"/>
              <w:rPr>
                <w:sz w:val="20"/>
                <w:szCs w:val="20"/>
                <w:color w:val="auto"/>
              </w:rPr>
            </w:pPr>
            <w:r>
              <w:rPr>
                <w:rFonts w:ascii="Arial" w:cs="Arial" w:eastAsia="Arial" w:hAnsi="Arial"/>
                <w:sz w:val="18"/>
                <w:szCs w:val="18"/>
                <w:color w:val="auto"/>
              </w:rPr>
              <w:t>3,669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125,115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2.93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45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 of December 31, 2002</w:t>
            </w:r>
          </w:p>
        </w:tc>
        <w:tc>
          <w:tcPr>
            <w:tcW w:w="13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89"/>
        </w:trPr>
        <w:tc>
          <w:tcPr>
            <w:tcW w:w="456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Life insurance</w:t>
            </w:r>
          </w:p>
        </w:tc>
        <w:tc>
          <w:tcPr>
            <w:tcW w:w="1340" w:type="dxa"/>
            <w:vAlign w:val="bottom"/>
          </w:tcPr>
          <w:p>
            <w:pPr>
              <w:jc w:val="right"/>
              <w:spacing w:after="0"/>
              <w:rPr>
                <w:sz w:val="20"/>
                <w:szCs w:val="20"/>
                <w:color w:val="auto"/>
              </w:rPr>
            </w:pPr>
            <w:r>
              <w:rPr>
                <w:rFonts w:ascii="Arial" w:cs="Arial" w:eastAsia="Arial" w:hAnsi="Arial"/>
                <w:sz w:val="18"/>
                <w:szCs w:val="18"/>
                <w:color w:val="auto"/>
              </w:rPr>
              <w:t>36,395</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(2,094)</w:t>
            </w:r>
          </w:p>
        </w:tc>
        <w:tc>
          <w:tcPr>
            <w:tcW w:w="1340" w:type="dxa"/>
            <w:vAlign w:val="bottom"/>
          </w:tcPr>
          <w:p>
            <w:pPr>
              <w:jc w:val="right"/>
              <w:spacing w:after="0"/>
              <w:rPr>
                <w:sz w:val="20"/>
                <w:szCs w:val="20"/>
                <w:color w:val="auto"/>
              </w:rPr>
            </w:pPr>
            <w:r>
              <w:rPr>
                <w:rFonts w:ascii="Arial" w:cs="Arial" w:eastAsia="Arial" w:hAnsi="Arial"/>
                <w:sz w:val="18"/>
                <w:szCs w:val="18"/>
                <w:color w:val="auto"/>
              </w:rPr>
              <w:t>268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34,569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0.77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Accident and health insurance</w:t>
            </w:r>
          </w:p>
        </w:tc>
        <w:tc>
          <w:tcPr>
            <w:tcW w:w="1340" w:type="dxa"/>
            <w:vAlign w:val="bottom"/>
          </w:tcPr>
          <w:p>
            <w:pPr>
              <w:jc w:val="right"/>
              <w:spacing w:after="0"/>
              <w:rPr>
                <w:sz w:val="20"/>
                <w:szCs w:val="20"/>
                <w:color w:val="auto"/>
              </w:rPr>
            </w:pPr>
            <w:r>
              <w:rPr>
                <w:rFonts w:ascii="Arial" w:cs="Arial" w:eastAsia="Arial" w:hAnsi="Arial"/>
                <w:sz w:val="18"/>
                <w:szCs w:val="18"/>
                <w:color w:val="auto"/>
              </w:rPr>
              <w:t>46,461</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(1,682)</w:t>
            </w:r>
          </w:p>
        </w:tc>
        <w:tc>
          <w:tcPr>
            <w:tcW w:w="1340" w:type="dxa"/>
            <w:vAlign w:val="bottom"/>
          </w:tcPr>
          <w:p>
            <w:pPr>
              <w:jc w:val="right"/>
              <w:spacing w:after="0"/>
              <w:rPr>
                <w:sz w:val="20"/>
                <w:szCs w:val="20"/>
                <w:color w:val="auto"/>
              </w:rPr>
            </w:pPr>
            <w:r>
              <w:rPr>
                <w:rFonts w:ascii="Arial" w:cs="Arial" w:eastAsia="Arial" w:hAnsi="Arial"/>
                <w:sz w:val="18"/>
                <w:szCs w:val="18"/>
                <w:color w:val="auto"/>
              </w:rPr>
              <w:t>15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44,794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Property and casualty insurance</w:t>
            </w:r>
          </w:p>
        </w:tc>
        <w:tc>
          <w:tcPr>
            <w:tcW w:w="1340" w:type="dxa"/>
            <w:vAlign w:val="bottom"/>
          </w:tcPr>
          <w:p>
            <w:pPr>
              <w:jc w:val="right"/>
              <w:spacing w:after="0"/>
              <w:rPr>
                <w:sz w:val="20"/>
                <w:szCs w:val="20"/>
                <w:color w:val="auto"/>
              </w:rPr>
            </w:pPr>
            <w:r>
              <w:rPr>
                <w:rFonts w:ascii="Arial" w:cs="Arial" w:eastAsia="Arial" w:hAnsi="Arial"/>
                <w:sz w:val="18"/>
                <w:szCs w:val="18"/>
                <w:color w:val="auto"/>
              </w:rPr>
              <w:t>110,452</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(68,861)</w:t>
            </w:r>
          </w:p>
        </w:tc>
        <w:tc>
          <w:tcPr>
            <w:tcW w:w="1340" w:type="dxa"/>
            <w:vAlign w:val="bottom"/>
          </w:tcPr>
          <w:p>
            <w:pPr>
              <w:jc w:val="right"/>
              <w:spacing w:after="0"/>
              <w:rPr>
                <w:sz w:val="20"/>
                <w:szCs w:val="20"/>
                <w:color w:val="auto"/>
              </w:rPr>
            </w:pPr>
            <w:r>
              <w:rPr>
                <w:rFonts w:ascii="Arial" w:cs="Arial" w:eastAsia="Arial" w:hAnsi="Arial"/>
                <w:sz w:val="18"/>
                <w:szCs w:val="18"/>
                <w:color w:val="auto"/>
              </w:rPr>
              <w:t>4,264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45,855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7"/>
        </w:trPr>
        <w:tc>
          <w:tcPr>
            <w:tcW w:w="45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Total premiums</w:t>
            </w: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4560" w:type="dxa"/>
            <w:vAlign w:val="bottom"/>
            <w:vMerge w:val="continue"/>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193,308</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(72,637)</w:t>
            </w:r>
          </w:p>
        </w:tc>
        <w:tc>
          <w:tcPr>
            <w:tcW w:w="1340" w:type="dxa"/>
            <w:vAlign w:val="bottom"/>
          </w:tcPr>
          <w:p>
            <w:pPr>
              <w:jc w:val="right"/>
              <w:spacing w:after="0"/>
              <w:rPr>
                <w:sz w:val="20"/>
                <w:szCs w:val="20"/>
                <w:color w:val="auto"/>
              </w:rPr>
            </w:pPr>
            <w:r>
              <w:rPr>
                <w:rFonts w:ascii="Arial" w:cs="Arial" w:eastAsia="Arial" w:hAnsi="Arial"/>
                <w:sz w:val="18"/>
                <w:szCs w:val="18"/>
                <w:color w:val="auto"/>
              </w:rPr>
              <w:t>4,547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125,218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3.63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4560" w:type="dxa"/>
            <w:vAlign w:val="bottom"/>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89"/>
        </w:trPr>
        <w:tc>
          <w:tcPr>
            <w:tcW w:w="45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F-46</w:t>
            </w: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5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3731260</wp:posOffset>
            </wp:positionH>
            <wp:positionV relativeFrom="paragraph">
              <wp:posOffset>-2078990</wp:posOffset>
            </wp:positionV>
            <wp:extent cx="34290" cy="34290"/>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-2078990</wp:posOffset>
            </wp:positionV>
            <wp:extent cx="34290" cy="34290"/>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-2078990</wp:posOffset>
            </wp:positionV>
            <wp:extent cx="34290" cy="34290"/>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-2078990</wp:posOffset>
            </wp:positionV>
            <wp:extent cx="34290" cy="34290"/>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-2078990</wp:posOffset>
            </wp:positionV>
            <wp:extent cx="34290" cy="34290"/>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-1736090</wp:posOffset>
            </wp:positionV>
            <wp:extent cx="12700" cy="8890"/>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-1736090</wp:posOffset>
            </wp:positionV>
            <wp:extent cx="12700" cy="8890"/>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-1736090</wp:posOffset>
            </wp:positionV>
            <wp:extent cx="12700" cy="8890"/>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-1736090</wp:posOffset>
            </wp:positionV>
            <wp:extent cx="12700" cy="8890"/>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-1736090</wp:posOffset>
            </wp:positionV>
            <wp:extent cx="12700" cy="8890"/>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-1736090</wp:posOffset>
            </wp:positionV>
            <wp:extent cx="12700" cy="8890"/>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-1736090</wp:posOffset>
            </wp:positionV>
            <wp:extent cx="12700" cy="8890"/>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-1736090</wp:posOffset>
            </wp:positionV>
            <wp:extent cx="12700" cy="8890"/>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-1736090</wp:posOffset>
            </wp:positionV>
            <wp:extent cx="12700" cy="8890"/>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-1736090</wp:posOffset>
            </wp:positionV>
            <wp:extent cx="12700" cy="8890"/>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-809625</wp:posOffset>
            </wp:positionV>
            <wp:extent cx="34290" cy="34290"/>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-809625</wp:posOffset>
            </wp:positionV>
            <wp:extent cx="34290" cy="34290"/>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-809625</wp:posOffset>
            </wp:positionV>
            <wp:extent cx="34290" cy="34290"/>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-809625</wp:posOffset>
            </wp:positionV>
            <wp:extent cx="34290" cy="34290"/>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-809625</wp:posOffset>
            </wp:positionV>
            <wp:extent cx="34290" cy="34290"/>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-466725</wp:posOffset>
            </wp:positionV>
            <wp:extent cx="12700" cy="8890"/>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-466725</wp:posOffset>
            </wp:positionV>
            <wp:extent cx="12700" cy="8890"/>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-466725</wp:posOffset>
            </wp:positionV>
            <wp:extent cx="12700" cy="8890"/>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-466725</wp:posOffset>
            </wp:positionV>
            <wp:extent cx="12700" cy="8890"/>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-466725</wp:posOffset>
            </wp:positionV>
            <wp:extent cx="12700" cy="8890"/>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-466725</wp:posOffset>
            </wp:positionV>
            <wp:extent cx="12700" cy="8890"/>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-466725</wp:posOffset>
            </wp:positionV>
            <wp:extent cx="12700" cy="8890"/>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-466725</wp:posOffset>
            </wp:positionV>
            <wp:extent cx="12700" cy="8890"/>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-466725</wp:posOffset>
            </wp:positionV>
            <wp:extent cx="12700" cy="8890"/>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-466725</wp:posOffset>
            </wp:positionV>
            <wp:extent cx="12700" cy="8890"/>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174" w:name="page175"/>
    <w:bookmarkEnd w:id="174"/>
    <w:tbl>
      <w:tblPr>
        <w:tblLayout w:type="fixed"/>
        <w:tblInd w:w="4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5"/>
              </w:rPr>
              <w:t>Percentage of</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5"/>
              </w:rPr>
              <w:t>Ceded to</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6"/>
              </w:rPr>
              <w:t>Assumed</w:t>
            </w: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amount</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4"/>
              </w:rPr>
              <w:t>Gross</w:t>
            </w:r>
          </w:p>
        </w:tc>
        <w:tc>
          <w:tcPr>
            <w:tcW w:w="40" w:type="dxa"/>
            <w:vAlign w:val="bottom"/>
          </w:tcPr>
          <w:p>
            <w:pPr>
              <w:spacing w:after="0"/>
              <w:rPr>
                <w:sz w:val="18"/>
                <w:szCs w:val="18"/>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other</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1"/>
              </w:rPr>
              <w:t>from other</w:t>
            </w:r>
          </w:p>
        </w:tc>
        <w:tc>
          <w:tcPr>
            <w:tcW w:w="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9"/>
              </w:rPr>
              <w:t>Net premiums</w:t>
            </w:r>
          </w:p>
        </w:tc>
        <w:tc>
          <w:tcPr>
            <w:tcW w:w="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4"/>
              </w:rPr>
              <w:t>assumed on net</w:t>
            </w:r>
          </w:p>
        </w:tc>
        <w:tc>
          <w:tcPr>
            <w:tcW w:w="0" w:type="dxa"/>
            <w:vAlign w:val="bottom"/>
          </w:tcPr>
          <w:p>
            <w:pPr>
              <w:spacing w:after="0"/>
              <w:rPr>
                <w:sz w:val="1"/>
                <w:szCs w:val="1"/>
                <w:color w:val="auto"/>
              </w:rPr>
            </w:pPr>
          </w:p>
        </w:tc>
      </w:tr>
      <w:tr>
        <w:trPr>
          <w:trHeight w:val="228"/>
        </w:trPr>
        <w:tc>
          <w:tcPr>
            <w:tcW w:w="452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amount</w:t>
            </w:r>
          </w:p>
        </w:tc>
        <w:tc>
          <w:tcPr>
            <w:tcW w:w="40" w:type="dxa"/>
            <w:vAlign w:val="bottom"/>
          </w:tcPr>
          <w:p>
            <w:pPr>
              <w:spacing w:after="0"/>
              <w:rPr>
                <w:sz w:val="19"/>
                <w:szCs w:val="19"/>
                <w:color w:val="auto"/>
              </w:rPr>
            </w:pPr>
          </w:p>
        </w:tc>
        <w:tc>
          <w:tcPr>
            <w:tcW w:w="13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2"/>
              </w:rPr>
              <w:t>companies</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2"/>
              </w:rPr>
              <w:t>companies</w:t>
            </w:r>
          </w:p>
        </w:tc>
        <w:tc>
          <w:tcPr>
            <w:tcW w:w="4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8"/>
              </w:rPr>
              <w:t>earned</w:t>
            </w:r>
          </w:p>
        </w:tc>
        <w:tc>
          <w:tcPr>
            <w:tcW w:w="4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8"/>
              </w:rPr>
              <w:t>premiums</w:t>
            </w:r>
          </w:p>
        </w:tc>
        <w:tc>
          <w:tcPr>
            <w:tcW w:w="0" w:type="dxa"/>
            <w:vAlign w:val="bottom"/>
          </w:tcPr>
          <w:p>
            <w:pPr>
              <w:spacing w:after="0"/>
              <w:rPr>
                <w:sz w:val="1"/>
                <w:szCs w:val="1"/>
                <w:color w:val="auto"/>
              </w:rPr>
            </w:pPr>
          </w:p>
        </w:tc>
      </w:tr>
      <w:tr>
        <w:trPr>
          <w:trHeight w:val="243"/>
        </w:trPr>
        <w:tc>
          <w:tcPr>
            <w:tcW w:w="452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US$(000)</w:t>
            </w:r>
          </w:p>
        </w:tc>
        <w:tc>
          <w:tcPr>
            <w:tcW w:w="40" w:type="dxa"/>
            <w:vAlign w:val="bottom"/>
          </w:tcPr>
          <w:p>
            <w:pPr>
              <w:spacing w:after="0"/>
              <w:rPr>
                <w:sz w:val="21"/>
                <w:szCs w:val="21"/>
                <w:color w:val="auto"/>
              </w:rPr>
            </w:pPr>
          </w:p>
        </w:tc>
        <w:tc>
          <w:tcPr>
            <w:tcW w:w="138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US$(000)</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US$(000)</w:t>
            </w:r>
          </w:p>
        </w:tc>
        <w:tc>
          <w:tcPr>
            <w:tcW w:w="4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US$(000)</w:t>
            </w:r>
          </w:p>
        </w:tc>
        <w:tc>
          <w:tcPr>
            <w:tcW w:w="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4520" w:type="dxa"/>
            <w:vAlign w:val="bottom"/>
          </w:tcPr>
          <w:p>
            <w:pPr>
              <w:spacing w:after="0"/>
              <w:rPr>
                <w:sz w:val="20"/>
                <w:szCs w:val="20"/>
                <w:color w:val="auto"/>
              </w:rPr>
            </w:pPr>
            <w:r>
              <w:rPr>
                <w:rFonts w:ascii="Arial" w:cs="Arial" w:eastAsia="Arial" w:hAnsi="Arial"/>
                <w:sz w:val="18"/>
                <w:szCs w:val="18"/>
                <w:b w:val="1"/>
                <w:bCs w:val="1"/>
                <w:color w:val="auto"/>
              </w:rPr>
              <w:t>As of December 31, 2001</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Life insurance</w:t>
            </w:r>
          </w:p>
        </w:tc>
        <w:tc>
          <w:tcPr>
            <w:tcW w:w="1340" w:type="dxa"/>
            <w:vAlign w:val="bottom"/>
          </w:tcPr>
          <w:p>
            <w:pPr>
              <w:jc w:val="right"/>
              <w:spacing w:after="0"/>
              <w:rPr>
                <w:sz w:val="20"/>
                <w:szCs w:val="20"/>
                <w:color w:val="auto"/>
              </w:rPr>
            </w:pPr>
            <w:r>
              <w:rPr>
                <w:rFonts w:ascii="Arial" w:cs="Arial" w:eastAsia="Arial" w:hAnsi="Arial"/>
                <w:sz w:val="18"/>
                <w:szCs w:val="18"/>
                <w:color w:val="auto"/>
              </w:rPr>
              <w:t>33,083</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(2,532)</w:t>
            </w:r>
          </w:p>
        </w:tc>
        <w:tc>
          <w:tcPr>
            <w:tcW w:w="1340" w:type="dxa"/>
            <w:vAlign w:val="bottom"/>
          </w:tcPr>
          <w:p>
            <w:pPr>
              <w:jc w:val="right"/>
              <w:spacing w:after="0"/>
              <w:rPr>
                <w:sz w:val="20"/>
                <w:szCs w:val="20"/>
                <w:color w:val="auto"/>
              </w:rPr>
            </w:pPr>
            <w:r>
              <w:rPr>
                <w:rFonts w:ascii="Arial" w:cs="Arial" w:eastAsia="Arial" w:hAnsi="Arial"/>
                <w:sz w:val="18"/>
                <w:szCs w:val="18"/>
                <w:color w:val="auto"/>
              </w:rPr>
              <w:t>452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31,003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Accident and health insurance</w:t>
            </w:r>
          </w:p>
        </w:tc>
        <w:tc>
          <w:tcPr>
            <w:tcW w:w="1340" w:type="dxa"/>
            <w:vAlign w:val="bottom"/>
          </w:tcPr>
          <w:p>
            <w:pPr>
              <w:jc w:val="right"/>
              <w:spacing w:after="0"/>
              <w:rPr>
                <w:sz w:val="20"/>
                <w:szCs w:val="20"/>
                <w:color w:val="auto"/>
              </w:rPr>
            </w:pPr>
            <w:r>
              <w:rPr>
                <w:rFonts w:ascii="Arial" w:cs="Arial" w:eastAsia="Arial" w:hAnsi="Arial"/>
                <w:sz w:val="18"/>
                <w:szCs w:val="18"/>
                <w:color w:val="auto"/>
              </w:rPr>
              <w:t>41,097</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(1,258)</w:t>
            </w:r>
          </w:p>
        </w:tc>
        <w:tc>
          <w:tcPr>
            <w:tcW w:w="1340" w:type="dxa"/>
            <w:vAlign w:val="bottom"/>
          </w:tcPr>
          <w:p>
            <w:pPr>
              <w:jc w:val="right"/>
              <w:spacing w:after="0"/>
              <w:rPr>
                <w:sz w:val="20"/>
                <w:szCs w:val="20"/>
                <w:color w:val="auto"/>
              </w:rPr>
            </w:pPr>
            <w:r>
              <w:rPr>
                <w:rFonts w:ascii="Arial" w:cs="Arial" w:eastAsia="Arial" w:hAnsi="Arial"/>
                <w:sz w:val="18"/>
                <w:szCs w:val="18"/>
                <w:color w:val="auto"/>
              </w:rPr>
              <w:t>12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39,851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Property and casualty insurance</w:t>
            </w:r>
          </w:p>
        </w:tc>
        <w:tc>
          <w:tcPr>
            <w:tcW w:w="1340" w:type="dxa"/>
            <w:vAlign w:val="bottom"/>
          </w:tcPr>
          <w:p>
            <w:pPr>
              <w:jc w:val="right"/>
              <w:spacing w:after="0"/>
              <w:rPr>
                <w:sz w:val="20"/>
                <w:szCs w:val="20"/>
                <w:color w:val="auto"/>
              </w:rPr>
            </w:pPr>
            <w:r>
              <w:rPr>
                <w:rFonts w:ascii="Arial" w:cs="Arial" w:eastAsia="Arial" w:hAnsi="Arial"/>
                <w:sz w:val="18"/>
                <w:szCs w:val="18"/>
                <w:color w:val="auto"/>
              </w:rPr>
              <w:t>89,688</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(49,955)</w:t>
            </w:r>
          </w:p>
        </w:tc>
        <w:tc>
          <w:tcPr>
            <w:tcW w:w="1340" w:type="dxa"/>
            <w:vAlign w:val="bottom"/>
          </w:tcPr>
          <w:p>
            <w:pPr>
              <w:jc w:val="right"/>
              <w:spacing w:after="0"/>
              <w:rPr>
                <w:sz w:val="20"/>
                <w:szCs w:val="20"/>
                <w:color w:val="auto"/>
              </w:rPr>
            </w:pPr>
            <w:r>
              <w:rPr>
                <w:rFonts w:ascii="Arial" w:cs="Arial" w:eastAsia="Arial" w:hAnsi="Arial"/>
                <w:sz w:val="18"/>
                <w:szCs w:val="18"/>
                <w:color w:val="auto"/>
              </w:rPr>
              <w:t>1,617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41,350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137"/>
        </w:trPr>
        <w:tc>
          <w:tcPr>
            <w:tcW w:w="4520" w:type="dxa"/>
            <w:vAlign w:val="bottom"/>
            <w:vMerge w:val="restart"/>
          </w:tcPr>
          <w:p>
            <w:pPr>
              <w:spacing w:after="0"/>
              <w:rPr>
                <w:sz w:val="20"/>
                <w:szCs w:val="20"/>
                <w:color w:val="auto"/>
              </w:rPr>
            </w:pPr>
            <w:r>
              <w:rPr>
                <w:rFonts w:ascii="Arial" w:cs="Arial" w:eastAsia="Arial" w:hAnsi="Arial"/>
                <w:sz w:val="18"/>
                <w:szCs w:val="18"/>
                <w:b w:val="1"/>
                <w:bCs w:val="1"/>
                <w:color w:val="auto"/>
              </w:rPr>
              <w:t>Total premiums</w:t>
            </w: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4520" w:type="dxa"/>
            <w:vAlign w:val="bottom"/>
            <w:vMerge w:val="continue"/>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163,868</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(53,745)</w:t>
            </w:r>
          </w:p>
        </w:tc>
        <w:tc>
          <w:tcPr>
            <w:tcW w:w="1340" w:type="dxa"/>
            <w:vAlign w:val="bottom"/>
          </w:tcPr>
          <w:p>
            <w:pPr>
              <w:jc w:val="right"/>
              <w:spacing w:after="0"/>
              <w:rPr>
                <w:sz w:val="20"/>
                <w:szCs w:val="20"/>
                <w:color w:val="auto"/>
              </w:rPr>
            </w:pPr>
            <w:r>
              <w:rPr>
                <w:rFonts w:ascii="Arial" w:cs="Arial" w:eastAsia="Arial" w:hAnsi="Arial"/>
                <w:sz w:val="18"/>
                <w:szCs w:val="18"/>
                <w:color w:val="auto"/>
              </w:rPr>
              <w:t>2,081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112,204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147"/>
        </w:trPr>
        <w:tc>
          <w:tcPr>
            <w:tcW w:w="4520" w:type="dxa"/>
            <w:vAlign w:val="bottom"/>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3731260</wp:posOffset>
            </wp:positionH>
            <wp:positionV relativeFrom="paragraph">
              <wp:posOffset>-356870</wp:posOffset>
            </wp:positionV>
            <wp:extent cx="34290" cy="34290"/>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-356870</wp:posOffset>
            </wp:positionV>
            <wp:extent cx="34290" cy="34290"/>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-356870</wp:posOffset>
            </wp:positionV>
            <wp:extent cx="34290" cy="34290"/>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-356870</wp:posOffset>
            </wp:positionV>
            <wp:extent cx="34290" cy="34290"/>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-356870</wp:posOffset>
            </wp:positionV>
            <wp:extent cx="34290" cy="34290"/>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-14605</wp:posOffset>
            </wp:positionV>
            <wp:extent cx="12700" cy="8890"/>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-14605</wp:posOffset>
            </wp:positionV>
            <wp:extent cx="12700" cy="8890"/>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-14605</wp:posOffset>
            </wp:positionV>
            <wp:extent cx="12700" cy="8890"/>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-14605</wp:posOffset>
            </wp:positionV>
            <wp:extent cx="12700" cy="8890"/>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-14605</wp:posOffset>
            </wp:positionV>
            <wp:extent cx="12700" cy="8890"/>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-14605</wp:posOffset>
            </wp:positionV>
            <wp:extent cx="12700" cy="8890"/>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-14605</wp:posOffset>
            </wp:positionV>
            <wp:extent cx="12700" cy="8890"/>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-14605</wp:posOffset>
            </wp:positionV>
            <wp:extent cx="12700" cy="8890"/>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-14605</wp:posOffset>
            </wp:positionV>
            <wp:extent cx="12700" cy="8890"/>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-14605</wp:posOffset>
            </wp:positionV>
            <wp:extent cx="12700" cy="8890"/>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60" w:type="dxa"/>
            <w:vAlign w:val="bottom"/>
          </w:tcPr>
          <w:p>
            <w:pPr>
              <w:spacing w:after="0"/>
              <w:rPr>
                <w:sz w:val="20"/>
                <w:szCs w:val="20"/>
                <w:color w:val="auto"/>
              </w:rPr>
            </w:pPr>
            <w:r>
              <w:rPr>
                <w:rFonts w:ascii="Arial" w:cs="Arial" w:eastAsia="Arial" w:hAnsi="Arial"/>
                <w:sz w:val="18"/>
                <w:szCs w:val="18"/>
                <w:b w:val="1"/>
                <w:bCs w:val="1"/>
                <w:color w:val="auto"/>
              </w:rPr>
              <w:t>19. Other income and expenses</w:t>
            </w:r>
          </w:p>
        </w:tc>
        <w:tc>
          <w:tcPr>
            <w:tcW w:w="15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760" w:type="dxa"/>
            <w:vAlign w:val="bottom"/>
          </w:tcPr>
          <w:p>
            <w:pPr>
              <w:spacing w:after="0"/>
              <w:rPr>
                <w:sz w:val="20"/>
                <w:szCs w:val="20"/>
                <w:color w:val="auto"/>
              </w:rPr>
            </w:pPr>
            <w:r>
              <w:rPr>
                <w:rFonts w:ascii="Arial" w:cs="Arial" w:eastAsia="Arial" w:hAnsi="Arial"/>
                <w:sz w:val="18"/>
                <w:szCs w:val="18"/>
                <w:color w:val="auto"/>
              </w:rPr>
              <w:t>This item is made up as follows:</w:t>
            </w:r>
          </w:p>
        </w:tc>
        <w:tc>
          <w:tcPr>
            <w:tcW w:w="15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760" w:type="dxa"/>
            <w:vAlign w:val="bottom"/>
          </w:tcPr>
          <w:p>
            <w:pPr>
              <w:spacing w:after="0"/>
              <w:rPr>
                <w:sz w:val="24"/>
                <w:szCs w:val="24"/>
                <w:color w:val="auto"/>
              </w:rPr>
            </w:pPr>
          </w:p>
        </w:tc>
        <w:tc>
          <w:tcPr>
            <w:tcW w:w="3200" w:type="dxa"/>
            <w:vAlign w:val="bottom"/>
            <w:gridSpan w:val="2"/>
          </w:tcPr>
          <w:p>
            <w:pPr>
              <w:jc w:val="right"/>
              <w:ind w:right="592"/>
              <w:spacing w:after="0"/>
              <w:rPr>
                <w:sz w:val="20"/>
                <w:szCs w:val="20"/>
                <w:color w:val="auto"/>
              </w:rPr>
            </w:pPr>
            <w:r>
              <w:rPr>
                <w:rFonts w:ascii="Arial" w:cs="Arial" w:eastAsia="Arial" w:hAnsi="Arial"/>
                <w:sz w:val="18"/>
                <w:szCs w:val="18"/>
                <w:b w:val="1"/>
                <w:bCs w:val="1"/>
                <w:color w:val="auto"/>
              </w:rPr>
              <w:t>2003</w:t>
            </w:r>
          </w:p>
        </w:tc>
        <w:tc>
          <w:tcPr>
            <w:tcW w:w="1720" w:type="dxa"/>
            <w:vAlign w:val="bottom"/>
            <w:gridSpan w:val="2"/>
          </w:tcPr>
          <w:p>
            <w:pPr>
              <w:jc w:val="right"/>
              <w:ind w:right="612"/>
              <w:spacing w:after="0"/>
              <w:rPr>
                <w:sz w:val="20"/>
                <w:szCs w:val="20"/>
                <w:color w:val="auto"/>
              </w:rPr>
            </w:pPr>
            <w:r>
              <w:rPr>
                <w:rFonts w:ascii="Arial" w:cs="Arial" w:eastAsia="Arial" w:hAnsi="Arial"/>
                <w:sz w:val="18"/>
                <w:szCs w:val="18"/>
                <w:b w:val="1"/>
                <w:bCs w:val="1"/>
                <w:color w:val="auto"/>
              </w:rPr>
              <w:t>2002</w:t>
            </w:r>
          </w:p>
        </w:tc>
        <w:tc>
          <w:tcPr>
            <w:tcW w:w="1720" w:type="dxa"/>
            <w:vAlign w:val="bottom"/>
            <w:gridSpan w:val="2"/>
          </w:tcPr>
          <w:p>
            <w:pPr>
              <w:jc w:val="right"/>
              <w:ind w:right="612"/>
              <w:spacing w:after="0"/>
              <w:rPr>
                <w:sz w:val="20"/>
                <w:szCs w:val="20"/>
                <w:color w:val="auto"/>
              </w:rPr>
            </w:pPr>
            <w:r>
              <w:rPr>
                <w:rFonts w:ascii="Arial" w:cs="Arial" w:eastAsia="Arial" w:hAnsi="Arial"/>
                <w:sz w:val="18"/>
                <w:szCs w:val="18"/>
                <w:b w:val="1"/>
                <w:bCs w:val="1"/>
                <w:color w:val="auto"/>
              </w:rPr>
              <w:t>2001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680" w:type="dxa"/>
            <w:vAlign w:val="bottom"/>
          </w:tcPr>
          <w:p>
            <w:pPr>
              <w:jc w:val="right"/>
              <w:ind w:right="412"/>
              <w:spacing w:after="0"/>
              <w:rPr>
                <w:sz w:val="20"/>
                <w:szCs w:val="20"/>
                <w:color w:val="auto"/>
              </w:rPr>
            </w:pPr>
            <w:r>
              <w:rPr>
                <w:rFonts w:ascii="Arial" w:cs="Arial" w:eastAsia="Arial" w:hAnsi="Arial"/>
                <w:sz w:val="18"/>
                <w:szCs w:val="18"/>
                <w:color w:val="auto"/>
              </w:rPr>
              <w:t>US$(000)</w:t>
            </w:r>
          </w:p>
        </w:tc>
        <w:tc>
          <w:tcPr>
            <w:tcW w:w="20" w:type="dxa"/>
            <w:vAlign w:val="bottom"/>
          </w:tcPr>
          <w:p>
            <w:pPr>
              <w:spacing w:after="0"/>
              <w:rPr>
                <w:sz w:val="21"/>
                <w:szCs w:val="21"/>
                <w:color w:val="auto"/>
              </w:rPr>
            </w:pPr>
          </w:p>
        </w:tc>
        <w:tc>
          <w:tcPr>
            <w:tcW w:w="1700" w:type="dxa"/>
            <w:vAlign w:val="bottom"/>
          </w:tcPr>
          <w:p>
            <w:pPr>
              <w:jc w:val="right"/>
              <w:ind w:right="412"/>
              <w:spacing w:after="0"/>
              <w:rPr>
                <w:sz w:val="20"/>
                <w:szCs w:val="20"/>
                <w:color w:val="auto"/>
              </w:rPr>
            </w:pPr>
            <w:r>
              <w:rPr>
                <w:rFonts w:ascii="Arial" w:cs="Arial" w:eastAsia="Arial" w:hAnsi="Arial"/>
                <w:sz w:val="18"/>
                <w:szCs w:val="18"/>
                <w:color w:val="auto"/>
              </w:rPr>
              <w:t>US$(000)</w:t>
            </w:r>
          </w:p>
        </w:tc>
        <w:tc>
          <w:tcPr>
            <w:tcW w:w="20" w:type="dxa"/>
            <w:vAlign w:val="bottom"/>
          </w:tcPr>
          <w:p>
            <w:pPr>
              <w:spacing w:after="0"/>
              <w:rPr>
                <w:sz w:val="21"/>
                <w:szCs w:val="21"/>
                <w:color w:val="auto"/>
              </w:rPr>
            </w:pPr>
          </w:p>
        </w:tc>
        <w:tc>
          <w:tcPr>
            <w:tcW w:w="1700" w:type="dxa"/>
            <w:vAlign w:val="bottom"/>
          </w:tcPr>
          <w:p>
            <w:pPr>
              <w:jc w:val="right"/>
              <w:ind w:right="412"/>
              <w:spacing w:after="0"/>
              <w:rPr>
                <w:sz w:val="20"/>
                <w:szCs w:val="20"/>
                <w:color w:val="auto"/>
              </w:rPr>
            </w:pPr>
            <w:r>
              <w:rPr>
                <w:rFonts w:ascii="Arial" w:cs="Arial" w:eastAsia="Arial" w:hAnsi="Arial"/>
                <w:sz w:val="18"/>
                <w:szCs w:val="18"/>
                <w:color w:val="auto"/>
              </w:rPr>
              <w:t>US$(000)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b w:val="1"/>
                <w:bCs w:val="1"/>
                <w:color w:val="auto"/>
              </w:rPr>
              <w:t>Other income</w:t>
            </w:r>
          </w:p>
        </w:tc>
        <w:tc>
          <w:tcPr>
            <w:tcW w:w="15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Recoveries of other accounts receivable and other assets</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4,801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5,213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5,307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Real estate rental income</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2,436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687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877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Recoveries of provisions for sundry risks</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3,818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4,337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Income from the sale of assets seized</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551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146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2,142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Other</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11,621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1,268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4,204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7"/>
        </w:trPr>
        <w:tc>
          <w:tcPr>
            <w:tcW w:w="47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Total other income</w:t>
            </w:r>
          </w:p>
        </w:tc>
        <w:tc>
          <w:tcPr>
            <w:tcW w:w="152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99"/>
        </w:trPr>
        <w:tc>
          <w:tcPr>
            <w:tcW w:w="4760" w:type="dxa"/>
            <w:vAlign w:val="bottom"/>
            <w:vMerge w:val="continue"/>
          </w:tcPr>
          <w:p>
            <w:pPr>
              <w:spacing w:after="0"/>
              <w:rPr>
                <w:sz w:val="24"/>
                <w:szCs w:val="24"/>
                <w:color w:val="auto"/>
              </w:rPr>
            </w:pP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23,227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11,651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12,530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47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Other expenses</w:t>
            </w:r>
          </w:p>
        </w:tc>
        <w:tc>
          <w:tcPr>
            <w:tcW w:w="1520" w:type="dxa"/>
            <w:vAlign w:val="bottom"/>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89"/>
        </w:trPr>
        <w:tc>
          <w:tcPr>
            <w:tcW w:w="476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Commissions</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13,468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10,449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10,537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Provision for sundry risks, note 10(e)</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2,022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4,649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13,317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Provisions for other operational expenses</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1,639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1,907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3,392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Provisions for other account receivables</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4,944</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5,033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5,862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Other</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5,673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5,713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1,511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7"/>
        </w:trPr>
        <w:tc>
          <w:tcPr>
            <w:tcW w:w="47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Total other expenses</w:t>
            </w:r>
          </w:p>
        </w:tc>
        <w:tc>
          <w:tcPr>
            <w:tcW w:w="152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99"/>
        </w:trPr>
        <w:tc>
          <w:tcPr>
            <w:tcW w:w="4760" w:type="dxa"/>
            <w:vAlign w:val="bottom"/>
            <w:vMerge w:val="continue"/>
          </w:tcPr>
          <w:p>
            <w:pPr>
              <w:spacing w:after="0"/>
              <w:rPr>
                <w:sz w:val="24"/>
                <w:szCs w:val="24"/>
                <w:color w:val="auto"/>
              </w:rPr>
            </w:pP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27,746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27,751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34,619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47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89"/>
        </w:trPr>
        <w:tc>
          <w:tcPr>
            <w:tcW w:w="4760" w:type="dxa"/>
            <w:vAlign w:val="bottom"/>
          </w:tcPr>
          <w:p>
            <w:pPr>
              <w:spacing w:after="0"/>
              <w:rPr>
                <w:sz w:val="24"/>
                <w:szCs w:val="24"/>
                <w:color w:val="auto"/>
              </w:rPr>
            </w:pPr>
          </w:p>
        </w:tc>
        <w:tc>
          <w:tcPr>
            <w:tcW w:w="3200" w:type="dxa"/>
            <w:vAlign w:val="bottom"/>
            <w:gridSpan w:val="2"/>
          </w:tcPr>
          <w:p>
            <w:pPr>
              <w:jc w:val="right"/>
              <w:ind w:right="1992"/>
              <w:spacing w:after="0"/>
              <w:rPr>
                <w:sz w:val="20"/>
                <w:szCs w:val="20"/>
                <w:color w:val="auto"/>
              </w:rPr>
            </w:pPr>
            <w:r>
              <w:rPr>
                <w:rFonts w:ascii="Arial" w:cs="Arial" w:eastAsia="Arial" w:hAnsi="Arial"/>
                <w:sz w:val="18"/>
                <w:szCs w:val="18"/>
                <w:color w:val="auto"/>
              </w:rPr>
              <w:t>F-47</w:t>
            </w: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76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5034915</wp:posOffset>
            </wp:positionH>
            <wp:positionV relativeFrom="paragraph">
              <wp:posOffset>-2696210</wp:posOffset>
            </wp:positionV>
            <wp:extent cx="34290" cy="34290"/>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-2696210</wp:posOffset>
            </wp:positionV>
            <wp:extent cx="34290" cy="34290"/>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-2696210</wp:posOffset>
            </wp:positionV>
            <wp:extent cx="34290" cy="34290"/>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-2199005</wp:posOffset>
            </wp:positionV>
            <wp:extent cx="12700" cy="8890"/>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-2199005</wp:posOffset>
            </wp:positionV>
            <wp:extent cx="12700" cy="8890"/>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-2199005</wp:posOffset>
            </wp:positionV>
            <wp:extent cx="12700" cy="8890"/>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-2199005</wp:posOffset>
            </wp:positionV>
            <wp:extent cx="12700" cy="8890"/>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-2199005</wp:posOffset>
            </wp:positionV>
            <wp:extent cx="12700" cy="8890"/>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-2199005</wp:posOffset>
            </wp:positionV>
            <wp:extent cx="12700" cy="8890"/>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-963930</wp:posOffset>
            </wp:positionV>
            <wp:extent cx="34290" cy="34290"/>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-963930</wp:posOffset>
            </wp:positionV>
            <wp:extent cx="34290" cy="34290"/>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-963930</wp:posOffset>
            </wp:positionV>
            <wp:extent cx="34290" cy="34290"/>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-466725</wp:posOffset>
            </wp:positionV>
            <wp:extent cx="12700" cy="8890"/>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-466725</wp:posOffset>
            </wp:positionV>
            <wp:extent cx="12700" cy="8890"/>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-466725</wp:posOffset>
            </wp:positionV>
            <wp:extent cx="12700" cy="8890"/>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-466725</wp:posOffset>
            </wp:positionV>
            <wp:extent cx="12700" cy="8890"/>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-466725</wp:posOffset>
            </wp:positionV>
            <wp:extent cx="12700" cy="8890"/>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-466725</wp:posOffset>
            </wp:positionV>
            <wp:extent cx="12700" cy="8890"/>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75" w:name="page176"/>
    <w:bookmarkEnd w:id="175"/>
    <w:tbl>
      <w:tblPr>
        <w:tblLayout w:type="fixed"/>
        <w:tblInd w:w="0" w:type="dxa"/>
        <w:tblCellMar>
          <w:top w:w="0" w:type="dxa"/>
          <w:left w:w="0" w:type="dxa"/>
          <w:bottom w:w="0" w:type="dxa"/>
          <w:right w:w="0" w:type="dxa"/>
        </w:tblCellMar>
      </w:tblPr>
      <w:tr>
        <w:trPr>
          <w:trHeight w:val="228"/>
        </w:trPr>
        <w:tc>
          <w:tcPr>
            <w:tcW w:w="6280" w:type="dxa"/>
            <w:vAlign w:val="bottom"/>
          </w:tcPr>
          <w:p>
            <w:pPr>
              <w:spacing w:after="0"/>
              <w:rPr>
                <w:sz w:val="20"/>
                <w:szCs w:val="20"/>
                <w:color w:val="auto"/>
              </w:rPr>
            </w:pPr>
            <w:r>
              <w:rPr>
                <w:rFonts w:ascii="Arial" w:cs="Arial" w:eastAsia="Arial" w:hAnsi="Arial"/>
                <w:sz w:val="18"/>
                <w:szCs w:val="18"/>
                <w:b w:val="1"/>
                <w:bCs w:val="1"/>
                <w:color w:val="auto"/>
              </w:rPr>
              <w:t>20. Earnings per share</w:t>
            </w: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280" w:type="dxa"/>
            <w:vAlign w:val="bottom"/>
          </w:tcPr>
          <w:p>
            <w:pPr>
              <w:spacing w:after="0"/>
              <w:rPr>
                <w:sz w:val="20"/>
                <w:szCs w:val="20"/>
                <w:color w:val="auto"/>
              </w:rPr>
            </w:pPr>
            <w:r>
              <w:rPr>
                <w:rFonts w:ascii="Arial" w:cs="Arial" w:eastAsia="Arial" w:hAnsi="Arial"/>
                <w:sz w:val="18"/>
                <w:szCs w:val="18"/>
                <w:color w:val="auto"/>
              </w:rPr>
              <w:t>The earnings per common share have been determined as follows:</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280" w:type="dxa"/>
            <w:vAlign w:val="bottom"/>
          </w:tcPr>
          <w:p>
            <w:pPr>
              <w:spacing w:after="0"/>
              <w:rPr>
                <w:sz w:val="24"/>
                <w:szCs w:val="24"/>
                <w:color w:val="auto"/>
              </w:rPr>
            </w:pPr>
          </w:p>
        </w:tc>
        <w:tc>
          <w:tcPr>
            <w:tcW w:w="1680" w:type="dxa"/>
            <w:vAlign w:val="bottom"/>
          </w:tcPr>
          <w:p>
            <w:pPr>
              <w:jc w:val="right"/>
              <w:ind w:right="592"/>
              <w:spacing w:after="0"/>
              <w:rPr>
                <w:sz w:val="20"/>
                <w:szCs w:val="20"/>
                <w:color w:val="auto"/>
              </w:rPr>
            </w:pPr>
            <w:r>
              <w:rPr>
                <w:rFonts w:ascii="Arial" w:cs="Arial" w:eastAsia="Arial" w:hAnsi="Arial"/>
                <w:sz w:val="18"/>
                <w:szCs w:val="18"/>
                <w:b w:val="1"/>
                <w:bCs w:val="1"/>
                <w:color w:val="auto"/>
              </w:rPr>
              <w:t>2003</w:t>
            </w:r>
          </w:p>
        </w:tc>
        <w:tc>
          <w:tcPr>
            <w:tcW w:w="17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2002</w:t>
            </w:r>
          </w:p>
        </w:tc>
        <w:tc>
          <w:tcPr>
            <w:tcW w:w="20" w:type="dxa"/>
            <w:vAlign w:val="bottom"/>
          </w:tcPr>
          <w:p>
            <w:pPr>
              <w:spacing w:after="0"/>
              <w:rPr>
                <w:sz w:val="24"/>
                <w:szCs w:val="24"/>
                <w:color w:val="auto"/>
              </w:rPr>
            </w:pPr>
          </w:p>
        </w:tc>
        <w:tc>
          <w:tcPr>
            <w:tcW w:w="1700" w:type="dxa"/>
            <w:vAlign w:val="bottom"/>
          </w:tcPr>
          <w:p>
            <w:pPr>
              <w:jc w:val="right"/>
              <w:ind w:right="612"/>
              <w:spacing w:after="0"/>
              <w:rPr>
                <w:sz w:val="20"/>
                <w:szCs w:val="20"/>
                <w:color w:val="auto"/>
              </w:rPr>
            </w:pPr>
            <w:r>
              <w:rPr>
                <w:rFonts w:ascii="Arial" w:cs="Arial" w:eastAsia="Arial" w:hAnsi="Arial"/>
                <w:sz w:val="18"/>
                <w:szCs w:val="18"/>
                <w:b w:val="1"/>
                <w:bCs w:val="1"/>
                <w:color w:val="auto"/>
              </w:rPr>
              <w:t>2001</w:t>
            </w:r>
          </w:p>
        </w:tc>
        <w:tc>
          <w:tcPr>
            <w:tcW w:w="0" w:type="dxa"/>
            <w:vAlign w:val="bottom"/>
          </w:tcPr>
          <w:p>
            <w:pPr>
              <w:spacing w:after="0"/>
              <w:rPr>
                <w:sz w:val="1"/>
                <w:szCs w:val="1"/>
                <w:color w:val="auto"/>
              </w:rPr>
            </w:pPr>
          </w:p>
        </w:tc>
      </w:tr>
      <w:tr>
        <w:trPr>
          <w:trHeight w:val="486"/>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Number of outstanding shares:</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Common shares, note 14(a)</w:t>
            </w:r>
          </w:p>
        </w:tc>
        <w:tc>
          <w:tcPr>
            <w:tcW w:w="1680" w:type="dxa"/>
            <w:vAlign w:val="bottom"/>
          </w:tcPr>
          <w:p>
            <w:pPr>
              <w:jc w:val="right"/>
              <w:spacing w:after="0"/>
              <w:rPr>
                <w:sz w:val="20"/>
                <w:szCs w:val="20"/>
                <w:color w:val="auto"/>
              </w:rPr>
            </w:pPr>
            <w:r>
              <w:rPr>
                <w:rFonts w:ascii="Arial" w:cs="Arial" w:eastAsia="Arial" w:hAnsi="Arial"/>
                <w:sz w:val="18"/>
                <w:szCs w:val="18"/>
                <w:color w:val="auto"/>
              </w:rPr>
              <w:t>94,382,317</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94,382,317</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94,382,317</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Less: treasury shares</w:t>
            </w:r>
          </w:p>
        </w:tc>
        <w:tc>
          <w:tcPr>
            <w:tcW w:w="1680" w:type="dxa"/>
            <w:vAlign w:val="bottom"/>
          </w:tcPr>
          <w:p>
            <w:pPr>
              <w:jc w:val="right"/>
              <w:spacing w:after="0"/>
              <w:rPr>
                <w:sz w:val="20"/>
                <w:szCs w:val="20"/>
                <w:color w:val="auto"/>
              </w:rPr>
            </w:pPr>
            <w:r>
              <w:rPr>
                <w:rFonts w:ascii="Arial" w:cs="Arial" w:eastAsia="Arial" w:hAnsi="Arial"/>
                <w:sz w:val="18"/>
                <w:szCs w:val="18"/>
                <w:color w:val="auto"/>
              </w:rPr>
              <w:t>(14,634,925)</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(14,634,925)</w:t>
            </w:r>
          </w:p>
        </w:tc>
        <w:tc>
          <w:tcPr>
            <w:tcW w:w="1700" w:type="dxa"/>
            <w:vAlign w:val="bottom"/>
          </w:tcPr>
          <w:p>
            <w:pPr>
              <w:jc w:val="right"/>
              <w:spacing w:after="0"/>
              <w:rPr>
                <w:sz w:val="20"/>
                <w:szCs w:val="20"/>
                <w:color w:val="auto"/>
              </w:rPr>
            </w:pPr>
            <w:r>
              <w:rPr>
                <w:rFonts w:ascii="Arial" w:cs="Arial" w:eastAsia="Arial" w:hAnsi="Arial"/>
                <w:sz w:val="18"/>
                <w:szCs w:val="18"/>
                <w:color w:val="auto"/>
              </w:rPr>
              <w:t>(14,920,825)</w:t>
            </w:r>
          </w:p>
        </w:tc>
        <w:tc>
          <w:tcPr>
            <w:tcW w:w="0" w:type="dxa"/>
            <w:vAlign w:val="bottom"/>
          </w:tcPr>
          <w:p>
            <w:pPr>
              <w:spacing w:after="0"/>
              <w:rPr>
                <w:sz w:val="1"/>
                <w:szCs w:val="1"/>
                <w:color w:val="auto"/>
              </w:rPr>
            </w:pPr>
          </w:p>
        </w:tc>
      </w:tr>
      <w:tr>
        <w:trPr>
          <w:trHeight w:val="137"/>
        </w:trPr>
        <w:tc>
          <w:tcPr>
            <w:tcW w:w="628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6280" w:type="dxa"/>
            <w:vAlign w:val="bottom"/>
          </w:tcPr>
          <w:p>
            <w:pPr>
              <w:ind w:left="40"/>
              <w:spacing w:after="0"/>
              <w:rPr>
                <w:sz w:val="20"/>
                <w:szCs w:val="20"/>
                <w:color w:val="auto"/>
              </w:rPr>
            </w:pPr>
            <w:r>
              <w:rPr>
                <w:rFonts w:ascii="Arial" w:cs="Arial" w:eastAsia="Arial" w:hAnsi="Arial"/>
                <w:sz w:val="18"/>
                <w:szCs w:val="18"/>
                <w:color w:val="auto"/>
              </w:rPr>
              <w:t>Total outstanding shares</w:t>
            </w:r>
          </w:p>
        </w:tc>
        <w:tc>
          <w:tcPr>
            <w:tcW w:w="1680" w:type="dxa"/>
            <w:vAlign w:val="bottom"/>
          </w:tcPr>
          <w:p>
            <w:pPr>
              <w:jc w:val="right"/>
              <w:spacing w:after="0"/>
              <w:rPr>
                <w:sz w:val="20"/>
                <w:szCs w:val="20"/>
                <w:color w:val="auto"/>
              </w:rPr>
            </w:pPr>
            <w:r>
              <w:rPr>
                <w:rFonts w:ascii="Arial" w:cs="Arial" w:eastAsia="Arial" w:hAnsi="Arial"/>
                <w:sz w:val="18"/>
                <w:szCs w:val="18"/>
                <w:color w:val="auto"/>
              </w:rPr>
              <w:t>79,747,392</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79,747,392</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79,461,492</w:t>
            </w:r>
          </w:p>
        </w:tc>
        <w:tc>
          <w:tcPr>
            <w:tcW w:w="0" w:type="dxa"/>
            <w:vAlign w:val="bottom"/>
          </w:tcPr>
          <w:p>
            <w:pPr>
              <w:spacing w:after="0"/>
              <w:rPr>
                <w:sz w:val="1"/>
                <w:szCs w:val="1"/>
                <w:color w:val="auto"/>
              </w:rPr>
            </w:pPr>
          </w:p>
        </w:tc>
      </w:tr>
      <w:tr>
        <w:trPr>
          <w:trHeight w:val="137"/>
        </w:trPr>
        <w:tc>
          <w:tcPr>
            <w:tcW w:w="628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599"/>
        </w:trPr>
        <w:tc>
          <w:tcPr>
            <w:tcW w:w="6280" w:type="dxa"/>
            <w:vAlign w:val="bottom"/>
          </w:tcPr>
          <w:p>
            <w:pPr>
              <w:ind w:left="40"/>
              <w:spacing w:after="0"/>
              <w:rPr>
                <w:sz w:val="20"/>
                <w:szCs w:val="20"/>
                <w:color w:val="auto"/>
              </w:rPr>
            </w:pPr>
            <w:r>
              <w:rPr>
                <w:rFonts w:ascii="Arial" w:cs="Arial" w:eastAsia="Arial" w:hAnsi="Arial"/>
                <w:sz w:val="18"/>
                <w:szCs w:val="18"/>
                <w:color w:val="auto"/>
              </w:rPr>
              <w:t>Net income (in thousands of United States dollars)</w:t>
            </w:r>
          </w:p>
        </w:tc>
        <w:tc>
          <w:tcPr>
            <w:tcW w:w="1680" w:type="dxa"/>
            <w:vAlign w:val="bottom"/>
          </w:tcPr>
          <w:p>
            <w:pPr>
              <w:jc w:val="right"/>
              <w:spacing w:after="0"/>
              <w:rPr>
                <w:sz w:val="20"/>
                <w:szCs w:val="20"/>
                <w:color w:val="auto"/>
              </w:rPr>
            </w:pPr>
            <w:r>
              <w:rPr>
                <w:rFonts w:ascii="Arial" w:cs="Arial" w:eastAsia="Arial" w:hAnsi="Arial"/>
                <w:sz w:val="18"/>
                <w:szCs w:val="18"/>
                <w:color w:val="auto"/>
              </w:rPr>
              <w:t>80,607</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42,383</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54,513</w:t>
            </w:r>
          </w:p>
        </w:tc>
        <w:tc>
          <w:tcPr>
            <w:tcW w:w="0" w:type="dxa"/>
            <w:vAlign w:val="bottom"/>
          </w:tcPr>
          <w:p>
            <w:pPr>
              <w:spacing w:after="0"/>
              <w:rPr>
                <w:sz w:val="1"/>
                <w:szCs w:val="1"/>
                <w:color w:val="auto"/>
              </w:rPr>
            </w:pPr>
          </w:p>
        </w:tc>
      </w:tr>
      <w:tr>
        <w:trPr>
          <w:trHeight w:val="137"/>
        </w:trPr>
        <w:tc>
          <w:tcPr>
            <w:tcW w:w="628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599"/>
        </w:trPr>
        <w:tc>
          <w:tcPr>
            <w:tcW w:w="6280" w:type="dxa"/>
            <w:vAlign w:val="bottom"/>
          </w:tcPr>
          <w:p>
            <w:pPr>
              <w:ind w:left="40"/>
              <w:spacing w:after="0"/>
              <w:rPr>
                <w:sz w:val="20"/>
                <w:szCs w:val="20"/>
                <w:color w:val="auto"/>
              </w:rPr>
            </w:pPr>
            <w:r>
              <w:rPr>
                <w:rFonts w:ascii="Arial" w:cs="Arial" w:eastAsia="Arial" w:hAnsi="Arial"/>
                <w:sz w:val="18"/>
                <w:szCs w:val="18"/>
                <w:color w:val="auto"/>
              </w:rPr>
              <w:t>Basic and diluted earnings per share (in United States dollars)</w:t>
            </w:r>
          </w:p>
        </w:tc>
        <w:tc>
          <w:tcPr>
            <w:tcW w:w="1680" w:type="dxa"/>
            <w:vAlign w:val="bottom"/>
          </w:tcPr>
          <w:p>
            <w:pPr>
              <w:jc w:val="right"/>
              <w:spacing w:after="0"/>
              <w:rPr>
                <w:sz w:val="20"/>
                <w:szCs w:val="20"/>
                <w:color w:val="auto"/>
              </w:rPr>
            </w:pPr>
            <w:r>
              <w:rPr>
                <w:rFonts w:ascii="Arial" w:cs="Arial" w:eastAsia="Arial" w:hAnsi="Arial"/>
                <w:sz w:val="18"/>
                <w:szCs w:val="18"/>
                <w:color w:val="auto"/>
              </w:rPr>
              <w:t>1.01</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0.53</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147"/>
        </w:trPr>
        <w:tc>
          <w:tcPr>
            <w:tcW w:w="6280" w:type="dxa"/>
            <w:vAlign w:val="bottom"/>
            <w:vMerge w:val="restart"/>
          </w:tcPr>
          <w:p>
            <w:pPr>
              <w:spacing w:after="0"/>
              <w:rPr>
                <w:sz w:val="20"/>
                <w:szCs w:val="20"/>
                <w:color w:val="auto"/>
              </w:rPr>
            </w:pPr>
            <w:r>
              <w:rPr>
                <w:rFonts w:ascii="Arial" w:cs="Arial" w:eastAsia="Arial" w:hAnsi="Arial"/>
                <w:sz w:val="18"/>
                <w:szCs w:val="18"/>
                <w:b w:val="1"/>
                <w:bCs w:val="1"/>
                <w:color w:val="auto"/>
              </w:rPr>
              <w:t>21. Financial information by industry and geographical area</w:t>
            </w:r>
          </w:p>
        </w:tc>
        <w:tc>
          <w:tcPr>
            <w:tcW w:w="16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62"/>
        </w:trPr>
        <w:tc>
          <w:tcPr>
            <w:tcW w:w="628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80" w:type="dxa"/>
            <w:vAlign w:val="bottom"/>
          </w:tcPr>
          <w:p>
            <w:pPr>
              <w:spacing w:after="0"/>
              <w:rPr>
                <w:sz w:val="20"/>
                <w:szCs w:val="20"/>
                <w:color w:val="auto"/>
              </w:rPr>
            </w:pPr>
            <w:r>
              <w:rPr>
                <w:rFonts w:ascii="Arial" w:cs="Arial" w:eastAsia="Arial" w:hAnsi="Arial"/>
                <w:sz w:val="18"/>
                <w:szCs w:val="18"/>
                <w:color w:val="auto"/>
              </w:rPr>
              <w:t>The Group is organized on two main lines of business: banking and insurance.</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5034915</wp:posOffset>
            </wp:positionH>
            <wp:positionV relativeFrom="paragraph">
              <wp:posOffset>-1948815</wp:posOffset>
            </wp:positionV>
            <wp:extent cx="34290" cy="34290"/>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-1948815</wp:posOffset>
            </wp:positionV>
            <wp:extent cx="34290" cy="34290"/>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-1948815</wp:posOffset>
            </wp:positionV>
            <wp:extent cx="34290" cy="34290"/>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-1623060</wp:posOffset>
            </wp:positionV>
            <wp:extent cx="34290" cy="34290"/>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-1623060</wp:posOffset>
            </wp:positionV>
            <wp:extent cx="34290" cy="34290"/>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-1623060</wp:posOffset>
            </wp:positionV>
            <wp:extent cx="34290" cy="34290"/>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-1143000</wp:posOffset>
            </wp:positionV>
            <wp:extent cx="34290" cy="34290"/>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-1143000</wp:posOffset>
            </wp:positionV>
            <wp:extent cx="34290" cy="34290"/>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-1143000</wp:posOffset>
            </wp:positionV>
            <wp:extent cx="34290" cy="34290"/>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-645795</wp:posOffset>
            </wp:positionV>
            <wp:extent cx="12700" cy="8890"/>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-645795</wp:posOffset>
            </wp:positionV>
            <wp:extent cx="12700" cy="8890"/>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-645795</wp:posOffset>
            </wp:positionV>
            <wp:extent cx="12700" cy="8890"/>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-645795</wp:posOffset>
            </wp:positionV>
            <wp:extent cx="12700" cy="8890"/>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-645795</wp:posOffset>
            </wp:positionV>
            <wp:extent cx="12700" cy="8890"/>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-645795</wp:posOffset>
            </wp:positionV>
            <wp:extent cx="12700" cy="8890"/>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banking business includes services related with loans and other credit facilities to corporate clients, consumer and mortgage credits, debit and credit cards, savings and deposits, overdrafts, custody services, among others.</w:t>
      </w:r>
    </w:p>
    <w:p>
      <w:pPr>
        <w:spacing w:after="0" w:line="18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insurance business includes the issuance of policies of insurance to cover claims that clients can suffer, such as fires, vehicles, transport, personal accidents and life insurance, among others.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Other activities developed by the Group comprise intermediation activities in the Peruvian stock market, trusteeship and administration of funds.</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59320" cy="34290"/>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76" w:name="page177"/>
    <w:bookmarkEnd w:id="176"/>
    <w:p>
      <w:pPr>
        <w:ind w:right="400"/>
        <w:spacing w:after="0" w:line="268" w:lineRule="auto"/>
        <w:rPr>
          <w:sz w:val="20"/>
          <w:szCs w:val="20"/>
          <w:color w:val="auto"/>
        </w:rPr>
      </w:pPr>
      <w:r>
        <w:rPr>
          <w:rFonts w:ascii="Arial" w:cs="Arial" w:eastAsia="Arial" w:hAnsi="Arial"/>
          <w:sz w:val="18"/>
          <w:szCs w:val="18"/>
          <w:color w:val="auto"/>
        </w:rPr>
        <w:t>The following table presents the Group’s financial information by industry (primary segment) and geographical area (secondary segment) for the three years ended December 31, 2003: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(a) Segments of business by industry (amounts expressed in million of U.S. dollars):</w:t>
      </w:r>
    </w:p>
    <w:p>
      <w:pPr>
        <w:spacing w:after="0" w:line="248" w:lineRule="exact"/>
        <w:rPr>
          <w:sz w:val="20"/>
          <w:szCs w:val="20"/>
          <w:color w:val="auto"/>
        </w:rPr>
      </w:pPr>
    </w:p>
    <w:p>
      <w:pPr>
        <w:ind w:left="1180"/>
        <w:spacing w:after="0"/>
        <w:rPr>
          <w:sz w:val="20"/>
          <w:szCs w:val="20"/>
          <w:color w:val="auto"/>
        </w:rPr>
      </w:pPr>
      <w:r>
        <w:rPr>
          <w:rFonts w:ascii="Arial" w:cs="Arial" w:eastAsia="Arial" w:hAnsi="Arial"/>
          <w:sz w:val="12"/>
          <w:szCs w:val="12"/>
          <w:b w:val="1"/>
          <w:bCs w:val="1"/>
          <w:color w:val="auto"/>
        </w:rPr>
        <w:t>External revenues Revenues from other segments Eliminations Total revenues Operating income (*) Total assets Fixed assets Depreciation and amortization Other provisions (**)</w:t>
      </w:r>
    </w:p>
    <w:p>
      <w:pPr>
        <w:spacing w:after="0" w:line="38" w:lineRule="exact"/>
        <w:rPr>
          <w:sz w:val="20"/>
          <w:szCs w:val="20"/>
          <w:color w:val="auto"/>
        </w:rPr>
      </w:pPr>
    </w:p>
    <w:tbl>
      <w:tblPr>
        <w:tblLayout w:type="fixed"/>
        <w:tblInd w:w="40" w:type="dxa"/>
        <w:tblCellMar>
          <w:top w:w="0" w:type="dxa"/>
          <w:left w:w="0" w:type="dxa"/>
          <w:bottom w:w="0" w:type="dxa"/>
          <w:right w:w="0" w:type="dxa"/>
        </w:tblCellMar>
      </w:tblPr>
      <w:tr>
        <w:trPr>
          <w:trHeight w:val="174"/>
        </w:trPr>
        <w:tc>
          <w:tcPr>
            <w:tcW w:w="1120" w:type="dxa"/>
            <w:vAlign w:val="bottom"/>
          </w:tcPr>
          <w:p>
            <w:pPr>
              <w:spacing w:after="0"/>
              <w:rPr>
                <w:sz w:val="20"/>
                <w:szCs w:val="20"/>
                <w:color w:val="auto"/>
              </w:rPr>
            </w:pPr>
            <w:r>
              <w:rPr>
                <w:rFonts w:ascii="Arial" w:cs="Arial" w:eastAsia="Arial" w:hAnsi="Arial"/>
                <w:sz w:val="14"/>
                <w:szCs w:val="14"/>
                <w:b w:val="1"/>
                <w:bCs w:val="1"/>
                <w:color w:val="auto"/>
              </w:rPr>
              <w:t>2003 -</w:t>
            </w: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20" w:type="dxa"/>
            <w:vAlign w:val="bottom"/>
          </w:tcPr>
          <w:p>
            <w:pPr>
              <w:spacing w:after="0"/>
              <w:rPr>
                <w:sz w:val="20"/>
                <w:szCs w:val="20"/>
                <w:color w:val="auto"/>
              </w:rPr>
            </w:pPr>
            <w:r>
              <w:rPr>
                <w:rFonts w:ascii="Arial" w:cs="Arial" w:eastAsia="Arial" w:hAnsi="Arial"/>
                <w:sz w:val="14"/>
                <w:szCs w:val="14"/>
                <w:color w:val="auto"/>
              </w:rPr>
              <w:t>Banking</w:t>
            </w:r>
          </w:p>
        </w:tc>
        <w:tc>
          <w:tcPr>
            <w:tcW w:w="1060" w:type="dxa"/>
            <w:vAlign w:val="bottom"/>
          </w:tcPr>
          <w:p>
            <w:pPr>
              <w:jc w:val="right"/>
              <w:spacing w:after="0"/>
              <w:rPr>
                <w:sz w:val="20"/>
                <w:szCs w:val="20"/>
                <w:color w:val="auto"/>
              </w:rPr>
            </w:pPr>
            <w:r>
              <w:rPr>
                <w:rFonts w:ascii="Arial" w:cs="Arial" w:eastAsia="Arial" w:hAnsi="Arial"/>
                <w:sz w:val="14"/>
                <w:szCs w:val="14"/>
                <w:color w:val="auto"/>
              </w:rPr>
              <w:t>703</w:t>
            </w:r>
          </w:p>
        </w:tc>
        <w:tc>
          <w:tcPr>
            <w:tcW w:w="1800" w:type="dxa"/>
            <w:vAlign w:val="bottom"/>
            <w:gridSpan w:val="2"/>
          </w:tcPr>
          <w:p>
            <w:pPr>
              <w:jc w:val="right"/>
              <w:ind w:right="40"/>
              <w:spacing w:after="0"/>
              <w:rPr>
                <w:sz w:val="20"/>
                <w:szCs w:val="20"/>
                <w:color w:val="auto"/>
              </w:rPr>
            </w:pPr>
            <w:r>
              <w:rPr>
                <w:rFonts w:ascii="Arial" w:cs="Arial" w:eastAsia="Arial" w:hAnsi="Arial"/>
                <w:sz w:val="14"/>
                <w:szCs w:val="14"/>
                <w:color w:val="auto"/>
              </w:rPr>
              <w:t>29</w:t>
            </w:r>
          </w:p>
        </w:tc>
        <w:tc>
          <w:tcPr>
            <w:tcW w:w="800" w:type="dxa"/>
            <w:vAlign w:val="bottom"/>
            <w:gridSpan w:val="3"/>
          </w:tcPr>
          <w:p>
            <w:pPr>
              <w:jc w:val="right"/>
              <w:ind w:right="40"/>
              <w:spacing w:after="0"/>
              <w:rPr>
                <w:sz w:val="20"/>
                <w:szCs w:val="20"/>
                <w:color w:val="auto"/>
              </w:rPr>
            </w:pPr>
            <w:r>
              <w:rPr>
                <w:rFonts w:ascii="Arial" w:cs="Arial" w:eastAsia="Arial" w:hAnsi="Arial"/>
                <w:sz w:val="14"/>
                <w:szCs w:val="14"/>
                <w:color w:val="auto"/>
              </w:rPr>
              <w:t>(29)</w:t>
            </w:r>
          </w:p>
        </w:tc>
        <w:tc>
          <w:tcPr>
            <w:tcW w:w="840" w:type="dxa"/>
            <w:vAlign w:val="bottom"/>
          </w:tcPr>
          <w:p>
            <w:pPr>
              <w:jc w:val="right"/>
              <w:spacing w:after="0"/>
              <w:rPr>
                <w:sz w:val="20"/>
                <w:szCs w:val="20"/>
                <w:color w:val="auto"/>
              </w:rPr>
            </w:pPr>
            <w:r>
              <w:rPr>
                <w:rFonts w:ascii="Arial" w:cs="Arial" w:eastAsia="Arial" w:hAnsi="Arial"/>
                <w:sz w:val="14"/>
                <w:szCs w:val="14"/>
                <w:color w:val="auto"/>
              </w:rPr>
              <w:t>703</w:t>
            </w:r>
          </w:p>
        </w:tc>
        <w:tc>
          <w:tcPr>
            <w:tcW w:w="1260" w:type="dxa"/>
            <w:vAlign w:val="bottom"/>
            <w:gridSpan w:val="2"/>
          </w:tcPr>
          <w:p>
            <w:pPr>
              <w:jc w:val="right"/>
              <w:ind w:right="40"/>
              <w:spacing w:after="0"/>
              <w:rPr>
                <w:sz w:val="20"/>
                <w:szCs w:val="20"/>
                <w:color w:val="auto"/>
              </w:rPr>
            </w:pPr>
            <w:r>
              <w:rPr>
                <w:rFonts w:ascii="Arial" w:cs="Arial" w:eastAsia="Arial" w:hAnsi="Arial"/>
                <w:sz w:val="14"/>
                <w:szCs w:val="14"/>
                <w:color w:val="auto"/>
              </w:rPr>
              <w:t>364</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6,912</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217</w:t>
            </w:r>
          </w:p>
        </w:tc>
        <w:tc>
          <w:tcPr>
            <w:tcW w:w="1800" w:type="dxa"/>
            <w:vAlign w:val="bottom"/>
            <w:gridSpan w:val="2"/>
          </w:tcPr>
          <w:p>
            <w:pPr>
              <w:jc w:val="right"/>
              <w:ind w:right="40"/>
              <w:spacing w:after="0"/>
              <w:rPr>
                <w:sz w:val="20"/>
                <w:szCs w:val="20"/>
                <w:color w:val="auto"/>
              </w:rPr>
            </w:pPr>
            <w:r>
              <w:rPr>
                <w:rFonts w:ascii="Arial" w:cs="Arial" w:eastAsia="Arial" w:hAnsi="Arial"/>
                <w:sz w:val="14"/>
                <w:szCs w:val="14"/>
                <w:color w:val="auto"/>
              </w:rPr>
              <w:t>36</w:t>
            </w:r>
          </w:p>
        </w:tc>
        <w:tc>
          <w:tcPr>
            <w:tcW w:w="1280" w:type="dxa"/>
            <w:vAlign w:val="bottom"/>
            <w:gridSpan w:val="2"/>
          </w:tcPr>
          <w:p>
            <w:pPr>
              <w:jc w:val="right"/>
              <w:ind w:right="40"/>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76"/>
        </w:trPr>
        <w:tc>
          <w:tcPr>
            <w:tcW w:w="1120" w:type="dxa"/>
            <w:vAlign w:val="bottom"/>
          </w:tcPr>
          <w:p>
            <w:pPr>
              <w:spacing w:after="0"/>
              <w:rPr>
                <w:sz w:val="20"/>
                <w:szCs w:val="20"/>
                <w:color w:val="auto"/>
              </w:rPr>
            </w:pPr>
            <w:r>
              <w:rPr>
                <w:rFonts w:ascii="Arial" w:cs="Arial" w:eastAsia="Arial" w:hAnsi="Arial"/>
                <w:sz w:val="14"/>
                <w:szCs w:val="14"/>
                <w:color w:val="auto"/>
              </w:rPr>
              <w:t>Insurance</w:t>
            </w:r>
          </w:p>
        </w:tc>
        <w:tc>
          <w:tcPr>
            <w:tcW w:w="1060" w:type="dxa"/>
            <w:vAlign w:val="bottom"/>
          </w:tcPr>
          <w:p>
            <w:pPr>
              <w:jc w:val="right"/>
              <w:spacing w:after="0"/>
              <w:rPr>
                <w:sz w:val="20"/>
                <w:szCs w:val="20"/>
                <w:color w:val="auto"/>
              </w:rPr>
            </w:pPr>
            <w:r>
              <w:rPr>
                <w:rFonts w:ascii="Arial" w:cs="Arial" w:eastAsia="Arial" w:hAnsi="Arial"/>
                <w:sz w:val="14"/>
                <w:szCs w:val="14"/>
                <w:color w:val="auto"/>
              </w:rPr>
              <w:t>125</w:t>
            </w:r>
          </w:p>
        </w:tc>
        <w:tc>
          <w:tcPr>
            <w:tcW w:w="1800" w:type="dxa"/>
            <w:vAlign w:val="bottom"/>
            <w:gridSpan w:val="2"/>
          </w:tcPr>
          <w:p>
            <w:pPr>
              <w:jc w:val="right"/>
              <w:ind w:right="40"/>
              <w:spacing w:after="0"/>
              <w:rPr>
                <w:sz w:val="20"/>
                <w:szCs w:val="20"/>
                <w:color w:val="auto"/>
              </w:rPr>
            </w:pPr>
            <w:r>
              <w:rPr>
                <w:rFonts w:ascii="Arial" w:cs="Arial" w:eastAsia="Arial" w:hAnsi="Arial"/>
                <w:sz w:val="14"/>
                <w:szCs w:val="14"/>
                <w:color w:val="auto"/>
              </w:rPr>
              <w:t>12</w:t>
            </w:r>
          </w:p>
        </w:tc>
        <w:tc>
          <w:tcPr>
            <w:tcW w:w="800" w:type="dxa"/>
            <w:vAlign w:val="bottom"/>
            <w:gridSpan w:val="3"/>
          </w:tcPr>
          <w:p>
            <w:pPr>
              <w:jc w:val="right"/>
              <w:ind w:right="40"/>
              <w:spacing w:after="0"/>
              <w:rPr>
                <w:sz w:val="20"/>
                <w:szCs w:val="20"/>
                <w:color w:val="auto"/>
              </w:rPr>
            </w:pPr>
            <w:r>
              <w:rPr>
                <w:rFonts w:ascii="Arial" w:cs="Arial" w:eastAsia="Arial" w:hAnsi="Arial"/>
                <w:sz w:val="14"/>
                <w:szCs w:val="14"/>
                <w:color w:val="auto"/>
              </w:rPr>
              <w:t>(12)</w:t>
            </w:r>
          </w:p>
        </w:tc>
        <w:tc>
          <w:tcPr>
            <w:tcW w:w="840" w:type="dxa"/>
            <w:vAlign w:val="bottom"/>
          </w:tcPr>
          <w:p>
            <w:pPr>
              <w:jc w:val="right"/>
              <w:spacing w:after="0"/>
              <w:rPr>
                <w:sz w:val="20"/>
                <w:szCs w:val="20"/>
                <w:color w:val="auto"/>
              </w:rPr>
            </w:pPr>
            <w:r>
              <w:rPr>
                <w:rFonts w:ascii="Arial" w:cs="Arial" w:eastAsia="Arial" w:hAnsi="Arial"/>
                <w:sz w:val="14"/>
                <w:szCs w:val="14"/>
                <w:color w:val="auto"/>
              </w:rPr>
              <w:t>125</w:t>
            </w:r>
          </w:p>
        </w:tc>
        <w:tc>
          <w:tcPr>
            <w:tcW w:w="1260" w:type="dxa"/>
            <w:vAlign w:val="bottom"/>
            <w:gridSpan w:val="2"/>
          </w:tcPr>
          <w:p>
            <w:pPr>
              <w:jc w:val="right"/>
              <w:ind w:right="40"/>
              <w:spacing w:after="0"/>
              <w:rPr>
                <w:sz w:val="20"/>
                <w:szCs w:val="20"/>
                <w:color w:val="auto"/>
              </w:rPr>
            </w:pPr>
            <w:r>
              <w:rPr>
                <w:rFonts w:ascii="Arial" w:cs="Arial" w:eastAsia="Arial" w:hAnsi="Arial"/>
                <w:sz w:val="14"/>
                <w:szCs w:val="14"/>
                <w:color w:val="auto"/>
              </w:rPr>
              <w:t>26</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587</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33</w:t>
            </w:r>
          </w:p>
        </w:tc>
        <w:tc>
          <w:tcPr>
            <w:tcW w:w="1800" w:type="dxa"/>
            <w:vAlign w:val="bottom"/>
            <w:gridSpan w:val="2"/>
          </w:tcPr>
          <w:p>
            <w:pPr>
              <w:jc w:val="right"/>
              <w:ind w:right="40"/>
              <w:spacing w:after="0"/>
              <w:rPr>
                <w:sz w:val="20"/>
                <w:szCs w:val="20"/>
                <w:color w:val="auto"/>
              </w:rPr>
            </w:pPr>
            <w:r>
              <w:rPr>
                <w:rFonts w:ascii="Arial" w:cs="Arial" w:eastAsia="Arial" w:hAnsi="Arial"/>
                <w:sz w:val="14"/>
                <w:szCs w:val="14"/>
                <w:color w:val="auto"/>
              </w:rPr>
              <w:t>5</w:t>
            </w:r>
          </w:p>
        </w:tc>
        <w:tc>
          <w:tcPr>
            <w:tcW w:w="1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1120" w:type="dxa"/>
            <w:vAlign w:val="bottom"/>
          </w:tcPr>
          <w:p>
            <w:pPr>
              <w:spacing w:after="0"/>
              <w:rPr>
                <w:sz w:val="20"/>
                <w:szCs w:val="20"/>
                <w:color w:val="auto"/>
              </w:rPr>
            </w:pPr>
            <w:r>
              <w:rPr>
                <w:rFonts w:ascii="Arial" w:cs="Arial" w:eastAsia="Arial" w:hAnsi="Arial"/>
                <w:sz w:val="14"/>
                <w:szCs w:val="14"/>
                <w:color w:val="auto"/>
                <w:w w:val="86"/>
              </w:rPr>
              <w:t>Brokerage and other</w:t>
            </w:r>
          </w:p>
        </w:tc>
        <w:tc>
          <w:tcPr>
            <w:tcW w:w="1060" w:type="dxa"/>
            <w:vAlign w:val="bottom"/>
          </w:tcPr>
          <w:p>
            <w:pPr>
              <w:jc w:val="right"/>
              <w:spacing w:after="0"/>
              <w:rPr>
                <w:sz w:val="20"/>
                <w:szCs w:val="20"/>
                <w:color w:val="auto"/>
              </w:rPr>
            </w:pPr>
            <w:r>
              <w:rPr>
                <w:rFonts w:ascii="Arial" w:cs="Arial" w:eastAsia="Arial" w:hAnsi="Arial"/>
                <w:sz w:val="14"/>
                <w:szCs w:val="14"/>
                <w:color w:val="auto"/>
              </w:rPr>
              <w:t>84</w:t>
            </w:r>
          </w:p>
        </w:tc>
        <w:tc>
          <w:tcPr>
            <w:tcW w:w="1800" w:type="dxa"/>
            <w:vAlign w:val="bottom"/>
            <w:gridSpan w:val="2"/>
          </w:tcPr>
          <w:p>
            <w:pPr>
              <w:jc w:val="right"/>
              <w:ind w:right="40"/>
              <w:spacing w:after="0"/>
              <w:rPr>
                <w:sz w:val="20"/>
                <w:szCs w:val="20"/>
                <w:color w:val="auto"/>
              </w:rPr>
            </w:pPr>
            <w:r>
              <w:rPr>
                <w:rFonts w:ascii="Arial" w:cs="Arial" w:eastAsia="Arial" w:hAnsi="Arial"/>
                <w:sz w:val="14"/>
                <w:szCs w:val="14"/>
                <w:color w:val="auto"/>
              </w:rPr>
              <w:t>108</w:t>
            </w:r>
          </w:p>
        </w:tc>
        <w:tc>
          <w:tcPr>
            <w:tcW w:w="800" w:type="dxa"/>
            <w:vAlign w:val="bottom"/>
            <w:gridSpan w:val="3"/>
          </w:tcPr>
          <w:p>
            <w:pPr>
              <w:jc w:val="right"/>
              <w:ind w:right="40"/>
              <w:spacing w:after="0"/>
              <w:rPr>
                <w:sz w:val="20"/>
                <w:szCs w:val="20"/>
                <w:color w:val="auto"/>
              </w:rPr>
            </w:pPr>
            <w:r>
              <w:rPr>
                <w:rFonts w:ascii="Arial" w:cs="Arial" w:eastAsia="Arial" w:hAnsi="Arial"/>
                <w:sz w:val="14"/>
                <w:szCs w:val="14"/>
                <w:color w:val="auto"/>
              </w:rPr>
              <w:t>(108)</w:t>
            </w:r>
          </w:p>
        </w:tc>
        <w:tc>
          <w:tcPr>
            <w:tcW w:w="840" w:type="dxa"/>
            <w:vAlign w:val="bottom"/>
          </w:tcPr>
          <w:p>
            <w:pPr>
              <w:jc w:val="right"/>
              <w:spacing w:after="0"/>
              <w:rPr>
                <w:sz w:val="20"/>
                <w:szCs w:val="20"/>
                <w:color w:val="auto"/>
              </w:rPr>
            </w:pPr>
            <w:r>
              <w:rPr>
                <w:rFonts w:ascii="Arial" w:cs="Arial" w:eastAsia="Arial" w:hAnsi="Arial"/>
                <w:sz w:val="14"/>
                <w:szCs w:val="14"/>
                <w:color w:val="auto"/>
              </w:rPr>
              <w:t>84</w:t>
            </w:r>
          </w:p>
        </w:tc>
        <w:tc>
          <w:tcPr>
            <w:tcW w:w="1260" w:type="dxa"/>
            <w:vAlign w:val="bottom"/>
            <w:gridSpan w:val="2"/>
          </w:tcPr>
          <w:p>
            <w:pPr>
              <w:jc w:val="right"/>
              <w:ind w:right="40"/>
              <w:spacing w:after="0"/>
              <w:rPr>
                <w:sz w:val="20"/>
                <w:szCs w:val="20"/>
                <w:color w:val="auto"/>
              </w:rPr>
            </w:pPr>
            <w:r>
              <w:rPr>
                <w:rFonts w:ascii="Arial" w:cs="Arial" w:eastAsia="Arial" w:hAnsi="Arial"/>
                <w:sz w:val="14"/>
                <w:szCs w:val="14"/>
                <w:color w:val="auto"/>
              </w:rPr>
              <w:t>21</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795</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15</w:t>
            </w:r>
          </w:p>
        </w:tc>
        <w:tc>
          <w:tcPr>
            <w:tcW w:w="1800" w:type="dxa"/>
            <w:vAlign w:val="bottom"/>
            <w:gridSpan w:val="2"/>
          </w:tcPr>
          <w:p>
            <w:pPr>
              <w:jc w:val="right"/>
              <w:ind w:right="40"/>
              <w:spacing w:after="0"/>
              <w:rPr>
                <w:sz w:val="20"/>
                <w:szCs w:val="20"/>
                <w:color w:val="auto"/>
              </w:rPr>
            </w:pPr>
            <w:r>
              <w:rPr>
                <w:rFonts w:ascii="Arial" w:cs="Arial" w:eastAsia="Arial" w:hAnsi="Arial"/>
                <w:sz w:val="14"/>
                <w:szCs w:val="14"/>
                <w:color w:val="auto"/>
              </w:rPr>
              <w:t>3</w:t>
            </w:r>
          </w:p>
        </w:tc>
        <w:tc>
          <w:tcPr>
            <w:tcW w:w="1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2"/>
        </w:trPr>
        <w:tc>
          <w:tcPr>
            <w:tcW w:w="1120" w:type="dxa"/>
            <w:vAlign w:val="bottom"/>
            <w:vMerge w:val="restart"/>
          </w:tcPr>
          <w:p>
            <w:pPr>
              <w:spacing w:after="0"/>
              <w:rPr>
                <w:sz w:val="20"/>
                <w:szCs w:val="20"/>
                <w:color w:val="auto"/>
              </w:rPr>
            </w:pPr>
            <w:r>
              <w:rPr>
                <w:rFonts w:ascii="Arial" w:cs="Arial" w:eastAsia="Arial" w:hAnsi="Arial"/>
                <w:sz w:val="14"/>
                <w:szCs w:val="14"/>
                <w:b w:val="1"/>
                <w:bCs w:val="1"/>
                <w:color w:val="auto"/>
                <w:w w:val="88"/>
              </w:rPr>
              <w:t>Total consolidated</w:t>
            </w:r>
          </w:p>
        </w:tc>
        <w:tc>
          <w:tcPr>
            <w:tcW w:w="106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04"/>
        </w:trPr>
        <w:tc>
          <w:tcPr>
            <w:tcW w:w="1120" w:type="dxa"/>
            <w:vAlign w:val="bottom"/>
            <w:vMerge w:val="continue"/>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912</w:t>
            </w:r>
          </w:p>
        </w:tc>
        <w:tc>
          <w:tcPr>
            <w:tcW w:w="1800" w:type="dxa"/>
            <w:vAlign w:val="bottom"/>
            <w:gridSpan w:val="2"/>
          </w:tcPr>
          <w:p>
            <w:pPr>
              <w:jc w:val="right"/>
              <w:ind w:right="40"/>
              <w:spacing w:after="0"/>
              <w:rPr>
                <w:sz w:val="20"/>
                <w:szCs w:val="20"/>
                <w:color w:val="auto"/>
              </w:rPr>
            </w:pPr>
            <w:r>
              <w:rPr>
                <w:rFonts w:ascii="Arial" w:cs="Arial" w:eastAsia="Arial" w:hAnsi="Arial"/>
                <w:sz w:val="14"/>
                <w:szCs w:val="14"/>
                <w:color w:val="auto"/>
              </w:rPr>
              <w:t>149</w:t>
            </w:r>
          </w:p>
        </w:tc>
        <w:tc>
          <w:tcPr>
            <w:tcW w:w="800" w:type="dxa"/>
            <w:vAlign w:val="bottom"/>
            <w:gridSpan w:val="3"/>
          </w:tcPr>
          <w:p>
            <w:pPr>
              <w:jc w:val="right"/>
              <w:ind w:right="40"/>
              <w:spacing w:after="0"/>
              <w:rPr>
                <w:sz w:val="20"/>
                <w:szCs w:val="20"/>
                <w:color w:val="auto"/>
              </w:rPr>
            </w:pPr>
            <w:r>
              <w:rPr>
                <w:rFonts w:ascii="Arial" w:cs="Arial" w:eastAsia="Arial" w:hAnsi="Arial"/>
                <w:sz w:val="14"/>
                <w:szCs w:val="14"/>
                <w:color w:val="auto"/>
              </w:rPr>
              <w:t>(149)</w:t>
            </w:r>
          </w:p>
        </w:tc>
        <w:tc>
          <w:tcPr>
            <w:tcW w:w="840" w:type="dxa"/>
            <w:vAlign w:val="bottom"/>
          </w:tcPr>
          <w:p>
            <w:pPr>
              <w:jc w:val="right"/>
              <w:spacing w:after="0"/>
              <w:rPr>
                <w:sz w:val="20"/>
                <w:szCs w:val="20"/>
                <w:color w:val="auto"/>
              </w:rPr>
            </w:pPr>
            <w:r>
              <w:rPr>
                <w:rFonts w:ascii="Arial" w:cs="Arial" w:eastAsia="Arial" w:hAnsi="Arial"/>
                <w:sz w:val="14"/>
                <w:szCs w:val="14"/>
                <w:color w:val="auto"/>
              </w:rPr>
              <w:t>912</w:t>
            </w:r>
          </w:p>
        </w:tc>
        <w:tc>
          <w:tcPr>
            <w:tcW w:w="1260" w:type="dxa"/>
            <w:vAlign w:val="bottom"/>
            <w:gridSpan w:val="2"/>
          </w:tcPr>
          <w:p>
            <w:pPr>
              <w:jc w:val="right"/>
              <w:ind w:right="40"/>
              <w:spacing w:after="0"/>
              <w:rPr>
                <w:sz w:val="20"/>
                <w:szCs w:val="20"/>
                <w:color w:val="auto"/>
              </w:rPr>
            </w:pPr>
            <w:r>
              <w:rPr>
                <w:rFonts w:ascii="Arial" w:cs="Arial" w:eastAsia="Arial" w:hAnsi="Arial"/>
                <w:sz w:val="14"/>
                <w:szCs w:val="14"/>
                <w:color w:val="auto"/>
              </w:rPr>
              <w:t>411</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8,294</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265</w:t>
            </w:r>
          </w:p>
        </w:tc>
        <w:tc>
          <w:tcPr>
            <w:tcW w:w="1800" w:type="dxa"/>
            <w:vAlign w:val="bottom"/>
            <w:gridSpan w:val="2"/>
          </w:tcPr>
          <w:p>
            <w:pPr>
              <w:jc w:val="right"/>
              <w:ind w:right="40"/>
              <w:spacing w:after="0"/>
              <w:rPr>
                <w:sz w:val="20"/>
                <w:szCs w:val="20"/>
                <w:color w:val="auto"/>
              </w:rPr>
            </w:pPr>
            <w:r>
              <w:rPr>
                <w:rFonts w:ascii="Arial" w:cs="Arial" w:eastAsia="Arial" w:hAnsi="Arial"/>
                <w:sz w:val="14"/>
                <w:szCs w:val="14"/>
                <w:color w:val="auto"/>
              </w:rPr>
              <w:t>44</w:t>
            </w:r>
          </w:p>
        </w:tc>
        <w:tc>
          <w:tcPr>
            <w:tcW w:w="1280" w:type="dxa"/>
            <w:vAlign w:val="bottom"/>
            <w:gridSpan w:val="2"/>
          </w:tcPr>
          <w:p>
            <w:pPr>
              <w:jc w:val="right"/>
              <w:ind w:right="40"/>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32"/>
        </w:trPr>
        <w:tc>
          <w:tcPr>
            <w:tcW w:w="1120" w:type="dxa"/>
            <w:vAlign w:val="bottom"/>
            <w:vMerge w:val="restart"/>
          </w:tcPr>
          <w:p>
            <w:pPr>
              <w:spacing w:after="0"/>
              <w:rPr>
                <w:sz w:val="20"/>
                <w:szCs w:val="20"/>
                <w:color w:val="auto"/>
              </w:rPr>
            </w:pPr>
            <w:r>
              <w:rPr>
                <w:rFonts w:ascii="Arial" w:cs="Arial" w:eastAsia="Arial" w:hAnsi="Arial"/>
                <w:sz w:val="14"/>
                <w:szCs w:val="14"/>
                <w:b w:val="1"/>
                <w:bCs w:val="1"/>
                <w:color w:val="auto"/>
              </w:rPr>
              <w:t>2002 -</w:t>
            </w:r>
          </w:p>
        </w:tc>
        <w:tc>
          <w:tcPr>
            <w:tcW w:w="10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7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9"/>
        </w:trPr>
        <w:tc>
          <w:tcPr>
            <w:tcW w:w="112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120" w:type="dxa"/>
            <w:vAlign w:val="bottom"/>
          </w:tcPr>
          <w:p>
            <w:pPr>
              <w:spacing w:after="0"/>
              <w:rPr>
                <w:sz w:val="20"/>
                <w:szCs w:val="20"/>
                <w:color w:val="auto"/>
              </w:rPr>
            </w:pPr>
            <w:r>
              <w:rPr>
                <w:rFonts w:ascii="Arial" w:cs="Arial" w:eastAsia="Arial" w:hAnsi="Arial"/>
                <w:sz w:val="14"/>
                <w:szCs w:val="14"/>
                <w:color w:val="auto"/>
              </w:rPr>
              <w:t>Banking</w:t>
            </w:r>
          </w:p>
        </w:tc>
        <w:tc>
          <w:tcPr>
            <w:tcW w:w="1060" w:type="dxa"/>
            <w:vAlign w:val="bottom"/>
          </w:tcPr>
          <w:p>
            <w:pPr>
              <w:jc w:val="right"/>
              <w:spacing w:after="0"/>
              <w:rPr>
                <w:sz w:val="20"/>
                <w:szCs w:val="20"/>
                <w:color w:val="auto"/>
              </w:rPr>
            </w:pPr>
            <w:r>
              <w:rPr>
                <w:rFonts w:ascii="Arial" w:cs="Arial" w:eastAsia="Arial" w:hAnsi="Arial"/>
                <w:sz w:val="14"/>
                <w:szCs w:val="14"/>
                <w:color w:val="auto"/>
              </w:rPr>
              <w:t>697</w:t>
            </w:r>
          </w:p>
        </w:tc>
        <w:tc>
          <w:tcPr>
            <w:tcW w:w="1800" w:type="dxa"/>
            <w:vAlign w:val="bottom"/>
            <w:gridSpan w:val="2"/>
          </w:tcPr>
          <w:p>
            <w:pPr>
              <w:jc w:val="right"/>
              <w:ind w:right="40"/>
              <w:spacing w:after="0"/>
              <w:rPr>
                <w:sz w:val="20"/>
                <w:szCs w:val="20"/>
                <w:color w:val="auto"/>
              </w:rPr>
            </w:pPr>
            <w:r>
              <w:rPr>
                <w:rFonts w:ascii="Arial" w:cs="Arial" w:eastAsia="Arial" w:hAnsi="Arial"/>
                <w:sz w:val="14"/>
                <w:szCs w:val="14"/>
                <w:color w:val="auto"/>
              </w:rPr>
              <w:t>38</w:t>
            </w:r>
          </w:p>
        </w:tc>
        <w:tc>
          <w:tcPr>
            <w:tcW w:w="800" w:type="dxa"/>
            <w:vAlign w:val="bottom"/>
            <w:gridSpan w:val="3"/>
          </w:tcPr>
          <w:p>
            <w:pPr>
              <w:jc w:val="right"/>
              <w:ind w:right="40"/>
              <w:spacing w:after="0"/>
              <w:rPr>
                <w:sz w:val="20"/>
                <w:szCs w:val="20"/>
                <w:color w:val="auto"/>
              </w:rPr>
            </w:pPr>
            <w:r>
              <w:rPr>
                <w:rFonts w:ascii="Arial" w:cs="Arial" w:eastAsia="Arial" w:hAnsi="Arial"/>
                <w:sz w:val="14"/>
                <w:szCs w:val="14"/>
                <w:color w:val="auto"/>
              </w:rPr>
              <w:t>(38)</w:t>
            </w:r>
          </w:p>
        </w:tc>
        <w:tc>
          <w:tcPr>
            <w:tcW w:w="840" w:type="dxa"/>
            <w:vAlign w:val="bottom"/>
          </w:tcPr>
          <w:p>
            <w:pPr>
              <w:jc w:val="right"/>
              <w:spacing w:after="0"/>
              <w:rPr>
                <w:sz w:val="20"/>
                <w:szCs w:val="20"/>
                <w:color w:val="auto"/>
              </w:rPr>
            </w:pPr>
            <w:r>
              <w:rPr>
                <w:rFonts w:ascii="Arial" w:cs="Arial" w:eastAsia="Arial" w:hAnsi="Arial"/>
                <w:sz w:val="14"/>
                <w:szCs w:val="14"/>
                <w:color w:val="auto"/>
              </w:rPr>
              <w:t>697</w:t>
            </w:r>
          </w:p>
        </w:tc>
        <w:tc>
          <w:tcPr>
            <w:tcW w:w="1260" w:type="dxa"/>
            <w:vAlign w:val="bottom"/>
            <w:gridSpan w:val="2"/>
          </w:tcPr>
          <w:p>
            <w:pPr>
              <w:jc w:val="right"/>
              <w:ind w:right="40"/>
              <w:spacing w:after="0"/>
              <w:rPr>
                <w:sz w:val="20"/>
                <w:szCs w:val="20"/>
                <w:color w:val="auto"/>
              </w:rPr>
            </w:pPr>
            <w:r>
              <w:rPr>
                <w:rFonts w:ascii="Arial" w:cs="Arial" w:eastAsia="Arial" w:hAnsi="Arial"/>
                <w:sz w:val="14"/>
                <w:szCs w:val="14"/>
                <w:color w:val="auto"/>
              </w:rPr>
              <w:t>343</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7,671</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257</w:t>
            </w:r>
          </w:p>
        </w:tc>
        <w:tc>
          <w:tcPr>
            <w:tcW w:w="1800" w:type="dxa"/>
            <w:vAlign w:val="bottom"/>
            <w:gridSpan w:val="2"/>
          </w:tcPr>
          <w:p>
            <w:pPr>
              <w:jc w:val="right"/>
              <w:ind w:right="40"/>
              <w:spacing w:after="0"/>
              <w:rPr>
                <w:sz w:val="20"/>
                <w:szCs w:val="20"/>
                <w:color w:val="auto"/>
              </w:rPr>
            </w:pPr>
            <w:r>
              <w:rPr>
                <w:rFonts w:ascii="Arial" w:cs="Arial" w:eastAsia="Arial" w:hAnsi="Arial"/>
                <w:sz w:val="14"/>
                <w:szCs w:val="14"/>
                <w:color w:val="auto"/>
              </w:rPr>
              <w:t>33</w:t>
            </w:r>
          </w:p>
        </w:tc>
        <w:tc>
          <w:tcPr>
            <w:tcW w:w="1280" w:type="dxa"/>
            <w:vAlign w:val="bottom"/>
            <w:gridSpan w:val="2"/>
          </w:tcPr>
          <w:p>
            <w:pPr>
              <w:jc w:val="right"/>
              <w:ind w:right="40"/>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76"/>
        </w:trPr>
        <w:tc>
          <w:tcPr>
            <w:tcW w:w="1120" w:type="dxa"/>
            <w:vAlign w:val="bottom"/>
          </w:tcPr>
          <w:p>
            <w:pPr>
              <w:spacing w:after="0"/>
              <w:rPr>
                <w:sz w:val="20"/>
                <w:szCs w:val="20"/>
                <w:color w:val="auto"/>
              </w:rPr>
            </w:pPr>
            <w:r>
              <w:rPr>
                <w:rFonts w:ascii="Arial" w:cs="Arial" w:eastAsia="Arial" w:hAnsi="Arial"/>
                <w:sz w:val="14"/>
                <w:szCs w:val="14"/>
                <w:color w:val="auto"/>
              </w:rPr>
              <w:t>Insurance</w:t>
            </w:r>
          </w:p>
        </w:tc>
        <w:tc>
          <w:tcPr>
            <w:tcW w:w="1060" w:type="dxa"/>
            <w:vAlign w:val="bottom"/>
          </w:tcPr>
          <w:p>
            <w:pPr>
              <w:jc w:val="right"/>
              <w:spacing w:after="0"/>
              <w:rPr>
                <w:sz w:val="20"/>
                <w:szCs w:val="20"/>
                <w:color w:val="auto"/>
              </w:rPr>
            </w:pPr>
            <w:r>
              <w:rPr>
                <w:rFonts w:ascii="Arial" w:cs="Arial" w:eastAsia="Arial" w:hAnsi="Arial"/>
                <w:sz w:val="14"/>
                <w:szCs w:val="14"/>
                <w:color w:val="auto"/>
              </w:rPr>
              <w:t>145</w:t>
            </w:r>
          </w:p>
        </w:tc>
        <w:tc>
          <w:tcPr>
            <w:tcW w:w="1800" w:type="dxa"/>
            <w:vAlign w:val="bottom"/>
            <w:gridSpan w:val="2"/>
          </w:tcPr>
          <w:p>
            <w:pPr>
              <w:jc w:val="right"/>
              <w:ind w:right="40"/>
              <w:spacing w:after="0"/>
              <w:rPr>
                <w:sz w:val="20"/>
                <w:szCs w:val="20"/>
                <w:color w:val="auto"/>
              </w:rPr>
            </w:pPr>
            <w:r>
              <w:rPr>
                <w:rFonts w:ascii="Arial" w:cs="Arial" w:eastAsia="Arial" w:hAnsi="Arial"/>
                <w:sz w:val="14"/>
                <w:szCs w:val="14"/>
                <w:color w:val="auto"/>
              </w:rPr>
              <w:t>12</w:t>
            </w:r>
          </w:p>
        </w:tc>
        <w:tc>
          <w:tcPr>
            <w:tcW w:w="800" w:type="dxa"/>
            <w:vAlign w:val="bottom"/>
            <w:gridSpan w:val="3"/>
          </w:tcPr>
          <w:p>
            <w:pPr>
              <w:jc w:val="right"/>
              <w:ind w:right="40"/>
              <w:spacing w:after="0"/>
              <w:rPr>
                <w:sz w:val="20"/>
                <w:szCs w:val="20"/>
                <w:color w:val="auto"/>
              </w:rPr>
            </w:pPr>
            <w:r>
              <w:rPr>
                <w:rFonts w:ascii="Arial" w:cs="Arial" w:eastAsia="Arial" w:hAnsi="Arial"/>
                <w:sz w:val="14"/>
                <w:szCs w:val="14"/>
                <w:color w:val="auto"/>
              </w:rPr>
              <w:t>(12)</w:t>
            </w:r>
          </w:p>
        </w:tc>
        <w:tc>
          <w:tcPr>
            <w:tcW w:w="840" w:type="dxa"/>
            <w:vAlign w:val="bottom"/>
          </w:tcPr>
          <w:p>
            <w:pPr>
              <w:jc w:val="right"/>
              <w:spacing w:after="0"/>
              <w:rPr>
                <w:sz w:val="20"/>
                <w:szCs w:val="20"/>
                <w:color w:val="auto"/>
              </w:rPr>
            </w:pPr>
            <w:r>
              <w:rPr>
                <w:rFonts w:ascii="Arial" w:cs="Arial" w:eastAsia="Arial" w:hAnsi="Arial"/>
                <w:sz w:val="14"/>
                <w:szCs w:val="14"/>
                <w:color w:val="auto"/>
              </w:rPr>
              <w:t>145</w:t>
            </w:r>
          </w:p>
        </w:tc>
        <w:tc>
          <w:tcPr>
            <w:tcW w:w="1260" w:type="dxa"/>
            <w:vAlign w:val="bottom"/>
            <w:gridSpan w:val="2"/>
          </w:tcPr>
          <w:p>
            <w:pPr>
              <w:jc w:val="right"/>
              <w:ind w:right="40"/>
              <w:spacing w:after="0"/>
              <w:rPr>
                <w:sz w:val="20"/>
                <w:szCs w:val="20"/>
                <w:color w:val="auto"/>
              </w:rPr>
            </w:pPr>
            <w:r>
              <w:rPr>
                <w:rFonts w:ascii="Arial" w:cs="Arial" w:eastAsia="Arial" w:hAnsi="Arial"/>
                <w:sz w:val="14"/>
                <w:szCs w:val="14"/>
                <w:color w:val="auto"/>
              </w:rPr>
              <w:t>27</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408</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31</w:t>
            </w:r>
          </w:p>
        </w:tc>
        <w:tc>
          <w:tcPr>
            <w:tcW w:w="1800" w:type="dxa"/>
            <w:vAlign w:val="bottom"/>
            <w:gridSpan w:val="2"/>
          </w:tcPr>
          <w:p>
            <w:pPr>
              <w:jc w:val="right"/>
              <w:ind w:right="40"/>
              <w:spacing w:after="0"/>
              <w:rPr>
                <w:sz w:val="20"/>
                <w:szCs w:val="20"/>
                <w:color w:val="auto"/>
              </w:rPr>
            </w:pPr>
            <w:r>
              <w:rPr>
                <w:rFonts w:ascii="Arial" w:cs="Arial" w:eastAsia="Arial" w:hAnsi="Arial"/>
                <w:sz w:val="14"/>
                <w:szCs w:val="14"/>
                <w:color w:val="auto"/>
              </w:rPr>
              <w:t>4</w:t>
            </w:r>
          </w:p>
        </w:tc>
        <w:tc>
          <w:tcPr>
            <w:tcW w:w="1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1120" w:type="dxa"/>
            <w:vAlign w:val="bottom"/>
          </w:tcPr>
          <w:p>
            <w:pPr>
              <w:spacing w:after="0"/>
              <w:rPr>
                <w:sz w:val="20"/>
                <w:szCs w:val="20"/>
                <w:color w:val="auto"/>
              </w:rPr>
            </w:pPr>
            <w:r>
              <w:rPr>
                <w:rFonts w:ascii="Arial" w:cs="Arial" w:eastAsia="Arial" w:hAnsi="Arial"/>
                <w:sz w:val="14"/>
                <w:szCs w:val="14"/>
                <w:color w:val="auto"/>
                <w:w w:val="86"/>
              </w:rPr>
              <w:t>Brokerage and other</w:t>
            </w:r>
          </w:p>
        </w:tc>
        <w:tc>
          <w:tcPr>
            <w:tcW w:w="1060" w:type="dxa"/>
            <w:vAlign w:val="bottom"/>
          </w:tcPr>
          <w:p>
            <w:pPr>
              <w:jc w:val="right"/>
              <w:spacing w:after="0"/>
              <w:rPr>
                <w:sz w:val="20"/>
                <w:szCs w:val="20"/>
                <w:color w:val="auto"/>
              </w:rPr>
            </w:pPr>
            <w:r>
              <w:rPr>
                <w:rFonts w:ascii="Arial" w:cs="Arial" w:eastAsia="Arial" w:hAnsi="Arial"/>
                <w:sz w:val="14"/>
                <w:szCs w:val="14"/>
                <w:color w:val="auto"/>
              </w:rPr>
              <w:t>26</w:t>
            </w:r>
          </w:p>
        </w:tc>
        <w:tc>
          <w:tcPr>
            <w:tcW w:w="1800" w:type="dxa"/>
            <w:vAlign w:val="bottom"/>
            <w:gridSpan w:val="2"/>
          </w:tcPr>
          <w:p>
            <w:pPr>
              <w:jc w:val="right"/>
              <w:ind w:right="40"/>
              <w:spacing w:after="0"/>
              <w:rPr>
                <w:sz w:val="20"/>
                <w:szCs w:val="20"/>
                <w:color w:val="auto"/>
              </w:rPr>
            </w:pPr>
            <w:r>
              <w:rPr>
                <w:rFonts w:ascii="Arial" w:cs="Arial" w:eastAsia="Arial" w:hAnsi="Arial"/>
                <w:sz w:val="14"/>
                <w:szCs w:val="14"/>
                <w:color w:val="auto"/>
              </w:rPr>
              <w:t>76</w:t>
            </w:r>
          </w:p>
        </w:tc>
        <w:tc>
          <w:tcPr>
            <w:tcW w:w="800" w:type="dxa"/>
            <w:vAlign w:val="bottom"/>
            <w:gridSpan w:val="3"/>
          </w:tcPr>
          <w:p>
            <w:pPr>
              <w:jc w:val="right"/>
              <w:ind w:right="40"/>
              <w:spacing w:after="0"/>
              <w:rPr>
                <w:sz w:val="20"/>
                <w:szCs w:val="20"/>
                <w:color w:val="auto"/>
              </w:rPr>
            </w:pPr>
            <w:r>
              <w:rPr>
                <w:rFonts w:ascii="Arial" w:cs="Arial" w:eastAsia="Arial" w:hAnsi="Arial"/>
                <w:sz w:val="14"/>
                <w:szCs w:val="14"/>
                <w:color w:val="auto"/>
              </w:rPr>
              <w:t>(76)</w:t>
            </w:r>
          </w:p>
        </w:tc>
        <w:tc>
          <w:tcPr>
            <w:tcW w:w="840" w:type="dxa"/>
            <w:vAlign w:val="bottom"/>
          </w:tcPr>
          <w:p>
            <w:pPr>
              <w:jc w:val="right"/>
              <w:spacing w:after="0"/>
              <w:rPr>
                <w:sz w:val="20"/>
                <w:szCs w:val="20"/>
                <w:color w:val="auto"/>
              </w:rPr>
            </w:pPr>
            <w:r>
              <w:rPr>
                <w:rFonts w:ascii="Arial" w:cs="Arial" w:eastAsia="Arial" w:hAnsi="Arial"/>
                <w:sz w:val="14"/>
                <w:szCs w:val="14"/>
                <w:color w:val="auto"/>
              </w:rPr>
              <w:t>26</w:t>
            </w:r>
          </w:p>
        </w:tc>
        <w:tc>
          <w:tcPr>
            <w:tcW w:w="1260" w:type="dxa"/>
            <w:vAlign w:val="bottom"/>
            <w:gridSpan w:val="2"/>
          </w:tcPr>
          <w:p>
            <w:pPr>
              <w:jc w:val="right"/>
              <w:ind w:right="40"/>
              <w:spacing w:after="0"/>
              <w:rPr>
                <w:sz w:val="20"/>
                <w:szCs w:val="20"/>
                <w:color w:val="auto"/>
              </w:rPr>
            </w:pPr>
            <w:r>
              <w:rPr>
                <w:rFonts w:ascii="Arial" w:cs="Arial" w:eastAsia="Arial" w:hAnsi="Arial"/>
                <w:sz w:val="14"/>
                <w:szCs w:val="14"/>
                <w:color w:val="auto"/>
              </w:rPr>
              <w:t>11</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551</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2</w:t>
            </w:r>
          </w:p>
        </w:tc>
        <w:tc>
          <w:tcPr>
            <w:tcW w:w="1800" w:type="dxa"/>
            <w:vAlign w:val="bottom"/>
            <w:gridSpan w:val="2"/>
          </w:tcPr>
          <w:p>
            <w:pPr>
              <w:jc w:val="right"/>
              <w:ind w:right="40"/>
              <w:spacing w:after="0"/>
              <w:rPr>
                <w:sz w:val="20"/>
                <w:szCs w:val="20"/>
                <w:color w:val="auto"/>
              </w:rPr>
            </w:pPr>
            <w:r>
              <w:rPr>
                <w:rFonts w:ascii="Arial" w:cs="Arial" w:eastAsia="Arial" w:hAnsi="Arial"/>
                <w:sz w:val="14"/>
                <w:szCs w:val="14"/>
                <w:color w:val="auto"/>
              </w:rPr>
              <w:t>4</w:t>
            </w:r>
          </w:p>
        </w:tc>
        <w:tc>
          <w:tcPr>
            <w:tcW w:w="1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2"/>
        </w:trPr>
        <w:tc>
          <w:tcPr>
            <w:tcW w:w="1120" w:type="dxa"/>
            <w:vAlign w:val="bottom"/>
            <w:vMerge w:val="restart"/>
          </w:tcPr>
          <w:p>
            <w:pPr>
              <w:spacing w:after="0"/>
              <w:rPr>
                <w:sz w:val="20"/>
                <w:szCs w:val="20"/>
                <w:color w:val="auto"/>
              </w:rPr>
            </w:pPr>
            <w:r>
              <w:rPr>
                <w:rFonts w:ascii="Arial" w:cs="Arial" w:eastAsia="Arial" w:hAnsi="Arial"/>
                <w:sz w:val="14"/>
                <w:szCs w:val="14"/>
                <w:b w:val="1"/>
                <w:bCs w:val="1"/>
                <w:color w:val="auto"/>
                <w:w w:val="88"/>
              </w:rPr>
              <w:t>Total consolidated</w:t>
            </w:r>
          </w:p>
        </w:tc>
        <w:tc>
          <w:tcPr>
            <w:tcW w:w="106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04"/>
        </w:trPr>
        <w:tc>
          <w:tcPr>
            <w:tcW w:w="1120" w:type="dxa"/>
            <w:vAlign w:val="bottom"/>
            <w:vMerge w:val="continue"/>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868</w:t>
            </w:r>
          </w:p>
        </w:tc>
        <w:tc>
          <w:tcPr>
            <w:tcW w:w="1800" w:type="dxa"/>
            <w:vAlign w:val="bottom"/>
            <w:gridSpan w:val="2"/>
          </w:tcPr>
          <w:p>
            <w:pPr>
              <w:jc w:val="right"/>
              <w:ind w:right="40"/>
              <w:spacing w:after="0"/>
              <w:rPr>
                <w:sz w:val="20"/>
                <w:szCs w:val="20"/>
                <w:color w:val="auto"/>
              </w:rPr>
            </w:pPr>
            <w:r>
              <w:rPr>
                <w:rFonts w:ascii="Arial" w:cs="Arial" w:eastAsia="Arial" w:hAnsi="Arial"/>
                <w:sz w:val="14"/>
                <w:szCs w:val="14"/>
                <w:color w:val="auto"/>
              </w:rPr>
              <w:t>126</w:t>
            </w:r>
          </w:p>
        </w:tc>
        <w:tc>
          <w:tcPr>
            <w:tcW w:w="800" w:type="dxa"/>
            <w:vAlign w:val="bottom"/>
            <w:gridSpan w:val="3"/>
          </w:tcPr>
          <w:p>
            <w:pPr>
              <w:jc w:val="right"/>
              <w:ind w:right="40"/>
              <w:spacing w:after="0"/>
              <w:rPr>
                <w:sz w:val="20"/>
                <w:szCs w:val="20"/>
                <w:color w:val="auto"/>
              </w:rPr>
            </w:pPr>
            <w:r>
              <w:rPr>
                <w:rFonts w:ascii="Arial" w:cs="Arial" w:eastAsia="Arial" w:hAnsi="Arial"/>
                <w:sz w:val="14"/>
                <w:szCs w:val="14"/>
                <w:color w:val="auto"/>
              </w:rPr>
              <w:t>(126)</w:t>
            </w:r>
          </w:p>
        </w:tc>
        <w:tc>
          <w:tcPr>
            <w:tcW w:w="840" w:type="dxa"/>
            <w:vAlign w:val="bottom"/>
          </w:tcPr>
          <w:p>
            <w:pPr>
              <w:jc w:val="right"/>
              <w:spacing w:after="0"/>
              <w:rPr>
                <w:sz w:val="20"/>
                <w:szCs w:val="20"/>
                <w:color w:val="auto"/>
              </w:rPr>
            </w:pPr>
            <w:r>
              <w:rPr>
                <w:rFonts w:ascii="Arial" w:cs="Arial" w:eastAsia="Arial" w:hAnsi="Arial"/>
                <w:sz w:val="14"/>
                <w:szCs w:val="14"/>
                <w:color w:val="auto"/>
              </w:rPr>
              <w:t>868</w:t>
            </w:r>
          </w:p>
        </w:tc>
        <w:tc>
          <w:tcPr>
            <w:tcW w:w="1260" w:type="dxa"/>
            <w:vAlign w:val="bottom"/>
            <w:gridSpan w:val="2"/>
          </w:tcPr>
          <w:p>
            <w:pPr>
              <w:jc w:val="right"/>
              <w:ind w:right="40"/>
              <w:spacing w:after="0"/>
              <w:rPr>
                <w:sz w:val="20"/>
                <w:szCs w:val="20"/>
                <w:color w:val="auto"/>
              </w:rPr>
            </w:pPr>
            <w:r>
              <w:rPr>
                <w:rFonts w:ascii="Arial" w:cs="Arial" w:eastAsia="Arial" w:hAnsi="Arial"/>
                <w:sz w:val="14"/>
                <w:szCs w:val="14"/>
                <w:color w:val="auto"/>
              </w:rPr>
              <w:t>381</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8,630</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290</w:t>
            </w:r>
          </w:p>
        </w:tc>
        <w:tc>
          <w:tcPr>
            <w:tcW w:w="1800" w:type="dxa"/>
            <w:vAlign w:val="bottom"/>
            <w:gridSpan w:val="2"/>
          </w:tcPr>
          <w:p>
            <w:pPr>
              <w:jc w:val="right"/>
              <w:ind w:right="40"/>
              <w:spacing w:after="0"/>
              <w:rPr>
                <w:sz w:val="20"/>
                <w:szCs w:val="20"/>
                <w:color w:val="auto"/>
              </w:rPr>
            </w:pPr>
            <w:r>
              <w:rPr>
                <w:rFonts w:ascii="Arial" w:cs="Arial" w:eastAsia="Arial" w:hAnsi="Arial"/>
                <w:sz w:val="14"/>
                <w:szCs w:val="14"/>
                <w:color w:val="auto"/>
              </w:rPr>
              <w:t>41</w:t>
            </w:r>
          </w:p>
        </w:tc>
        <w:tc>
          <w:tcPr>
            <w:tcW w:w="1280" w:type="dxa"/>
            <w:vAlign w:val="bottom"/>
            <w:gridSpan w:val="2"/>
          </w:tcPr>
          <w:p>
            <w:pPr>
              <w:jc w:val="right"/>
              <w:ind w:right="40"/>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32"/>
        </w:trPr>
        <w:tc>
          <w:tcPr>
            <w:tcW w:w="1120" w:type="dxa"/>
            <w:vAlign w:val="bottom"/>
            <w:vMerge w:val="restart"/>
          </w:tcPr>
          <w:p>
            <w:pPr>
              <w:spacing w:after="0"/>
              <w:rPr>
                <w:sz w:val="20"/>
                <w:szCs w:val="20"/>
                <w:color w:val="auto"/>
              </w:rPr>
            </w:pPr>
            <w:r>
              <w:rPr>
                <w:rFonts w:ascii="Arial" w:cs="Arial" w:eastAsia="Arial" w:hAnsi="Arial"/>
                <w:sz w:val="14"/>
                <w:szCs w:val="14"/>
                <w:b w:val="1"/>
                <w:bCs w:val="1"/>
                <w:color w:val="auto"/>
              </w:rPr>
              <w:t>2001 -</w:t>
            </w:r>
          </w:p>
        </w:tc>
        <w:tc>
          <w:tcPr>
            <w:tcW w:w="10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7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9"/>
        </w:trPr>
        <w:tc>
          <w:tcPr>
            <w:tcW w:w="112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120" w:type="dxa"/>
            <w:vAlign w:val="bottom"/>
          </w:tcPr>
          <w:p>
            <w:pPr>
              <w:spacing w:after="0"/>
              <w:rPr>
                <w:sz w:val="20"/>
                <w:szCs w:val="20"/>
                <w:color w:val="auto"/>
              </w:rPr>
            </w:pPr>
            <w:r>
              <w:rPr>
                <w:rFonts w:ascii="Arial" w:cs="Arial" w:eastAsia="Arial" w:hAnsi="Arial"/>
                <w:sz w:val="14"/>
                <w:szCs w:val="14"/>
                <w:color w:val="auto"/>
              </w:rPr>
              <w:t>Banking</w:t>
            </w:r>
          </w:p>
        </w:tc>
        <w:tc>
          <w:tcPr>
            <w:tcW w:w="1060" w:type="dxa"/>
            <w:vAlign w:val="bottom"/>
          </w:tcPr>
          <w:p>
            <w:pPr>
              <w:jc w:val="right"/>
              <w:spacing w:after="0"/>
              <w:rPr>
                <w:sz w:val="20"/>
                <w:szCs w:val="20"/>
                <w:color w:val="auto"/>
              </w:rPr>
            </w:pPr>
            <w:r>
              <w:rPr>
                <w:rFonts w:ascii="Arial" w:cs="Arial" w:eastAsia="Arial" w:hAnsi="Arial"/>
                <w:sz w:val="14"/>
                <w:szCs w:val="14"/>
                <w:color w:val="auto"/>
              </w:rPr>
              <w:t>821</w:t>
            </w:r>
          </w:p>
        </w:tc>
        <w:tc>
          <w:tcPr>
            <w:tcW w:w="1800" w:type="dxa"/>
            <w:vAlign w:val="bottom"/>
            <w:gridSpan w:val="2"/>
          </w:tcPr>
          <w:p>
            <w:pPr>
              <w:jc w:val="right"/>
              <w:ind w:right="40"/>
              <w:spacing w:after="0"/>
              <w:rPr>
                <w:sz w:val="20"/>
                <w:szCs w:val="20"/>
                <w:color w:val="auto"/>
              </w:rPr>
            </w:pPr>
            <w:r>
              <w:rPr>
                <w:rFonts w:ascii="Arial" w:cs="Arial" w:eastAsia="Arial" w:hAnsi="Arial"/>
                <w:sz w:val="14"/>
                <w:szCs w:val="14"/>
                <w:color w:val="auto"/>
              </w:rPr>
              <w:t>38</w:t>
            </w:r>
          </w:p>
        </w:tc>
        <w:tc>
          <w:tcPr>
            <w:tcW w:w="800" w:type="dxa"/>
            <w:vAlign w:val="bottom"/>
            <w:gridSpan w:val="3"/>
          </w:tcPr>
          <w:p>
            <w:pPr>
              <w:jc w:val="right"/>
              <w:ind w:right="40"/>
              <w:spacing w:after="0"/>
              <w:rPr>
                <w:sz w:val="20"/>
                <w:szCs w:val="20"/>
                <w:color w:val="auto"/>
              </w:rPr>
            </w:pPr>
            <w:r>
              <w:rPr>
                <w:rFonts w:ascii="Arial" w:cs="Arial" w:eastAsia="Arial" w:hAnsi="Arial"/>
                <w:sz w:val="14"/>
                <w:szCs w:val="14"/>
                <w:color w:val="auto"/>
              </w:rPr>
              <w:t>(38)</w:t>
            </w:r>
          </w:p>
        </w:tc>
        <w:tc>
          <w:tcPr>
            <w:tcW w:w="840" w:type="dxa"/>
            <w:vAlign w:val="bottom"/>
          </w:tcPr>
          <w:p>
            <w:pPr>
              <w:jc w:val="right"/>
              <w:spacing w:after="0"/>
              <w:rPr>
                <w:sz w:val="20"/>
                <w:szCs w:val="20"/>
                <w:color w:val="auto"/>
              </w:rPr>
            </w:pPr>
            <w:r>
              <w:rPr>
                <w:rFonts w:ascii="Arial" w:cs="Arial" w:eastAsia="Arial" w:hAnsi="Arial"/>
                <w:sz w:val="14"/>
                <w:szCs w:val="14"/>
                <w:color w:val="auto"/>
              </w:rPr>
              <w:t>821</w:t>
            </w:r>
          </w:p>
        </w:tc>
        <w:tc>
          <w:tcPr>
            <w:tcW w:w="1260" w:type="dxa"/>
            <w:vAlign w:val="bottom"/>
            <w:gridSpan w:val="2"/>
          </w:tcPr>
          <w:p>
            <w:pPr>
              <w:jc w:val="right"/>
              <w:ind w:right="40"/>
              <w:spacing w:after="0"/>
              <w:rPr>
                <w:sz w:val="20"/>
                <w:szCs w:val="20"/>
                <w:color w:val="auto"/>
              </w:rPr>
            </w:pPr>
            <w:r>
              <w:rPr>
                <w:rFonts w:ascii="Arial" w:cs="Arial" w:eastAsia="Arial" w:hAnsi="Arial"/>
                <w:sz w:val="14"/>
                <w:szCs w:val="14"/>
                <w:color w:val="auto"/>
              </w:rPr>
              <w:t>364</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6,628</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221</w:t>
            </w:r>
          </w:p>
        </w:tc>
        <w:tc>
          <w:tcPr>
            <w:tcW w:w="1800" w:type="dxa"/>
            <w:vAlign w:val="bottom"/>
            <w:gridSpan w:val="2"/>
          </w:tcPr>
          <w:p>
            <w:pPr>
              <w:jc w:val="right"/>
              <w:ind w:right="40"/>
              <w:spacing w:after="0"/>
              <w:rPr>
                <w:sz w:val="20"/>
                <w:szCs w:val="20"/>
                <w:color w:val="auto"/>
              </w:rPr>
            </w:pPr>
            <w:r>
              <w:rPr>
                <w:rFonts w:ascii="Arial" w:cs="Arial" w:eastAsia="Arial" w:hAnsi="Arial"/>
                <w:sz w:val="14"/>
                <w:szCs w:val="14"/>
                <w:color w:val="auto"/>
              </w:rPr>
              <w:t>34</w:t>
            </w:r>
          </w:p>
        </w:tc>
        <w:tc>
          <w:tcPr>
            <w:tcW w:w="1280" w:type="dxa"/>
            <w:vAlign w:val="bottom"/>
            <w:gridSpan w:val="2"/>
          </w:tcPr>
          <w:p>
            <w:pPr>
              <w:jc w:val="right"/>
              <w:ind w:right="40"/>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76"/>
        </w:trPr>
        <w:tc>
          <w:tcPr>
            <w:tcW w:w="1120" w:type="dxa"/>
            <w:vAlign w:val="bottom"/>
          </w:tcPr>
          <w:p>
            <w:pPr>
              <w:spacing w:after="0"/>
              <w:rPr>
                <w:sz w:val="20"/>
                <w:szCs w:val="20"/>
                <w:color w:val="auto"/>
              </w:rPr>
            </w:pPr>
            <w:r>
              <w:rPr>
                <w:rFonts w:ascii="Arial" w:cs="Arial" w:eastAsia="Arial" w:hAnsi="Arial"/>
                <w:sz w:val="14"/>
                <w:szCs w:val="14"/>
                <w:color w:val="auto"/>
              </w:rPr>
              <w:t>Insurance</w:t>
            </w:r>
          </w:p>
        </w:tc>
        <w:tc>
          <w:tcPr>
            <w:tcW w:w="1060" w:type="dxa"/>
            <w:vAlign w:val="bottom"/>
          </w:tcPr>
          <w:p>
            <w:pPr>
              <w:jc w:val="right"/>
              <w:spacing w:after="0"/>
              <w:rPr>
                <w:sz w:val="20"/>
                <w:szCs w:val="20"/>
                <w:color w:val="auto"/>
              </w:rPr>
            </w:pPr>
            <w:r>
              <w:rPr>
                <w:rFonts w:ascii="Arial" w:cs="Arial" w:eastAsia="Arial" w:hAnsi="Arial"/>
                <w:sz w:val="14"/>
                <w:szCs w:val="14"/>
                <w:color w:val="auto"/>
              </w:rPr>
              <w:t>151</w:t>
            </w:r>
          </w:p>
        </w:tc>
        <w:tc>
          <w:tcPr>
            <w:tcW w:w="1800" w:type="dxa"/>
            <w:vAlign w:val="bottom"/>
            <w:gridSpan w:val="2"/>
          </w:tcPr>
          <w:p>
            <w:pPr>
              <w:jc w:val="right"/>
              <w:ind w:right="40"/>
              <w:spacing w:after="0"/>
              <w:rPr>
                <w:sz w:val="20"/>
                <w:szCs w:val="20"/>
                <w:color w:val="auto"/>
              </w:rPr>
            </w:pPr>
            <w:r>
              <w:rPr>
                <w:rFonts w:ascii="Arial" w:cs="Arial" w:eastAsia="Arial" w:hAnsi="Arial"/>
                <w:sz w:val="14"/>
                <w:szCs w:val="14"/>
                <w:color w:val="auto"/>
              </w:rPr>
              <w:t>11</w:t>
            </w:r>
          </w:p>
        </w:tc>
        <w:tc>
          <w:tcPr>
            <w:tcW w:w="800" w:type="dxa"/>
            <w:vAlign w:val="bottom"/>
            <w:gridSpan w:val="3"/>
          </w:tcPr>
          <w:p>
            <w:pPr>
              <w:jc w:val="right"/>
              <w:ind w:right="40"/>
              <w:spacing w:after="0"/>
              <w:rPr>
                <w:sz w:val="20"/>
                <w:szCs w:val="20"/>
                <w:color w:val="auto"/>
              </w:rPr>
            </w:pPr>
            <w:r>
              <w:rPr>
                <w:rFonts w:ascii="Arial" w:cs="Arial" w:eastAsia="Arial" w:hAnsi="Arial"/>
                <w:sz w:val="14"/>
                <w:szCs w:val="14"/>
                <w:color w:val="auto"/>
              </w:rPr>
              <w:t>(11)</w:t>
            </w:r>
          </w:p>
        </w:tc>
        <w:tc>
          <w:tcPr>
            <w:tcW w:w="840" w:type="dxa"/>
            <w:vAlign w:val="bottom"/>
          </w:tcPr>
          <w:p>
            <w:pPr>
              <w:jc w:val="right"/>
              <w:spacing w:after="0"/>
              <w:rPr>
                <w:sz w:val="20"/>
                <w:szCs w:val="20"/>
                <w:color w:val="auto"/>
              </w:rPr>
            </w:pPr>
            <w:r>
              <w:rPr>
                <w:rFonts w:ascii="Arial" w:cs="Arial" w:eastAsia="Arial" w:hAnsi="Arial"/>
                <w:sz w:val="14"/>
                <w:szCs w:val="14"/>
                <w:color w:val="auto"/>
              </w:rPr>
              <w:t>151</w:t>
            </w:r>
          </w:p>
        </w:tc>
        <w:tc>
          <w:tcPr>
            <w:tcW w:w="1260" w:type="dxa"/>
            <w:vAlign w:val="bottom"/>
            <w:gridSpan w:val="2"/>
          </w:tcPr>
          <w:p>
            <w:pPr>
              <w:jc w:val="right"/>
              <w:ind w:right="40"/>
              <w:spacing w:after="0"/>
              <w:rPr>
                <w:sz w:val="20"/>
                <w:szCs w:val="20"/>
                <w:color w:val="auto"/>
              </w:rPr>
            </w:pPr>
            <w:r>
              <w:rPr>
                <w:rFonts w:ascii="Arial" w:cs="Arial" w:eastAsia="Arial" w:hAnsi="Arial"/>
                <w:sz w:val="14"/>
                <w:szCs w:val="14"/>
                <w:color w:val="auto"/>
              </w:rPr>
              <w:t>15</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395</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33</w:t>
            </w:r>
          </w:p>
        </w:tc>
        <w:tc>
          <w:tcPr>
            <w:tcW w:w="1800" w:type="dxa"/>
            <w:vAlign w:val="bottom"/>
            <w:gridSpan w:val="2"/>
          </w:tcPr>
          <w:p>
            <w:pPr>
              <w:jc w:val="right"/>
              <w:ind w:right="40"/>
              <w:spacing w:after="0"/>
              <w:rPr>
                <w:sz w:val="20"/>
                <w:szCs w:val="20"/>
                <w:color w:val="auto"/>
              </w:rPr>
            </w:pPr>
            <w:r>
              <w:rPr>
                <w:rFonts w:ascii="Arial" w:cs="Arial" w:eastAsia="Arial" w:hAnsi="Arial"/>
                <w:sz w:val="14"/>
                <w:szCs w:val="14"/>
                <w:color w:val="auto"/>
              </w:rPr>
              <w:t>4</w:t>
            </w:r>
          </w:p>
        </w:tc>
        <w:tc>
          <w:tcPr>
            <w:tcW w:w="1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1120" w:type="dxa"/>
            <w:vAlign w:val="bottom"/>
          </w:tcPr>
          <w:p>
            <w:pPr>
              <w:spacing w:after="0"/>
              <w:rPr>
                <w:sz w:val="20"/>
                <w:szCs w:val="20"/>
                <w:color w:val="auto"/>
              </w:rPr>
            </w:pPr>
            <w:r>
              <w:rPr>
                <w:rFonts w:ascii="Arial" w:cs="Arial" w:eastAsia="Arial" w:hAnsi="Arial"/>
                <w:sz w:val="14"/>
                <w:szCs w:val="14"/>
                <w:color w:val="auto"/>
                <w:w w:val="86"/>
              </w:rPr>
              <w:t>Brokerage and other</w:t>
            </w:r>
          </w:p>
        </w:tc>
        <w:tc>
          <w:tcPr>
            <w:tcW w:w="1060" w:type="dxa"/>
            <w:vAlign w:val="bottom"/>
          </w:tcPr>
          <w:p>
            <w:pPr>
              <w:jc w:val="right"/>
              <w:spacing w:after="0"/>
              <w:rPr>
                <w:sz w:val="20"/>
                <w:szCs w:val="20"/>
                <w:color w:val="auto"/>
              </w:rPr>
            </w:pPr>
            <w:r>
              <w:rPr>
                <w:rFonts w:ascii="Arial" w:cs="Arial" w:eastAsia="Arial" w:hAnsi="Arial"/>
                <w:sz w:val="14"/>
                <w:szCs w:val="14"/>
                <w:color w:val="auto"/>
              </w:rPr>
              <w:t>52</w:t>
            </w:r>
          </w:p>
        </w:tc>
        <w:tc>
          <w:tcPr>
            <w:tcW w:w="1800" w:type="dxa"/>
            <w:vAlign w:val="bottom"/>
            <w:gridSpan w:val="2"/>
          </w:tcPr>
          <w:p>
            <w:pPr>
              <w:jc w:val="right"/>
              <w:ind w:right="40"/>
              <w:spacing w:after="0"/>
              <w:rPr>
                <w:sz w:val="20"/>
                <w:szCs w:val="20"/>
                <w:color w:val="auto"/>
              </w:rPr>
            </w:pPr>
            <w:r>
              <w:rPr>
                <w:rFonts w:ascii="Arial" w:cs="Arial" w:eastAsia="Arial" w:hAnsi="Arial"/>
                <w:sz w:val="14"/>
                <w:szCs w:val="14"/>
                <w:color w:val="auto"/>
              </w:rPr>
              <w:t>77</w:t>
            </w:r>
          </w:p>
        </w:tc>
        <w:tc>
          <w:tcPr>
            <w:tcW w:w="800" w:type="dxa"/>
            <w:vAlign w:val="bottom"/>
            <w:gridSpan w:val="3"/>
          </w:tcPr>
          <w:p>
            <w:pPr>
              <w:jc w:val="right"/>
              <w:ind w:right="40"/>
              <w:spacing w:after="0"/>
              <w:rPr>
                <w:sz w:val="20"/>
                <w:szCs w:val="20"/>
                <w:color w:val="auto"/>
              </w:rPr>
            </w:pPr>
            <w:r>
              <w:rPr>
                <w:rFonts w:ascii="Arial" w:cs="Arial" w:eastAsia="Arial" w:hAnsi="Arial"/>
                <w:sz w:val="14"/>
                <w:szCs w:val="14"/>
                <w:color w:val="auto"/>
              </w:rPr>
              <w:t>(77)</w:t>
            </w:r>
          </w:p>
        </w:tc>
        <w:tc>
          <w:tcPr>
            <w:tcW w:w="840" w:type="dxa"/>
            <w:vAlign w:val="bottom"/>
          </w:tcPr>
          <w:p>
            <w:pPr>
              <w:jc w:val="right"/>
              <w:spacing w:after="0"/>
              <w:rPr>
                <w:sz w:val="20"/>
                <w:szCs w:val="20"/>
                <w:color w:val="auto"/>
              </w:rPr>
            </w:pPr>
            <w:r>
              <w:rPr>
                <w:rFonts w:ascii="Arial" w:cs="Arial" w:eastAsia="Arial" w:hAnsi="Arial"/>
                <w:sz w:val="14"/>
                <w:szCs w:val="14"/>
                <w:color w:val="auto"/>
              </w:rPr>
              <w:t>52</w:t>
            </w:r>
          </w:p>
        </w:tc>
        <w:tc>
          <w:tcPr>
            <w:tcW w:w="1260" w:type="dxa"/>
            <w:vAlign w:val="bottom"/>
            <w:gridSpan w:val="2"/>
          </w:tcPr>
          <w:p>
            <w:pPr>
              <w:jc w:val="right"/>
              <w:ind w:right="40"/>
              <w:spacing w:after="0"/>
              <w:rPr>
                <w:sz w:val="20"/>
                <w:szCs w:val="20"/>
                <w:color w:val="auto"/>
              </w:rPr>
            </w:pPr>
            <w:r>
              <w:rPr>
                <w:rFonts w:ascii="Arial" w:cs="Arial" w:eastAsia="Arial" w:hAnsi="Arial"/>
                <w:sz w:val="14"/>
                <w:szCs w:val="14"/>
                <w:color w:val="auto"/>
              </w:rPr>
              <w:t>12</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559</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5</w:t>
            </w:r>
          </w:p>
        </w:tc>
        <w:tc>
          <w:tcPr>
            <w:tcW w:w="1800" w:type="dxa"/>
            <w:vAlign w:val="bottom"/>
            <w:gridSpan w:val="2"/>
          </w:tcPr>
          <w:p>
            <w:pPr>
              <w:jc w:val="right"/>
              <w:ind w:right="40"/>
              <w:spacing w:after="0"/>
              <w:rPr>
                <w:sz w:val="20"/>
                <w:szCs w:val="20"/>
                <w:color w:val="auto"/>
              </w:rPr>
            </w:pPr>
            <w:r>
              <w:rPr>
                <w:rFonts w:ascii="Arial" w:cs="Arial" w:eastAsia="Arial" w:hAnsi="Arial"/>
                <w:sz w:val="14"/>
                <w:szCs w:val="14"/>
                <w:color w:val="auto"/>
              </w:rPr>
              <w:t>5</w:t>
            </w:r>
          </w:p>
        </w:tc>
        <w:tc>
          <w:tcPr>
            <w:tcW w:w="1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2"/>
        </w:trPr>
        <w:tc>
          <w:tcPr>
            <w:tcW w:w="1120" w:type="dxa"/>
            <w:vAlign w:val="bottom"/>
            <w:vMerge w:val="restart"/>
          </w:tcPr>
          <w:p>
            <w:pPr>
              <w:spacing w:after="0"/>
              <w:rPr>
                <w:sz w:val="20"/>
                <w:szCs w:val="20"/>
                <w:color w:val="auto"/>
              </w:rPr>
            </w:pPr>
            <w:r>
              <w:rPr>
                <w:rFonts w:ascii="Arial" w:cs="Arial" w:eastAsia="Arial" w:hAnsi="Arial"/>
                <w:sz w:val="14"/>
                <w:szCs w:val="14"/>
                <w:b w:val="1"/>
                <w:bCs w:val="1"/>
                <w:color w:val="auto"/>
                <w:w w:val="88"/>
              </w:rPr>
              <w:t>Total consolidated</w:t>
            </w:r>
          </w:p>
        </w:tc>
        <w:tc>
          <w:tcPr>
            <w:tcW w:w="106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04"/>
        </w:trPr>
        <w:tc>
          <w:tcPr>
            <w:tcW w:w="1120" w:type="dxa"/>
            <w:vAlign w:val="bottom"/>
            <w:vMerge w:val="continue"/>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1,024</w:t>
            </w:r>
          </w:p>
        </w:tc>
        <w:tc>
          <w:tcPr>
            <w:tcW w:w="1800" w:type="dxa"/>
            <w:vAlign w:val="bottom"/>
            <w:gridSpan w:val="2"/>
          </w:tcPr>
          <w:p>
            <w:pPr>
              <w:jc w:val="right"/>
              <w:ind w:right="40"/>
              <w:spacing w:after="0"/>
              <w:rPr>
                <w:sz w:val="20"/>
                <w:szCs w:val="20"/>
                <w:color w:val="auto"/>
              </w:rPr>
            </w:pPr>
            <w:r>
              <w:rPr>
                <w:rFonts w:ascii="Arial" w:cs="Arial" w:eastAsia="Arial" w:hAnsi="Arial"/>
                <w:sz w:val="14"/>
                <w:szCs w:val="14"/>
                <w:color w:val="auto"/>
              </w:rPr>
              <w:t>126</w:t>
            </w:r>
          </w:p>
        </w:tc>
        <w:tc>
          <w:tcPr>
            <w:tcW w:w="800" w:type="dxa"/>
            <w:vAlign w:val="bottom"/>
            <w:gridSpan w:val="3"/>
          </w:tcPr>
          <w:p>
            <w:pPr>
              <w:jc w:val="right"/>
              <w:ind w:right="40"/>
              <w:spacing w:after="0"/>
              <w:rPr>
                <w:sz w:val="20"/>
                <w:szCs w:val="20"/>
                <w:color w:val="auto"/>
              </w:rPr>
            </w:pPr>
            <w:r>
              <w:rPr>
                <w:rFonts w:ascii="Arial" w:cs="Arial" w:eastAsia="Arial" w:hAnsi="Arial"/>
                <w:sz w:val="14"/>
                <w:szCs w:val="14"/>
                <w:color w:val="auto"/>
              </w:rPr>
              <w:t>(126)</w:t>
            </w:r>
          </w:p>
        </w:tc>
        <w:tc>
          <w:tcPr>
            <w:tcW w:w="840" w:type="dxa"/>
            <w:vAlign w:val="bottom"/>
          </w:tcPr>
          <w:p>
            <w:pPr>
              <w:jc w:val="right"/>
              <w:spacing w:after="0"/>
              <w:rPr>
                <w:sz w:val="20"/>
                <w:szCs w:val="20"/>
                <w:color w:val="auto"/>
              </w:rPr>
            </w:pPr>
            <w:r>
              <w:rPr>
                <w:rFonts w:ascii="Arial" w:cs="Arial" w:eastAsia="Arial" w:hAnsi="Arial"/>
                <w:sz w:val="14"/>
                <w:szCs w:val="14"/>
                <w:color w:val="auto"/>
              </w:rPr>
              <w:t>1,024</w:t>
            </w:r>
          </w:p>
        </w:tc>
        <w:tc>
          <w:tcPr>
            <w:tcW w:w="1260" w:type="dxa"/>
            <w:vAlign w:val="bottom"/>
            <w:gridSpan w:val="2"/>
          </w:tcPr>
          <w:p>
            <w:pPr>
              <w:jc w:val="right"/>
              <w:ind w:right="40"/>
              <w:spacing w:after="0"/>
              <w:rPr>
                <w:sz w:val="20"/>
                <w:szCs w:val="20"/>
                <w:color w:val="auto"/>
              </w:rPr>
            </w:pPr>
            <w:r>
              <w:rPr>
                <w:rFonts w:ascii="Arial" w:cs="Arial" w:eastAsia="Arial" w:hAnsi="Arial"/>
                <w:sz w:val="14"/>
                <w:szCs w:val="14"/>
                <w:color w:val="auto"/>
              </w:rPr>
              <w:t>391</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7,582</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259</w:t>
            </w:r>
          </w:p>
        </w:tc>
        <w:tc>
          <w:tcPr>
            <w:tcW w:w="1800" w:type="dxa"/>
            <w:vAlign w:val="bottom"/>
            <w:gridSpan w:val="2"/>
          </w:tcPr>
          <w:p>
            <w:pPr>
              <w:jc w:val="right"/>
              <w:ind w:right="40"/>
              <w:spacing w:after="0"/>
              <w:rPr>
                <w:sz w:val="20"/>
                <w:szCs w:val="20"/>
                <w:color w:val="auto"/>
              </w:rPr>
            </w:pPr>
            <w:r>
              <w:rPr>
                <w:rFonts w:ascii="Arial" w:cs="Arial" w:eastAsia="Arial" w:hAnsi="Arial"/>
                <w:sz w:val="14"/>
                <w:szCs w:val="14"/>
                <w:color w:val="auto"/>
              </w:rPr>
              <w:t>43</w:t>
            </w:r>
          </w:p>
        </w:tc>
        <w:tc>
          <w:tcPr>
            <w:tcW w:w="1280" w:type="dxa"/>
            <w:vAlign w:val="bottom"/>
            <w:gridSpan w:val="2"/>
          </w:tcPr>
          <w:p>
            <w:pPr>
              <w:jc w:val="right"/>
              <w:ind w:right="40"/>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32"/>
        </w:trPr>
        <w:tc>
          <w:tcPr>
            <w:tcW w:w="112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7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1390015</wp:posOffset>
            </wp:positionH>
            <wp:positionV relativeFrom="paragraph">
              <wp:posOffset>-2338070</wp:posOffset>
            </wp:positionV>
            <wp:extent cx="34290" cy="34290"/>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2531110</wp:posOffset>
            </wp:positionH>
            <wp:positionV relativeFrom="paragraph">
              <wp:posOffset>-2338070</wp:posOffset>
            </wp:positionV>
            <wp:extent cx="34290" cy="34290"/>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3019425</wp:posOffset>
            </wp:positionH>
            <wp:positionV relativeFrom="paragraph">
              <wp:posOffset>-2338070</wp:posOffset>
            </wp:positionV>
            <wp:extent cx="34290" cy="34290"/>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3568700</wp:posOffset>
            </wp:positionH>
            <wp:positionV relativeFrom="paragraph">
              <wp:posOffset>-2338070</wp:posOffset>
            </wp:positionV>
            <wp:extent cx="34290" cy="34290"/>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4374515</wp:posOffset>
            </wp:positionH>
            <wp:positionV relativeFrom="paragraph">
              <wp:posOffset>-2338070</wp:posOffset>
            </wp:positionV>
            <wp:extent cx="34290" cy="34290"/>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4812030</wp:posOffset>
            </wp:positionH>
            <wp:positionV relativeFrom="paragraph">
              <wp:posOffset>-2338070</wp:posOffset>
            </wp:positionV>
            <wp:extent cx="34290" cy="34290"/>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5266690</wp:posOffset>
            </wp:positionH>
            <wp:positionV relativeFrom="paragraph">
              <wp:posOffset>-2338070</wp:posOffset>
            </wp:positionV>
            <wp:extent cx="34290" cy="34290"/>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6407150</wp:posOffset>
            </wp:positionH>
            <wp:positionV relativeFrom="paragraph">
              <wp:posOffset>-2338070</wp:posOffset>
            </wp:positionV>
            <wp:extent cx="34290" cy="34290"/>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-2338070</wp:posOffset>
            </wp:positionV>
            <wp:extent cx="34290" cy="34290"/>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1400810</wp:posOffset>
            </wp:positionH>
            <wp:positionV relativeFrom="paragraph">
              <wp:posOffset>-2038350</wp:posOffset>
            </wp:positionV>
            <wp:extent cx="12700" cy="8890"/>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740410</wp:posOffset>
            </wp:positionH>
            <wp:positionV relativeFrom="paragraph">
              <wp:posOffset>-2038350</wp:posOffset>
            </wp:positionV>
            <wp:extent cx="12700" cy="8890"/>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-2038350</wp:posOffset>
            </wp:positionV>
            <wp:extent cx="12700" cy="8890"/>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1426845</wp:posOffset>
            </wp:positionH>
            <wp:positionV relativeFrom="paragraph">
              <wp:posOffset>-2038350</wp:posOffset>
            </wp:positionV>
            <wp:extent cx="12700" cy="8890"/>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-2038350</wp:posOffset>
            </wp:positionV>
            <wp:extent cx="12700" cy="8890"/>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2567305</wp:posOffset>
            </wp:positionH>
            <wp:positionV relativeFrom="paragraph">
              <wp:posOffset>-2038350</wp:posOffset>
            </wp:positionV>
            <wp:extent cx="12700" cy="8890"/>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-2038350</wp:posOffset>
            </wp:positionV>
            <wp:extent cx="12700" cy="8890"/>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-2038350</wp:posOffset>
            </wp:positionV>
            <wp:extent cx="12700" cy="8890"/>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-2038350</wp:posOffset>
            </wp:positionV>
            <wp:extent cx="12700" cy="8890"/>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-2038350</wp:posOffset>
            </wp:positionV>
            <wp:extent cx="12700" cy="8890"/>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-2038350</wp:posOffset>
            </wp:positionV>
            <wp:extent cx="12700" cy="8890"/>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-2038350</wp:posOffset>
            </wp:positionV>
            <wp:extent cx="12700" cy="8890"/>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-2038350</wp:posOffset>
            </wp:positionV>
            <wp:extent cx="12700" cy="8890"/>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-2038350</wp:posOffset>
            </wp:positionV>
            <wp:extent cx="12700" cy="8890"/>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-2038350</wp:posOffset>
            </wp:positionV>
            <wp:extent cx="12700" cy="8890"/>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-2038350</wp:posOffset>
            </wp:positionV>
            <wp:extent cx="12700" cy="8890"/>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-2038350</wp:posOffset>
            </wp:positionV>
            <wp:extent cx="12700" cy="8890"/>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-2038350</wp:posOffset>
            </wp:positionV>
            <wp:extent cx="12700" cy="8890"/>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1390015</wp:posOffset>
            </wp:positionH>
            <wp:positionV relativeFrom="paragraph">
              <wp:posOffset>-1326515</wp:posOffset>
            </wp:positionV>
            <wp:extent cx="34290" cy="34290"/>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2531110</wp:posOffset>
            </wp:positionH>
            <wp:positionV relativeFrom="paragraph">
              <wp:posOffset>-1326515</wp:posOffset>
            </wp:positionV>
            <wp:extent cx="34290" cy="34290"/>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3019425</wp:posOffset>
            </wp:positionH>
            <wp:positionV relativeFrom="paragraph">
              <wp:posOffset>-1326515</wp:posOffset>
            </wp:positionV>
            <wp:extent cx="34290" cy="34290"/>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3568700</wp:posOffset>
            </wp:positionH>
            <wp:positionV relativeFrom="paragraph">
              <wp:posOffset>-1326515</wp:posOffset>
            </wp:positionV>
            <wp:extent cx="34290" cy="34290"/>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4374515</wp:posOffset>
            </wp:positionH>
            <wp:positionV relativeFrom="paragraph">
              <wp:posOffset>-1326515</wp:posOffset>
            </wp:positionV>
            <wp:extent cx="34290" cy="34290"/>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4812030</wp:posOffset>
            </wp:positionH>
            <wp:positionV relativeFrom="paragraph">
              <wp:posOffset>-1326515</wp:posOffset>
            </wp:positionV>
            <wp:extent cx="34290" cy="34290"/>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5266690</wp:posOffset>
            </wp:positionH>
            <wp:positionV relativeFrom="paragraph">
              <wp:posOffset>-1326515</wp:posOffset>
            </wp:positionV>
            <wp:extent cx="34290" cy="34290"/>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6407150</wp:posOffset>
            </wp:positionH>
            <wp:positionV relativeFrom="paragraph">
              <wp:posOffset>-1326515</wp:posOffset>
            </wp:positionV>
            <wp:extent cx="34290" cy="34290"/>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-1326515</wp:posOffset>
            </wp:positionV>
            <wp:extent cx="34290" cy="34290"/>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1400810</wp:posOffset>
            </wp:positionH>
            <wp:positionV relativeFrom="paragraph">
              <wp:posOffset>-1026160</wp:posOffset>
            </wp:positionV>
            <wp:extent cx="12700" cy="8890"/>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740410</wp:posOffset>
            </wp:positionH>
            <wp:positionV relativeFrom="paragraph">
              <wp:posOffset>-1026160</wp:posOffset>
            </wp:positionV>
            <wp:extent cx="12700" cy="8890"/>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-1026160</wp:posOffset>
            </wp:positionV>
            <wp:extent cx="12700" cy="8890"/>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1426845</wp:posOffset>
            </wp:positionH>
            <wp:positionV relativeFrom="paragraph">
              <wp:posOffset>-1026160</wp:posOffset>
            </wp:positionV>
            <wp:extent cx="12700" cy="8890"/>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-1026160</wp:posOffset>
            </wp:positionV>
            <wp:extent cx="12700" cy="8890"/>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2567305</wp:posOffset>
            </wp:positionH>
            <wp:positionV relativeFrom="paragraph">
              <wp:posOffset>-1026160</wp:posOffset>
            </wp:positionV>
            <wp:extent cx="12700" cy="8890"/>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-1026160</wp:posOffset>
            </wp:positionV>
            <wp:extent cx="12700" cy="8890"/>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-1026160</wp:posOffset>
            </wp:positionV>
            <wp:extent cx="12700" cy="8890"/>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-1026160</wp:posOffset>
            </wp:positionV>
            <wp:extent cx="12700" cy="8890"/>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-1026160</wp:posOffset>
            </wp:positionV>
            <wp:extent cx="12700" cy="8890"/>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-1026160</wp:posOffset>
            </wp:positionV>
            <wp:extent cx="12700" cy="8890"/>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-1026160</wp:posOffset>
            </wp:positionV>
            <wp:extent cx="12700" cy="8890"/>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-1026160</wp:posOffset>
            </wp:positionV>
            <wp:extent cx="12700" cy="8890"/>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-1026160</wp:posOffset>
            </wp:positionV>
            <wp:extent cx="12700" cy="8890"/>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-1026160</wp:posOffset>
            </wp:positionV>
            <wp:extent cx="12700" cy="8890"/>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-1026160</wp:posOffset>
            </wp:positionV>
            <wp:extent cx="12700" cy="8890"/>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-1026160</wp:posOffset>
            </wp:positionV>
            <wp:extent cx="12700" cy="8890"/>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-1026160</wp:posOffset>
            </wp:positionV>
            <wp:extent cx="12700" cy="8890"/>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1390015</wp:posOffset>
            </wp:positionH>
            <wp:positionV relativeFrom="paragraph">
              <wp:posOffset>-314325</wp:posOffset>
            </wp:positionV>
            <wp:extent cx="34290" cy="34290"/>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2531110</wp:posOffset>
            </wp:positionH>
            <wp:positionV relativeFrom="paragraph">
              <wp:posOffset>-314325</wp:posOffset>
            </wp:positionV>
            <wp:extent cx="34290" cy="34290"/>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3019425</wp:posOffset>
            </wp:positionH>
            <wp:positionV relativeFrom="paragraph">
              <wp:posOffset>-314325</wp:posOffset>
            </wp:positionV>
            <wp:extent cx="34290" cy="34290"/>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3568700</wp:posOffset>
            </wp:positionH>
            <wp:positionV relativeFrom="paragraph">
              <wp:posOffset>-314325</wp:posOffset>
            </wp:positionV>
            <wp:extent cx="34290" cy="34290"/>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4374515</wp:posOffset>
            </wp:positionH>
            <wp:positionV relativeFrom="paragraph">
              <wp:posOffset>-314325</wp:posOffset>
            </wp:positionV>
            <wp:extent cx="34290" cy="34290"/>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4812030</wp:posOffset>
            </wp:positionH>
            <wp:positionV relativeFrom="paragraph">
              <wp:posOffset>-314325</wp:posOffset>
            </wp:positionV>
            <wp:extent cx="34290" cy="34290"/>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5266690</wp:posOffset>
            </wp:positionH>
            <wp:positionV relativeFrom="paragraph">
              <wp:posOffset>-314325</wp:posOffset>
            </wp:positionV>
            <wp:extent cx="34290" cy="34290"/>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6407150</wp:posOffset>
            </wp:positionH>
            <wp:positionV relativeFrom="paragraph">
              <wp:posOffset>-314325</wp:posOffset>
            </wp:positionV>
            <wp:extent cx="34290" cy="34290"/>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-314325</wp:posOffset>
            </wp:positionV>
            <wp:extent cx="34290" cy="34290"/>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1400810</wp:posOffset>
            </wp:positionH>
            <wp:positionV relativeFrom="paragraph">
              <wp:posOffset>-14605</wp:posOffset>
            </wp:positionV>
            <wp:extent cx="12700" cy="8890"/>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740410</wp:posOffset>
            </wp:positionH>
            <wp:positionV relativeFrom="paragraph">
              <wp:posOffset>-14605</wp:posOffset>
            </wp:positionV>
            <wp:extent cx="12700" cy="8890"/>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-14605</wp:posOffset>
            </wp:positionV>
            <wp:extent cx="12700" cy="8890"/>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1426845</wp:posOffset>
            </wp:positionH>
            <wp:positionV relativeFrom="paragraph">
              <wp:posOffset>-14605</wp:posOffset>
            </wp:positionV>
            <wp:extent cx="12700" cy="8890"/>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-14605</wp:posOffset>
            </wp:positionV>
            <wp:extent cx="12700" cy="8890"/>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2567305</wp:posOffset>
            </wp:positionH>
            <wp:positionV relativeFrom="paragraph">
              <wp:posOffset>-14605</wp:posOffset>
            </wp:positionV>
            <wp:extent cx="12700" cy="8890"/>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-14605</wp:posOffset>
            </wp:positionV>
            <wp:extent cx="12700" cy="8890"/>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-14605</wp:posOffset>
            </wp:positionV>
            <wp:extent cx="12700" cy="8890"/>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-14605</wp:posOffset>
            </wp:positionV>
            <wp:extent cx="12700" cy="8890"/>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-14605</wp:posOffset>
            </wp:positionV>
            <wp:extent cx="12700" cy="8890"/>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-14605</wp:posOffset>
            </wp:positionV>
            <wp:extent cx="12700" cy="8890"/>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-14605</wp:posOffset>
            </wp:positionV>
            <wp:extent cx="12700" cy="8890"/>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-14605</wp:posOffset>
            </wp:positionV>
            <wp:extent cx="12700" cy="8890"/>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-14605</wp:posOffset>
            </wp:positionV>
            <wp:extent cx="12700" cy="8890"/>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-14605</wp:posOffset>
            </wp:positionV>
            <wp:extent cx="12700" cy="8890"/>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-14605</wp:posOffset>
            </wp:positionV>
            <wp:extent cx="12700" cy="8890"/>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-14605</wp:posOffset>
            </wp:positionV>
            <wp:extent cx="12700" cy="8890"/>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-14605</wp:posOffset>
            </wp:positionV>
            <wp:extent cx="12700" cy="8890"/>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59320" cy="34290"/>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ectPr>
          <w:pgSz w:w="11900" w:h="16838" w:orient="portrait"/>
          <w:cols w:equalWidth="0" w:num="1">
            <w:col w:w="11400"/>
          </w:cols>
          <w:pgMar w:left="240" w:top="347" w:right="25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color w:val="auto"/>
        </w:rPr>
        <w:t>(b) Segment information by geographical area (amounts expressed in million of U.S. dollars):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74"/>
        </w:trPr>
        <w:tc>
          <w:tcPr>
            <w:tcW w:w="2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3"/>
              </w:rPr>
              <w:t>2003</w:t>
            </w:r>
          </w:p>
        </w:tc>
        <w:tc>
          <w:tcPr>
            <w:tcW w:w="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3"/>
              </w:rPr>
              <w:t>2002</w:t>
            </w:r>
          </w:p>
        </w:tc>
        <w:tc>
          <w:tcPr>
            <w:tcW w:w="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3"/>
              </w:rPr>
              <w:t>2001</w:t>
            </w:r>
          </w:p>
        </w:tc>
        <w:tc>
          <w:tcPr>
            <w:tcW w:w="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22"/>
        </w:trPr>
        <w:tc>
          <w:tcPr>
            <w:tcW w:w="2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r>
      <w:tr>
        <w:trPr>
          <w:trHeight w:val="304"/>
        </w:trPr>
        <w:tc>
          <w:tcPr>
            <w:tcW w:w="2140" w:type="dxa"/>
            <w:vAlign w:val="bottom"/>
          </w:tcPr>
          <w:p>
            <w:pPr>
              <w:spacing w:after="0"/>
              <w:rPr>
                <w:sz w:val="24"/>
                <w:szCs w:val="24"/>
                <w:color w:val="auto"/>
              </w:rPr>
            </w:pPr>
          </w:p>
        </w:tc>
        <w:tc>
          <w:tcPr>
            <w:tcW w:w="740" w:type="dxa"/>
            <w:vAlign w:val="bottom"/>
          </w:tcPr>
          <w:p>
            <w:pPr>
              <w:jc w:val="center"/>
              <w:ind w:left="192"/>
              <w:spacing w:after="0"/>
              <w:rPr>
                <w:sz w:val="20"/>
                <w:szCs w:val="20"/>
                <w:color w:val="auto"/>
              </w:rPr>
            </w:pPr>
            <w:r>
              <w:rPr>
                <w:rFonts w:ascii="Arial" w:cs="Arial" w:eastAsia="Arial" w:hAnsi="Arial"/>
                <w:sz w:val="14"/>
                <w:szCs w:val="14"/>
                <w:b w:val="1"/>
                <w:bCs w:val="1"/>
                <w:color w:val="auto"/>
                <w:w w:val="83"/>
              </w:rPr>
              <w:t>Total</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7"/>
              </w:rPr>
              <w:t>Operating</w:t>
            </w:r>
          </w:p>
        </w:tc>
        <w:tc>
          <w:tcPr>
            <w:tcW w:w="40" w:type="dxa"/>
            <w:vAlign w:val="bottom"/>
          </w:tcPr>
          <w:p>
            <w:pPr>
              <w:spacing w:after="0"/>
              <w:rPr>
                <w:sz w:val="24"/>
                <w:szCs w:val="24"/>
                <w:color w:val="auto"/>
              </w:rPr>
            </w:pPr>
          </w:p>
        </w:tc>
        <w:tc>
          <w:tcPr>
            <w:tcW w:w="1000" w:type="dxa"/>
            <w:vAlign w:val="bottom"/>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24"/>
                <w:szCs w:val="24"/>
                <w:color w:val="auto"/>
              </w:rPr>
            </w:pPr>
          </w:p>
        </w:tc>
        <w:tc>
          <w:tcPr>
            <w:tcW w:w="10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3"/>
              </w:rPr>
              <w:t>Total</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7"/>
              </w:rPr>
              <w:t>Operating</w:t>
            </w:r>
          </w:p>
        </w:tc>
        <w:tc>
          <w:tcPr>
            <w:tcW w:w="40" w:type="dxa"/>
            <w:vAlign w:val="bottom"/>
          </w:tcPr>
          <w:p>
            <w:pPr>
              <w:spacing w:after="0"/>
              <w:rPr>
                <w:sz w:val="24"/>
                <w:szCs w:val="24"/>
                <w:color w:val="auto"/>
              </w:rPr>
            </w:pPr>
          </w:p>
        </w:tc>
        <w:tc>
          <w:tcPr>
            <w:tcW w:w="1000" w:type="dxa"/>
            <w:vAlign w:val="bottom"/>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24"/>
                <w:szCs w:val="24"/>
                <w:color w:val="auto"/>
              </w:rPr>
            </w:pPr>
          </w:p>
        </w:tc>
        <w:tc>
          <w:tcPr>
            <w:tcW w:w="10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3"/>
              </w:rPr>
              <w:t>Total</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7"/>
              </w:rPr>
              <w:t>Operating</w:t>
            </w:r>
          </w:p>
        </w:tc>
        <w:tc>
          <w:tcPr>
            <w:tcW w:w="40" w:type="dxa"/>
            <w:vAlign w:val="bottom"/>
          </w:tcPr>
          <w:p>
            <w:pPr>
              <w:spacing w:after="0"/>
              <w:rPr>
                <w:sz w:val="24"/>
                <w:szCs w:val="24"/>
                <w:color w:val="auto"/>
              </w:rPr>
            </w:pPr>
          </w:p>
        </w:tc>
        <w:tc>
          <w:tcPr>
            <w:tcW w:w="1000" w:type="dxa"/>
            <w:vAlign w:val="bottom"/>
          </w:tcPr>
          <w:p>
            <w:pPr>
              <w:jc w:val="right"/>
              <w:ind w:right="292"/>
              <w:spacing w:after="0"/>
              <w:rPr>
                <w:sz w:val="20"/>
                <w:szCs w:val="20"/>
                <w:color w:val="auto"/>
              </w:rPr>
            </w:pPr>
            <w:r>
              <w:rPr>
                <w:rFonts w:ascii="Arial" w:cs="Arial" w:eastAsia="Arial" w:hAnsi="Arial"/>
                <w:sz w:val="14"/>
                <w:szCs w:val="14"/>
                <w:b w:val="1"/>
                <w:bCs w:val="1"/>
                <w:color w:val="auto"/>
              </w:rPr>
              <w:t>Total</w:t>
            </w:r>
          </w:p>
        </w:tc>
      </w:tr>
      <w:tr>
        <w:trPr>
          <w:trHeight w:val="176"/>
        </w:trPr>
        <w:tc>
          <w:tcPr>
            <w:tcW w:w="2140" w:type="dxa"/>
            <w:vAlign w:val="bottom"/>
          </w:tcPr>
          <w:p>
            <w:pPr>
              <w:spacing w:after="0"/>
              <w:rPr>
                <w:sz w:val="15"/>
                <w:szCs w:val="15"/>
                <w:color w:val="auto"/>
              </w:rPr>
            </w:pPr>
          </w:p>
        </w:tc>
        <w:tc>
          <w:tcPr>
            <w:tcW w:w="740" w:type="dxa"/>
            <w:vAlign w:val="bottom"/>
          </w:tcPr>
          <w:p>
            <w:pPr>
              <w:jc w:val="center"/>
              <w:ind w:left="192"/>
              <w:spacing w:after="0"/>
              <w:rPr>
                <w:sz w:val="20"/>
                <w:szCs w:val="20"/>
                <w:color w:val="auto"/>
              </w:rPr>
            </w:pPr>
            <w:r>
              <w:rPr>
                <w:rFonts w:ascii="Arial" w:cs="Arial" w:eastAsia="Arial" w:hAnsi="Arial"/>
                <w:sz w:val="14"/>
                <w:szCs w:val="14"/>
                <w:b w:val="1"/>
                <w:bCs w:val="1"/>
                <w:color w:val="auto"/>
                <w:w w:val="81"/>
              </w:rPr>
              <w:t>income</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1"/>
              </w:rPr>
              <w:t>income (*)</w:t>
            </w:r>
          </w:p>
        </w:tc>
        <w:tc>
          <w:tcPr>
            <w:tcW w:w="40" w:type="dxa"/>
            <w:vAlign w:val="bottom"/>
          </w:tcPr>
          <w:p>
            <w:pPr>
              <w:spacing w:after="0"/>
              <w:rPr>
                <w:sz w:val="15"/>
                <w:szCs w:val="15"/>
                <w:color w:val="auto"/>
              </w:rPr>
            </w:pPr>
          </w:p>
        </w:tc>
        <w:tc>
          <w:tcPr>
            <w:tcW w:w="1000" w:type="dxa"/>
            <w:vAlign w:val="bottom"/>
          </w:tcPr>
          <w:p>
            <w:pPr>
              <w:jc w:val="right"/>
              <w:ind w:right="272"/>
              <w:spacing w:after="0"/>
              <w:rPr>
                <w:sz w:val="20"/>
                <w:szCs w:val="20"/>
                <w:color w:val="auto"/>
              </w:rPr>
            </w:pPr>
            <w:r>
              <w:rPr>
                <w:rFonts w:ascii="Arial" w:cs="Arial" w:eastAsia="Arial" w:hAnsi="Arial"/>
                <w:sz w:val="14"/>
                <w:szCs w:val="14"/>
                <w:b w:val="1"/>
                <w:bCs w:val="1"/>
                <w:color w:val="auto"/>
              </w:rPr>
              <w:t>assets</w:t>
            </w:r>
          </w:p>
        </w:tc>
        <w:tc>
          <w:tcPr>
            <w:tcW w:w="20" w:type="dxa"/>
            <w:vAlign w:val="bottom"/>
          </w:tcPr>
          <w:p>
            <w:pPr>
              <w:spacing w:after="0"/>
              <w:rPr>
                <w:sz w:val="15"/>
                <w:szCs w:val="15"/>
                <w:color w:val="auto"/>
              </w:rPr>
            </w:pPr>
          </w:p>
        </w:tc>
        <w:tc>
          <w:tcPr>
            <w:tcW w:w="10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1"/>
              </w:rPr>
              <w:t>income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8"/>
              </w:rPr>
              <w:t>income (*)</w:t>
            </w:r>
          </w:p>
        </w:tc>
        <w:tc>
          <w:tcPr>
            <w:tcW w:w="40" w:type="dxa"/>
            <w:vAlign w:val="bottom"/>
          </w:tcPr>
          <w:p>
            <w:pPr>
              <w:spacing w:after="0"/>
              <w:rPr>
                <w:sz w:val="15"/>
                <w:szCs w:val="15"/>
                <w:color w:val="auto"/>
              </w:rPr>
            </w:pPr>
          </w:p>
        </w:tc>
        <w:tc>
          <w:tcPr>
            <w:tcW w:w="1000" w:type="dxa"/>
            <w:vAlign w:val="bottom"/>
          </w:tcPr>
          <w:p>
            <w:pPr>
              <w:jc w:val="right"/>
              <w:ind w:right="272"/>
              <w:spacing w:after="0"/>
              <w:rPr>
                <w:sz w:val="20"/>
                <w:szCs w:val="20"/>
                <w:color w:val="auto"/>
              </w:rPr>
            </w:pPr>
            <w:r>
              <w:rPr>
                <w:rFonts w:ascii="Arial" w:cs="Arial" w:eastAsia="Arial" w:hAnsi="Arial"/>
                <w:sz w:val="14"/>
                <w:szCs w:val="14"/>
                <w:b w:val="1"/>
                <w:bCs w:val="1"/>
                <w:color w:val="auto"/>
              </w:rPr>
              <w:t>assets</w:t>
            </w:r>
          </w:p>
        </w:tc>
        <w:tc>
          <w:tcPr>
            <w:tcW w:w="20" w:type="dxa"/>
            <w:vAlign w:val="bottom"/>
          </w:tcPr>
          <w:p>
            <w:pPr>
              <w:spacing w:after="0"/>
              <w:rPr>
                <w:sz w:val="15"/>
                <w:szCs w:val="15"/>
                <w:color w:val="auto"/>
              </w:rPr>
            </w:pPr>
          </w:p>
        </w:tc>
        <w:tc>
          <w:tcPr>
            <w:tcW w:w="10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Income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8"/>
              </w:rPr>
              <w:t>income (*)</w:t>
            </w:r>
          </w:p>
        </w:tc>
        <w:tc>
          <w:tcPr>
            <w:tcW w:w="40" w:type="dxa"/>
            <w:vAlign w:val="bottom"/>
          </w:tcPr>
          <w:p>
            <w:pPr>
              <w:spacing w:after="0"/>
              <w:rPr>
                <w:sz w:val="15"/>
                <w:szCs w:val="15"/>
                <w:color w:val="auto"/>
              </w:rPr>
            </w:pPr>
          </w:p>
        </w:tc>
        <w:tc>
          <w:tcPr>
            <w:tcW w:w="1000" w:type="dxa"/>
            <w:vAlign w:val="bottom"/>
          </w:tcPr>
          <w:p>
            <w:pPr>
              <w:jc w:val="right"/>
              <w:ind w:right="272"/>
              <w:spacing w:after="0"/>
              <w:rPr>
                <w:sz w:val="20"/>
                <w:szCs w:val="20"/>
                <w:color w:val="auto"/>
              </w:rPr>
            </w:pPr>
            <w:r>
              <w:rPr>
                <w:rFonts w:ascii="Arial" w:cs="Arial" w:eastAsia="Arial" w:hAnsi="Arial"/>
                <w:sz w:val="14"/>
                <w:szCs w:val="14"/>
                <w:b w:val="1"/>
                <w:bCs w:val="1"/>
                <w:color w:val="auto"/>
              </w:rPr>
              <w:t>assets</w:t>
            </w:r>
          </w:p>
        </w:tc>
      </w:tr>
      <w:tr>
        <w:trPr>
          <w:trHeight w:val="176"/>
        </w:trPr>
        <w:tc>
          <w:tcPr>
            <w:tcW w:w="2880" w:type="dxa"/>
            <w:vAlign w:val="bottom"/>
            <w:gridSpan w:val="2"/>
          </w:tcPr>
          <w:p>
            <w:pPr>
              <w:spacing w:after="0"/>
              <w:rPr>
                <w:sz w:val="20"/>
                <w:szCs w:val="20"/>
                <w:color w:val="auto"/>
              </w:rPr>
            </w:pPr>
            <w:r>
              <w:rPr>
                <w:rFonts w:ascii="Arial" w:cs="Arial" w:eastAsia="Arial" w:hAnsi="Arial"/>
                <w:sz w:val="14"/>
                <w:szCs w:val="14"/>
                <w:color w:val="auto"/>
              </w:rPr>
              <w:t>Peru</w:t>
            </w:r>
          </w:p>
        </w:tc>
        <w:tc>
          <w:tcPr>
            <w:tcW w:w="260" w:type="dxa"/>
            <w:vAlign w:val="bottom"/>
          </w:tcPr>
          <w:p>
            <w:pPr>
              <w:jc w:val="right"/>
              <w:spacing w:after="0"/>
              <w:rPr>
                <w:sz w:val="20"/>
                <w:szCs w:val="20"/>
                <w:color w:val="auto"/>
              </w:rPr>
            </w:pPr>
            <w:r>
              <w:rPr>
                <w:rFonts w:ascii="Arial" w:cs="Arial" w:eastAsia="Arial" w:hAnsi="Arial"/>
                <w:sz w:val="14"/>
                <w:szCs w:val="14"/>
                <w:color w:val="auto"/>
                <w:w w:val="85"/>
              </w:rPr>
              <w:t>788</w:t>
            </w:r>
          </w:p>
        </w:tc>
        <w:tc>
          <w:tcPr>
            <w:tcW w:w="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326</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6,208</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714</w:t>
            </w:r>
          </w:p>
        </w:tc>
        <w:tc>
          <w:tcPr>
            <w:tcW w:w="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332</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6,809</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774</w:t>
            </w:r>
          </w:p>
        </w:tc>
        <w:tc>
          <w:tcPr>
            <w:tcW w:w="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304</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5,325</w:t>
            </w:r>
          </w:p>
        </w:tc>
      </w:tr>
      <w:tr>
        <w:trPr>
          <w:trHeight w:val="176"/>
        </w:trPr>
        <w:tc>
          <w:tcPr>
            <w:tcW w:w="2880" w:type="dxa"/>
            <w:vAlign w:val="bottom"/>
            <w:gridSpan w:val="2"/>
          </w:tcPr>
          <w:p>
            <w:pPr>
              <w:spacing w:after="0"/>
              <w:rPr>
                <w:sz w:val="20"/>
                <w:szCs w:val="20"/>
                <w:color w:val="auto"/>
              </w:rPr>
            </w:pPr>
            <w:r>
              <w:rPr>
                <w:rFonts w:ascii="Arial" w:cs="Arial" w:eastAsia="Arial" w:hAnsi="Arial"/>
                <w:sz w:val="14"/>
                <w:szCs w:val="14"/>
                <w:color w:val="auto"/>
              </w:rPr>
              <w:t>Panama</w:t>
            </w:r>
          </w:p>
        </w:tc>
        <w:tc>
          <w:tcPr>
            <w:tcW w:w="260" w:type="dxa"/>
            <w:vAlign w:val="bottom"/>
          </w:tcPr>
          <w:p>
            <w:pPr>
              <w:jc w:val="right"/>
              <w:spacing w:after="0"/>
              <w:rPr>
                <w:sz w:val="20"/>
                <w:szCs w:val="20"/>
                <w:color w:val="auto"/>
              </w:rPr>
            </w:pPr>
            <w:r>
              <w:rPr>
                <w:rFonts w:ascii="Arial" w:cs="Arial" w:eastAsia="Arial" w:hAnsi="Arial"/>
                <w:sz w:val="14"/>
                <w:szCs w:val="14"/>
                <w:color w:val="auto"/>
              </w:rPr>
              <w:t>20</w:t>
            </w:r>
          </w:p>
        </w:tc>
        <w:tc>
          <w:tcPr>
            <w:tcW w:w="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264</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72</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23</w:t>
            </w:r>
          </w:p>
        </w:tc>
      </w:tr>
      <w:tr>
        <w:trPr>
          <w:trHeight w:val="176"/>
        </w:trPr>
        <w:tc>
          <w:tcPr>
            <w:tcW w:w="2880" w:type="dxa"/>
            <w:vAlign w:val="bottom"/>
            <w:gridSpan w:val="2"/>
          </w:tcPr>
          <w:p>
            <w:pPr>
              <w:spacing w:after="0"/>
              <w:rPr>
                <w:sz w:val="20"/>
                <w:szCs w:val="20"/>
                <w:color w:val="auto"/>
              </w:rPr>
            </w:pPr>
            <w:r>
              <w:rPr>
                <w:rFonts w:ascii="Arial" w:cs="Arial" w:eastAsia="Arial" w:hAnsi="Arial"/>
                <w:sz w:val="14"/>
                <w:szCs w:val="14"/>
                <w:color w:val="auto"/>
              </w:rPr>
              <w:t>Cayman Islands</w:t>
            </w:r>
          </w:p>
        </w:tc>
        <w:tc>
          <w:tcPr>
            <w:tcW w:w="260" w:type="dxa"/>
            <w:vAlign w:val="bottom"/>
          </w:tcPr>
          <w:p>
            <w:pPr>
              <w:jc w:val="right"/>
              <w:spacing w:after="0"/>
              <w:rPr>
                <w:sz w:val="20"/>
                <w:szCs w:val="20"/>
                <w:color w:val="auto"/>
              </w:rPr>
            </w:pPr>
            <w:r>
              <w:rPr>
                <w:rFonts w:ascii="Arial" w:cs="Arial" w:eastAsia="Arial" w:hAnsi="Arial"/>
                <w:sz w:val="14"/>
                <w:szCs w:val="14"/>
                <w:color w:val="auto"/>
              </w:rPr>
              <w:t>10</w:t>
            </w:r>
          </w:p>
        </w:tc>
        <w:tc>
          <w:tcPr>
            <w:tcW w:w="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880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43</w:t>
            </w:r>
          </w:p>
        </w:tc>
        <w:tc>
          <w:tcPr>
            <w:tcW w:w="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706</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87</w:t>
            </w:r>
          </w:p>
        </w:tc>
        <w:tc>
          <w:tcPr>
            <w:tcW w:w="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1,018</w:t>
            </w:r>
          </w:p>
        </w:tc>
      </w:tr>
      <w:tr>
        <w:trPr>
          <w:trHeight w:val="176"/>
        </w:trPr>
        <w:tc>
          <w:tcPr>
            <w:tcW w:w="2880" w:type="dxa"/>
            <w:vAlign w:val="bottom"/>
            <w:gridSpan w:val="2"/>
          </w:tcPr>
          <w:p>
            <w:pPr>
              <w:spacing w:after="0"/>
              <w:rPr>
                <w:sz w:val="20"/>
                <w:szCs w:val="20"/>
                <w:color w:val="auto"/>
              </w:rPr>
            </w:pPr>
            <w:r>
              <w:rPr>
                <w:rFonts w:ascii="Arial" w:cs="Arial" w:eastAsia="Arial" w:hAnsi="Arial"/>
                <w:sz w:val="14"/>
                <w:szCs w:val="14"/>
                <w:color w:val="auto"/>
              </w:rPr>
              <w:t>Bolivia</w:t>
            </w:r>
          </w:p>
        </w:tc>
        <w:tc>
          <w:tcPr>
            <w:tcW w:w="260" w:type="dxa"/>
            <w:vAlign w:val="bottom"/>
          </w:tcPr>
          <w:p>
            <w:pPr>
              <w:jc w:val="right"/>
              <w:spacing w:after="0"/>
              <w:rPr>
                <w:sz w:val="20"/>
                <w:szCs w:val="20"/>
                <w:color w:val="auto"/>
              </w:rPr>
            </w:pPr>
            <w:r>
              <w:rPr>
                <w:rFonts w:ascii="Arial" w:cs="Arial" w:eastAsia="Arial" w:hAnsi="Arial"/>
                <w:sz w:val="14"/>
                <w:szCs w:val="14"/>
                <w:color w:val="auto"/>
              </w:rPr>
              <w:t>47</w:t>
            </w:r>
          </w:p>
        </w:tc>
        <w:tc>
          <w:tcPr>
            <w:tcW w:w="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446</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57</w:t>
            </w:r>
          </w:p>
        </w:tc>
        <w:tc>
          <w:tcPr>
            <w:tcW w:w="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475</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80</w:t>
            </w:r>
          </w:p>
        </w:tc>
        <w:tc>
          <w:tcPr>
            <w:tcW w:w="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43</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656</w:t>
            </w:r>
          </w:p>
        </w:tc>
      </w:tr>
      <w:tr>
        <w:trPr>
          <w:trHeight w:val="176"/>
        </w:trPr>
        <w:tc>
          <w:tcPr>
            <w:tcW w:w="2880" w:type="dxa"/>
            <w:vAlign w:val="bottom"/>
            <w:gridSpan w:val="2"/>
          </w:tcPr>
          <w:p>
            <w:pPr>
              <w:spacing w:after="0"/>
              <w:rPr>
                <w:sz w:val="20"/>
                <w:szCs w:val="20"/>
                <w:color w:val="auto"/>
              </w:rPr>
            </w:pPr>
            <w:r>
              <w:rPr>
                <w:rFonts w:ascii="Arial" w:cs="Arial" w:eastAsia="Arial" w:hAnsi="Arial"/>
                <w:sz w:val="14"/>
                <w:szCs w:val="14"/>
                <w:color w:val="auto"/>
              </w:rPr>
              <w:t>Republic of El Salvador</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19</w:t>
            </w:r>
          </w:p>
        </w:tc>
        <w:tc>
          <w:tcPr>
            <w:tcW w:w="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w:t>
            </w:r>
          </w:p>
        </w:tc>
      </w:tr>
      <w:tr>
        <w:trPr>
          <w:trHeight w:val="176"/>
        </w:trPr>
        <w:tc>
          <w:tcPr>
            <w:tcW w:w="2880" w:type="dxa"/>
            <w:vAlign w:val="bottom"/>
            <w:gridSpan w:val="2"/>
          </w:tcPr>
          <w:p>
            <w:pPr>
              <w:spacing w:after="0"/>
              <w:rPr>
                <w:sz w:val="20"/>
                <w:szCs w:val="20"/>
                <w:color w:val="auto"/>
              </w:rPr>
            </w:pPr>
            <w:r>
              <w:rPr>
                <w:rFonts w:ascii="Arial" w:cs="Arial" w:eastAsia="Arial" w:hAnsi="Arial"/>
                <w:sz w:val="14"/>
                <w:szCs w:val="14"/>
                <w:color w:val="auto"/>
              </w:rPr>
              <w:t>Colombia</w:t>
            </w:r>
          </w:p>
        </w:tc>
        <w:tc>
          <w:tcPr>
            <w:tcW w:w="260" w:type="dxa"/>
            <w:vAlign w:val="bottom"/>
          </w:tcPr>
          <w:p>
            <w:pPr>
              <w:jc w:val="right"/>
              <w:spacing w:after="0"/>
              <w:rPr>
                <w:sz w:val="20"/>
                <w:szCs w:val="20"/>
                <w:color w:val="auto"/>
              </w:rPr>
            </w:pPr>
            <w:r>
              <w:rPr>
                <w:rFonts w:ascii="Arial" w:cs="Arial" w:eastAsia="Arial" w:hAnsi="Arial"/>
                <w:sz w:val="14"/>
                <w:szCs w:val="14"/>
                <w:color w:val="auto"/>
              </w:rPr>
              <w:t>42</w:t>
            </w:r>
          </w:p>
        </w:tc>
        <w:tc>
          <w:tcPr>
            <w:tcW w:w="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38</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300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46</w:t>
            </w:r>
          </w:p>
        </w:tc>
        <w:tc>
          <w:tcPr>
            <w:tcW w:w="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280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52</w:t>
            </w:r>
          </w:p>
        </w:tc>
        <w:tc>
          <w:tcPr>
            <w:tcW w:w="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395</w:t>
            </w:r>
          </w:p>
        </w:tc>
      </w:tr>
      <w:tr>
        <w:trPr>
          <w:trHeight w:val="176"/>
        </w:trPr>
        <w:tc>
          <w:tcPr>
            <w:tcW w:w="2880" w:type="dxa"/>
            <w:vAlign w:val="bottom"/>
            <w:gridSpan w:val="2"/>
          </w:tcPr>
          <w:p>
            <w:pPr>
              <w:spacing w:after="0"/>
              <w:rPr>
                <w:sz w:val="20"/>
                <w:szCs w:val="20"/>
                <w:color w:val="auto"/>
              </w:rPr>
            </w:pPr>
            <w:r>
              <w:rPr>
                <w:rFonts w:ascii="Arial" w:cs="Arial" w:eastAsia="Arial" w:hAnsi="Arial"/>
                <w:sz w:val="14"/>
                <w:szCs w:val="14"/>
                <w:color w:val="auto"/>
              </w:rPr>
              <w:t>United States of America</w:t>
            </w:r>
          </w:p>
        </w:tc>
        <w:tc>
          <w:tcPr>
            <w:tcW w:w="260" w:type="dxa"/>
            <w:vAlign w:val="bottom"/>
          </w:tcPr>
          <w:p>
            <w:pPr>
              <w:jc w:val="right"/>
              <w:spacing w:after="0"/>
              <w:rPr>
                <w:sz w:val="20"/>
                <w:szCs w:val="20"/>
                <w:color w:val="auto"/>
              </w:rPr>
            </w:pPr>
            <w:r>
              <w:rPr>
                <w:rFonts w:ascii="Arial" w:cs="Arial" w:eastAsia="Arial" w:hAnsi="Arial"/>
                <w:sz w:val="14"/>
                <w:szCs w:val="14"/>
                <w:color w:val="auto"/>
              </w:rPr>
              <w:t>5</w:t>
            </w:r>
          </w:p>
        </w:tc>
        <w:tc>
          <w:tcPr>
            <w:tcW w:w="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196</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6</w:t>
            </w:r>
          </w:p>
        </w:tc>
        <w:tc>
          <w:tcPr>
            <w:tcW w:w="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288</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10</w:t>
            </w:r>
          </w:p>
        </w:tc>
        <w:tc>
          <w:tcPr>
            <w:tcW w:w="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165</w:t>
            </w:r>
          </w:p>
        </w:tc>
      </w:tr>
      <w:tr>
        <w:trPr>
          <w:trHeight w:val="122"/>
        </w:trPr>
        <w:tc>
          <w:tcPr>
            <w:tcW w:w="2140" w:type="dxa"/>
            <w:vAlign w:val="bottom"/>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r>
      <w:tr>
        <w:trPr>
          <w:trHeight w:val="304"/>
        </w:trPr>
        <w:tc>
          <w:tcPr>
            <w:tcW w:w="2880" w:type="dxa"/>
            <w:vAlign w:val="bottom"/>
            <w:gridSpan w:val="2"/>
          </w:tcPr>
          <w:p>
            <w:pPr>
              <w:spacing w:after="0"/>
              <w:rPr>
                <w:sz w:val="20"/>
                <w:szCs w:val="20"/>
                <w:color w:val="auto"/>
              </w:rPr>
            </w:pPr>
            <w:r>
              <w:rPr>
                <w:rFonts w:ascii="Arial" w:cs="Arial" w:eastAsia="Arial" w:hAnsi="Arial"/>
                <w:sz w:val="14"/>
                <w:szCs w:val="14"/>
                <w:b w:val="1"/>
                <w:bCs w:val="1"/>
                <w:color w:val="auto"/>
              </w:rPr>
              <w:t>Total consolidated</w:t>
            </w:r>
          </w:p>
        </w:tc>
        <w:tc>
          <w:tcPr>
            <w:tcW w:w="260" w:type="dxa"/>
            <w:vAlign w:val="bottom"/>
          </w:tcPr>
          <w:p>
            <w:pPr>
              <w:jc w:val="right"/>
              <w:spacing w:after="0"/>
              <w:rPr>
                <w:sz w:val="20"/>
                <w:szCs w:val="20"/>
                <w:color w:val="auto"/>
              </w:rPr>
            </w:pPr>
            <w:r>
              <w:rPr>
                <w:rFonts w:ascii="Arial" w:cs="Arial" w:eastAsia="Arial" w:hAnsi="Arial"/>
                <w:sz w:val="14"/>
                <w:szCs w:val="14"/>
                <w:color w:val="auto"/>
                <w:w w:val="85"/>
              </w:rPr>
              <w:t>912</w:t>
            </w:r>
          </w:p>
        </w:tc>
        <w:tc>
          <w:tcPr>
            <w:tcW w:w="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411</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8,294</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868</w:t>
            </w:r>
          </w:p>
        </w:tc>
        <w:tc>
          <w:tcPr>
            <w:tcW w:w="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381</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8,630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1,024</w:t>
            </w:r>
          </w:p>
        </w:tc>
        <w:tc>
          <w:tcPr>
            <w:tcW w:w="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391</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7,582</w:t>
            </w:r>
          </w:p>
        </w:tc>
      </w:tr>
      <w:tr>
        <w:trPr>
          <w:trHeight w:val="132"/>
        </w:trPr>
        <w:tc>
          <w:tcPr>
            <w:tcW w:w="214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3302635</wp:posOffset>
            </wp:positionH>
            <wp:positionV relativeFrom="paragraph">
              <wp:posOffset>-1489075</wp:posOffset>
            </wp:positionV>
            <wp:extent cx="34290" cy="34290"/>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5257800</wp:posOffset>
            </wp:positionH>
            <wp:positionV relativeFrom="paragraph">
              <wp:posOffset>-1489075</wp:posOffset>
            </wp:positionV>
            <wp:extent cx="34290" cy="34290"/>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-1489075</wp:posOffset>
            </wp:positionV>
            <wp:extent cx="34290" cy="34290"/>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1998980</wp:posOffset>
            </wp:positionH>
            <wp:positionV relativeFrom="paragraph">
              <wp:posOffset>-314325</wp:posOffset>
            </wp:positionV>
            <wp:extent cx="34290" cy="34290"/>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2651125</wp:posOffset>
            </wp:positionH>
            <wp:positionV relativeFrom="paragraph">
              <wp:posOffset>-314325</wp:posOffset>
            </wp:positionV>
            <wp:extent cx="34290" cy="34290"/>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3302635</wp:posOffset>
            </wp:positionH>
            <wp:positionV relativeFrom="paragraph">
              <wp:posOffset>-314325</wp:posOffset>
            </wp:positionV>
            <wp:extent cx="34290" cy="34290"/>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-314325</wp:posOffset>
            </wp:positionV>
            <wp:extent cx="34290" cy="34290"/>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-314325</wp:posOffset>
            </wp:positionV>
            <wp:extent cx="34290" cy="34290"/>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5257800</wp:posOffset>
            </wp:positionH>
            <wp:positionV relativeFrom="paragraph">
              <wp:posOffset>-314325</wp:posOffset>
            </wp:positionV>
            <wp:extent cx="34290" cy="34290"/>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-314325</wp:posOffset>
            </wp:positionV>
            <wp:extent cx="34290" cy="34290"/>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6561455</wp:posOffset>
            </wp:positionH>
            <wp:positionV relativeFrom="paragraph">
              <wp:posOffset>-314325</wp:posOffset>
            </wp:positionV>
            <wp:extent cx="34290" cy="34290"/>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-314325</wp:posOffset>
            </wp:positionV>
            <wp:extent cx="34290" cy="34290"/>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2009775</wp:posOffset>
            </wp:positionH>
            <wp:positionV relativeFrom="paragraph">
              <wp:posOffset>-14605</wp:posOffset>
            </wp:positionV>
            <wp:extent cx="12700" cy="8890"/>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1383665</wp:posOffset>
            </wp:positionH>
            <wp:positionV relativeFrom="paragraph">
              <wp:posOffset>-14605</wp:posOffset>
            </wp:positionV>
            <wp:extent cx="12700" cy="8890"/>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-14605</wp:posOffset>
            </wp:positionV>
            <wp:extent cx="12700" cy="8890"/>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2035810</wp:posOffset>
            </wp:positionH>
            <wp:positionV relativeFrom="paragraph">
              <wp:posOffset>-14605</wp:posOffset>
            </wp:positionV>
            <wp:extent cx="12700" cy="8890"/>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-14605</wp:posOffset>
            </wp:positionV>
            <wp:extent cx="12700" cy="8890"/>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-14605</wp:posOffset>
            </wp:positionV>
            <wp:extent cx="12700" cy="8890"/>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-14605</wp:posOffset>
            </wp:positionV>
            <wp:extent cx="12700" cy="8890"/>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-14605</wp:posOffset>
            </wp:positionV>
            <wp:extent cx="12700" cy="8890"/>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-14605</wp:posOffset>
            </wp:positionV>
            <wp:extent cx="12700" cy="8890"/>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-14605</wp:posOffset>
            </wp:positionV>
            <wp:extent cx="12700" cy="8890"/>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-14605</wp:posOffset>
            </wp:positionV>
            <wp:extent cx="12700" cy="8890"/>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-14605</wp:posOffset>
            </wp:positionV>
            <wp:extent cx="12700" cy="8890"/>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-14605</wp:posOffset>
            </wp:positionV>
            <wp:extent cx="12700" cy="8890"/>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-14605</wp:posOffset>
            </wp:positionV>
            <wp:extent cx="12700" cy="8890"/>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-14605</wp:posOffset>
            </wp:positionV>
            <wp:extent cx="12700" cy="8890"/>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-14605</wp:posOffset>
            </wp:positionV>
            <wp:extent cx="12700" cy="8890"/>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-14605</wp:posOffset>
            </wp:positionV>
            <wp:extent cx="12700" cy="8890"/>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-14605</wp:posOffset>
            </wp:positionV>
            <wp:extent cx="12700" cy="8890"/>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47" w:lineRule="exact"/>
        <w:rPr>
          <w:sz w:val="20"/>
          <w:szCs w:val="20"/>
          <w:color w:val="auto"/>
        </w:rPr>
      </w:pPr>
    </w:p>
    <w:p>
      <w:pPr>
        <w:ind w:left="580" w:hanging="572"/>
        <w:spacing w:after="0"/>
        <w:tabs>
          <w:tab w:leader="none" w:pos="5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Operating income includes the net interest income from banking activities and the amount of the net premiums earned, less insurance claims.</w:t>
      </w:r>
    </w:p>
    <w:p>
      <w:pPr>
        <w:spacing w:after="0" w:line="38" w:lineRule="exact"/>
        <w:rPr>
          <w:sz w:val="20"/>
          <w:szCs w:val="20"/>
          <w:color w:val="auto"/>
        </w:rPr>
      </w:pPr>
    </w:p>
    <w:p>
      <w:pPr>
        <w:ind w:left="5540" w:right="4220" w:hanging="5532"/>
        <w:spacing w:after="0" w:line="824" w:lineRule="auto"/>
        <w:tabs>
          <w:tab w:leader="none" w:pos="581" w:val="left"/>
        </w:tabs>
        <w:numPr>
          <w:ilvl w:val="0"/>
          <w:numId w:val="63"/>
        </w:numPr>
        <w:rPr>
          <w:rFonts w:ascii="Arial" w:cs="Arial" w:eastAsia="Arial" w:hAnsi="Arial"/>
          <w:sz w:val="18"/>
          <w:szCs w:val="18"/>
          <w:color w:val="auto"/>
        </w:rPr>
      </w:pPr>
      <w:r>
        <w:rPr>
          <w:rFonts w:ascii="Arial" w:cs="Arial" w:eastAsia="Arial" w:hAnsi="Arial"/>
          <w:sz w:val="18"/>
          <w:szCs w:val="18"/>
          <w:color w:val="auto"/>
        </w:rPr>
        <w:t>Other provisions correspond to provisions for asset seized and the allowance for credit losses. 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59320" cy="34290"/>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ectPr>
          <w:pgSz w:w="11900" w:h="16838" w:orient="portrait"/>
          <w:cols w:equalWidth="0" w:num="1">
            <w:col w:w="11400"/>
          </w:cols>
          <w:pgMar w:left="240" w:top="348" w:right="25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b w:val="1"/>
          <w:bCs w:val="1"/>
          <w:color w:val="auto"/>
        </w:rPr>
        <w:t>22. Financial instruments</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Group’s activities are mainly related to the use of financial instruments including derivatives. The Group accepts deposits from customers at both fixed and floating rates and for various periods and seeks to earn above average interest margins by investing these funds in high quality assets. The Group seeks to increase these margins by consolidating short-term funds and lending for longer periods at higher rates while maintaining sufficient liquidity to meet all claims that might fall due.</w:t>
      </w:r>
    </w:p>
    <w:p>
      <w:pPr>
        <w:spacing w:after="0" w:line="19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Group also seeks to raise its interest margins by obtaining above average margins, net of provisions, through lending to commercial and retail borrowers with a range of credit standings. Such exposures involve not just on-balance sheet loans and advances but the Group also enters into guarantees and other commitments such as letters of credit and security letters.</w:t>
      </w:r>
    </w:p>
    <w:p>
      <w:pPr>
        <w:spacing w:after="0" w:line="194"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The Group also trades in financial instruments where it takes positions in traded and over the counter instruments, including derivatives, to take advantage of short-term market movements in the equity and bond markets and in currency and interest rates. Management places trading limits on the level of exposure that can be taken in relation to both overnight and intra-day market positions. Entering into counterbalancing positions, thereby controlling the variability in the net cash amounts required to liquidate market positions, normally offsets foreign exchange exposures associated with derivatives.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Market risks -</w:t>
      </w:r>
    </w:p>
    <w:p>
      <w:pPr>
        <w:spacing w:after="0" w:line="15" w:lineRule="exact"/>
        <w:rPr>
          <w:sz w:val="20"/>
          <w:szCs w:val="20"/>
          <w:color w:val="auto"/>
        </w:rPr>
      </w:pPr>
    </w:p>
    <w:p>
      <w:pPr>
        <w:jc w:val="both"/>
        <w:ind w:right="160"/>
        <w:spacing w:after="0" w:line="254" w:lineRule="auto"/>
        <w:rPr>
          <w:sz w:val="20"/>
          <w:szCs w:val="20"/>
          <w:color w:val="auto"/>
        </w:rPr>
      </w:pPr>
      <w:r>
        <w:rPr>
          <w:rFonts w:ascii="Arial" w:cs="Arial" w:eastAsia="Arial" w:hAnsi="Arial"/>
          <w:sz w:val="18"/>
          <w:szCs w:val="18"/>
          <w:color w:val="auto"/>
        </w:rPr>
        <w:t>The Group takes on exposure to market risks. Market risks arise from open positions in interest rate, currency and equity products, all of which are exposed to general and specific market movements. The Group applies a “value at risk” methodology to estimate the market risk of position held and the maximum losses expected, based upon a number of assumptions for various changes in market conditions. The management sets limits on the value of risk that may be accepted, which is monitored on a daily basis.</w:t>
      </w:r>
    </w:p>
    <w:p>
      <w:pPr>
        <w:spacing w:after="0" w:line="198" w:lineRule="exact"/>
        <w:rPr>
          <w:sz w:val="20"/>
          <w:szCs w:val="20"/>
          <w:color w:val="auto"/>
        </w:rPr>
      </w:pPr>
    </w:p>
    <w:p>
      <w:pPr>
        <w:jc w:val="both"/>
        <w:ind w:right="440"/>
        <w:spacing w:after="0" w:line="306" w:lineRule="auto"/>
        <w:rPr>
          <w:sz w:val="20"/>
          <w:szCs w:val="20"/>
          <w:color w:val="auto"/>
        </w:rPr>
      </w:pPr>
      <w:r>
        <w:rPr>
          <w:rFonts w:ascii="Arial" w:cs="Arial" w:eastAsia="Arial" w:hAnsi="Arial"/>
          <w:sz w:val="16"/>
          <w:szCs w:val="16"/>
          <w:color w:val="auto"/>
        </w:rPr>
        <w:t>The daily market value at risk measure (VAR) is an estimate, of the potential loss that might arise if the current positions were to be held unchanged for one business day. The measurement is structured so that daily losses exceeding the VAR figure should occur, on average, not more than once every day. Actual outcomes are monitored regularly to test the validity of the assumptions and parameters used in the VAR calculation.</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Since VAR constitutes an integral part of the Group’s market risk control regime, management for all trading and portfolio operations establishes VAR limits.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However, the use of this approach does not prevent losses outside the limits established in the even of more significant market movements.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Liquidity risk -</w:t>
      </w:r>
    </w:p>
    <w:p>
      <w:pPr>
        <w:spacing w:after="0" w:line="15" w:lineRule="exact"/>
        <w:rPr>
          <w:sz w:val="20"/>
          <w:szCs w:val="20"/>
          <w:color w:val="auto"/>
        </w:rPr>
      </w:pPr>
    </w:p>
    <w:p>
      <w:pPr>
        <w:jc w:val="both"/>
        <w:ind w:right="140"/>
        <w:spacing w:after="0" w:line="302" w:lineRule="auto"/>
        <w:rPr>
          <w:sz w:val="20"/>
          <w:szCs w:val="20"/>
          <w:color w:val="auto"/>
        </w:rPr>
      </w:pPr>
      <w:r>
        <w:rPr>
          <w:rFonts w:ascii="Arial" w:cs="Arial" w:eastAsia="Arial" w:hAnsi="Arial"/>
          <w:sz w:val="16"/>
          <w:szCs w:val="16"/>
          <w:color w:val="auto"/>
        </w:rPr>
        <w:t>The Group is expose to daily calls on its available cash resources from overnight deposits, current accounts, maturing deposits, loan drawdowns, guarantees and other calls. The Group does not maintain cash resources to meet all of these needs as experience shows that a minimum level of reinvestment of maturing funds can be predicted with a high level of certainty. The Management of the Group subsidiaries sets limits on the minimum</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59320" cy="34290"/>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79" w:name="page180"/>
    <w:bookmarkEnd w:id="179"/>
    <w:p>
      <w:pPr>
        <w:ind w:right="200"/>
        <w:spacing w:after="0" w:line="268" w:lineRule="auto"/>
        <w:rPr>
          <w:sz w:val="20"/>
          <w:szCs w:val="20"/>
          <w:color w:val="auto"/>
        </w:rPr>
      </w:pPr>
      <w:r>
        <w:rPr>
          <w:rFonts w:ascii="Arial" w:cs="Arial" w:eastAsia="Arial" w:hAnsi="Arial"/>
          <w:sz w:val="18"/>
          <w:szCs w:val="18"/>
          <w:color w:val="auto"/>
        </w:rPr>
        <w:t>proportion of maturing funds available to meet such calls and on the minimum level of Interbank and other borrowing facilities that should be in place to cover withdrawals at unexpected levels of demands.</w:t>
      </w:r>
    </w:p>
    <w:p>
      <w:pPr>
        <w:spacing w:after="0" w:line="18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notes to the financial statements include an analysis of the assets and liabilities of the Group by maturity groupings based on the remaining period at the balance sheet date to the contractual maturity date.</w:t>
      </w:r>
    </w:p>
    <w:p>
      <w:pPr>
        <w:spacing w:after="0" w:line="18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Liquidity requirements to support calls under guarantees and standby letters of credit are considerably less than the amount of the commitment because the Group does not generally expect the third party to draw funds under the agreement. The total outstanding contractual amount of commitments to extend credit does not necessarily represent future cash requirements, since many of these commitments will expire or terminate without being funded.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Interest rate risk -</w:t>
      </w:r>
    </w:p>
    <w:p>
      <w:pPr>
        <w:spacing w:after="0" w:line="15"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auto"/>
        </w:rPr>
        <w:t>The Group is exposed to the effects of fluctuations in the prevailing levels of market interest rates on its financial position and cash flows. Interest margins may increase as a result of such changes but may reduce or create losses in the event that unexpected movements arise. The Management of the Group sets limits on the level of mismatch of interest rate repricing that may be undertaken. These limits are monitored daily; however, the Group is mainly engaged in providing short-term financing, at variable interest rates. Resources for trading finance are mainly obtained from short-term liabilities, the interests of which are agreed at fixed and variable rates prevailing in the markets that are located the Groups’ subsidiaries.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Loans, customer deposits and other financing instruments are subject to risks derived from interest rate fluctuations. The relevant contract maturity characteristics and interest rates of such financial instruments are disclosed in notes 7, 11 and 13.</w:t>
      </w: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59320" cy="34290"/>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ectPr>
          <w:pgSz w:w="11900" w:h="16838" w:orient="portrait"/>
          <w:cols w:equalWidth="0" w:num="1">
            <w:col w:w="11380"/>
          </w:cols>
          <w:pgMar w:left="240" w:top="347" w:right="27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color w:val="auto"/>
        </w:rPr>
        <w:t>Currency risk -</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Most assets and liabilities are maintained in U.S. dollars. Foreign currency transactions are made at the free market exchange rates of the countries where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Credicorp’s subsidiaries are established. As of December 31, 2003 and 2002 the Group’s assets and liabilities by currencies are as follows: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74"/>
        </w:trPr>
        <w:tc>
          <w:tcPr>
            <w:tcW w:w="2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2003</w:t>
            </w: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2002</w:t>
            </w: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26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20" w:type="dxa"/>
            <w:vAlign w:val="bottom"/>
            <w:gridSpan w:val="3"/>
          </w:tcPr>
          <w:p>
            <w:pPr>
              <w:ind w:left="280"/>
              <w:spacing w:after="0"/>
              <w:rPr>
                <w:sz w:val="20"/>
                <w:szCs w:val="20"/>
                <w:color w:val="auto"/>
              </w:rPr>
            </w:pPr>
            <w:r>
              <w:rPr>
                <w:rFonts w:ascii="Arial" w:cs="Arial" w:eastAsia="Arial" w:hAnsi="Arial"/>
                <w:sz w:val="14"/>
                <w:szCs w:val="14"/>
                <w:b w:val="1"/>
                <w:bCs w:val="1"/>
                <w:color w:val="auto"/>
              </w:rPr>
              <w:t>Peruvian</w:t>
            </w: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Other</w:t>
            </w: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20" w:type="dxa"/>
            <w:vAlign w:val="bottom"/>
            <w:gridSpan w:val="3"/>
          </w:tcPr>
          <w:p>
            <w:pPr>
              <w:ind w:left="280"/>
              <w:spacing w:after="0"/>
              <w:rPr>
                <w:sz w:val="20"/>
                <w:szCs w:val="20"/>
                <w:color w:val="auto"/>
              </w:rPr>
            </w:pPr>
            <w:r>
              <w:rPr>
                <w:rFonts w:ascii="Arial" w:cs="Arial" w:eastAsia="Arial" w:hAnsi="Arial"/>
                <w:sz w:val="14"/>
                <w:szCs w:val="14"/>
                <w:b w:val="1"/>
                <w:bCs w:val="1"/>
                <w:color w:val="auto"/>
              </w:rPr>
              <w:t>Peruvian</w:t>
            </w: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Other</w:t>
            </w: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4"/>
        </w:trPr>
        <w:tc>
          <w:tcPr>
            <w:tcW w:w="2260" w:type="dxa"/>
            <w:vAlign w:val="bottom"/>
          </w:tcPr>
          <w:p>
            <w:pPr>
              <w:spacing w:after="0"/>
              <w:rPr>
                <w:sz w:val="15"/>
                <w:szCs w:val="15"/>
                <w:color w:val="auto"/>
              </w:rPr>
            </w:pPr>
          </w:p>
        </w:tc>
        <w:tc>
          <w:tcPr>
            <w:tcW w:w="11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U.S. dollars</w:t>
            </w:r>
          </w:p>
        </w:tc>
        <w:tc>
          <w:tcPr>
            <w:tcW w:w="1320" w:type="dxa"/>
            <w:vAlign w:val="bottom"/>
            <w:gridSpan w:val="3"/>
          </w:tcPr>
          <w:p>
            <w:pPr>
              <w:ind w:left="320"/>
              <w:spacing w:after="0"/>
              <w:rPr>
                <w:sz w:val="20"/>
                <w:szCs w:val="20"/>
                <w:color w:val="auto"/>
              </w:rPr>
            </w:pPr>
            <w:r>
              <w:rPr>
                <w:rFonts w:ascii="Arial" w:cs="Arial" w:eastAsia="Arial" w:hAnsi="Arial"/>
                <w:sz w:val="14"/>
                <w:szCs w:val="14"/>
                <w:b w:val="1"/>
                <w:bCs w:val="1"/>
                <w:color w:val="auto"/>
              </w:rPr>
              <w:t>new sol</w:t>
            </w: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currencies</w:t>
            </w:r>
          </w:p>
        </w:tc>
        <w:tc>
          <w:tcPr>
            <w:tcW w:w="1140" w:type="dxa"/>
            <w:vAlign w:val="bottom"/>
            <w:gridSpan w:val="2"/>
          </w:tcPr>
          <w:p>
            <w:pPr>
              <w:ind w:left="400"/>
              <w:spacing w:after="0"/>
              <w:rPr>
                <w:sz w:val="20"/>
                <w:szCs w:val="20"/>
                <w:color w:val="auto"/>
              </w:rPr>
            </w:pPr>
            <w:r>
              <w:rPr>
                <w:rFonts w:ascii="Arial" w:cs="Arial" w:eastAsia="Arial" w:hAnsi="Arial"/>
                <w:sz w:val="14"/>
                <w:szCs w:val="14"/>
                <w:b w:val="1"/>
                <w:bCs w:val="1"/>
                <w:color w:val="auto"/>
              </w:rPr>
              <w:t>Total</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U.S. dollars</w:t>
            </w:r>
          </w:p>
        </w:tc>
        <w:tc>
          <w:tcPr>
            <w:tcW w:w="1320" w:type="dxa"/>
            <w:vAlign w:val="bottom"/>
            <w:gridSpan w:val="3"/>
          </w:tcPr>
          <w:p>
            <w:pPr>
              <w:ind w:left="320"/>
              <w:spacing w:after="0"/>
              <w:rPr>
                <w:sz w:val="20"/>
                <w:szCs w:val="20"/>
                <w:color w:val="auto"/>
              </w:rPr>
            </w:pPr>
            <w:r>
              <w:rPr>
                <w:rFonts w:ascii="Arial" w:cs="Arial" w:eastAsia="Arial" w:hAnsi="Arial"/>
                <w:sz w:val="14"/>
                <w:szCs w:val="14"/>
                <w:b w:val="1"/>
                <w:bCs w:val="1"/>
                <w:color w:val="auto"/>
              </w:rPr>
              <w:t>new sol</w:t>
            </w: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currencies</w:t>
            </w:r>
          </w:p>
        </w:tc>
        <w:tc>
          <w:tcPr>
            <w:tcW w:w="1120" w:type="dxa"/>
            <w:vAlign w:val="bottom"/>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2260" w:type="dxa"/>
            <w:vAlign w:val="bottom"/>
          </w:tcPr>
          <w:p>
            <w:pPr>
              <w:spacing w:after="0"/>
              <w:rPr>
                <w:sz w:val="15"/>
                <w:szCs w:val="15"/>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4"/>
                <w:szCs w:val="14"/>
                <w:color w:val="auto"/>
                <w:w w:val="90"/>
              </w:rPr>
              <w:t>US$(000)</w:t>
            </w:r>
          </w:p>
        </w:tc>
        <w:tc>
          <w:tcPr>
            <w:tcW w:w="1320" w:type="dxa"/>
            <w:vAlign w:val="bottom"/>
            <w:gridSpan w:val="3"/>
          </w:tcPr>
          <w:p>
            <w:pPr>
              <w:ind w:left="280"/>
              <w:spacing w:after="0"/>
              <w:rPr>
                <w:sz w:val="20"/>
                <w:szCs w:val="20"/>
                <w:color w:val="auto"/>
              </w:rPr>
            </w:pPr>
            <w:r>
              <w:rPr>
                <w:rFonts w:ascii="Arial" w:cs="Arial" w:eastAsia="Arial" w:hAnsi="Arial"/>
                <w:sz w:val="14"/>
                <w:szCs w:val="14"/>
                <w:color w:val="auto"/>
              </w:rPr>
              <w:t>US$(000)</w:t>
            </w:r>
          </w:p>
        </w:tc>
        <w:tc>
          <w:tcPr>
            <w:tcW w:w="960" w:type="dxa"/>
            <w:vAlign w:val="bottom"/>
            <w:gridSpan w:val="2"/>
          </w:tcPr>
          <w:p>
            <w:pPr>
              <w:jc w:val="center"/>
              <w:ind w:right="200"/>
              <w:spacing w:after="0"/>
              <w:rPr>
                <w:sz w:val="20"/>
                <w:szCs w:val="20"/>
                <w:color w:val="auto"/>
              </w:rPr>
            </w:pPr>
            <w:r>
              <w:rPr>
                <w:rFonts w:ascii="Arial" w:cs="Arial" w:eastAsia="Arial" w:hAnsi="Arial"/>
                <w:sz w:val="14"/>
                <w:szCs w:val="14"/>
                <w:color w:val="auto"/>
                <w:w w:val="86"/>
              </w:rPr>
              <w:t>US$(000)</w:t>
            </w:r>
          </w:p>
        </w:tc>
        <w:tc>
          <w:tcPr>
            <w:tcW w:w="1140" w:type="dxa"/>
            <w:vAlign w:val="bottom"/>
            <w:gridSpan w:val="2"/>
          </w:tcPr>
          <w:p>
            <w:pPr>
              <w:ind w:left="300"/>
              <w:spacing w:after="0"/>
              <w:rPr>
                <w:sz w:val="20"/>
                <w:szCs w:val="20"/>
                <w:color w:val="auto"/>
              </w:rPr>
            </w:pPr>
            <w:r>
              <w:rPr>
                <w:rFonts w:ascii="Arial" w:cs="Arial" w:eastAsia="Arial" w:hAnsi="Arial"/>
                <w:sz w:val="14"/>
                <w:szCs w:val="14"/>
                <w:color w:val="auto"/>
              </w:rPr>
              <w:t>US$(000)</w:t>
            </w:r>
          </w:p>
        </w:tc>
        <w:tc>
          <w:tcPr>
            <w:tcW w:w="1140" w:type="dxa"/>
            <w:vAlign w:val="bottom"/>
            <w:gridSpan w:val="2"/>
          </w:tcPr>
          <w:p>
            <w:pPr>
              <w:jc w:val="right"/>
              <w:ind w:right="320"/>
              <w:spacing w:after="0"/>
              <w:rPr>
                <w:sz w:val="20"/>
                <w:szCs w:val="20"/>
                <w:color w:val="auto"/>
              </w:rPr>
            </w:pPr>
            <w:r>
              <w:rPr>
                <w:rFonts w:ascii="Arial" w:cs="Arial" w:eastAsia="Arial" w:hAnsi="Arial"/>
                <w:sz w:val="14"/>
                <w:szCs w:val="14"/>
                <w:color w:val="auto"/>
              </w:rPr>
              <w:t>US$(000)</w:t>
            </w:r>
          </w:p>
        </w:tc>
        <w:tc>
          <w:tcPr>
            <w:tcW w:w="1320" w:type="dxa"/>
            <w:vAlign w:val="bottom"/>
            <w:gridSpan w:val="3"/>
          </w:tcPr>
          <w:p>
            <w:pPr>
              <w:ind w:left="280"/>
              <w:spacing w:after="0"/>
              <w:rPr>
                <w:sz w:val="20"/>
                <w:szCs w:val="20"/>
                <w:color w:val="auto"/>
              </w:rPr>
            </w:pPr>
            <w:r>
              <w:rPr>
                <w:rFonts w:ascii="Arial" w:cs="Arial" w:eastAsia="Arial" w:hAnsi="Arial"/>
                <w:sz w:val="14"/>
                <w:szCs w:val="14"/>
                <w:color w:val="auto"/>
              </w:rPr>
              <w:t>US$(000)</w:t>
            </w:r>
          </w:p>
        </w:tc>
        <w:tc>
          <w:tcPr>
            <w:tcW w:w="940" w:type="dxa"/>
            <w:vAlign w:val="bottom"/>
            <w:gridSpan w:val="2"/>
          </w:tcPr>
          <w:p>
            <w:pPr>
              <w:jc w:val="center"/>
              <w:ind w:right="200"/>
              <w:spacing w:after="0"/>
              <w:rPr>
                <w:sz w:val="20"/>
                <w:szCs w:val="20"/>
                <w:color w:val="auto"/>
              </w:rPr>
            </w:pPr>
            <w:r>
              <w:rPr>
                <w:rFonts w:ascii="Arial" w:cs="Arial" w:eastAsia="Arial" w:hAnsi="Arial"/>
                <w:sz w:val="14"/>
                <w:szCs w:val="14"/>
                <w:color w:val="auto"/>
                <w:w w:val="90"/>
              </w:rPr>
              <w:t>US$(000)</w:t>
            </w:r>
          </w:p>
        </w:tc>
        <w:tc>
          <w:tcPr>
            <w:tcW w:w="1120" w:type="dxa"/>
            <w:vAlign w:val="bottom"/>
          </w:tcPr>
          <w:p>
            <w:pPr>
              <w:jc w:val="right"/>
              <w:ind w:right="232"/>
              <w:spacing w:after="0"/>
              <w:rPr>
                <w:sz w:val="20"/>
                <w:szCs w:val="20"/>
                <w:color w:val="auto"/>
              </w:rPr>
            </w:pPr>
            <w:r>
              <w:rPr>
                <w:rFonts w:ascii="Arial" w:cs="Arial" w:eastAsia="Arial" w:hAnsi="Arial"/>
                <w:sz w:val="14"/>
                <w:szCs w:val="14"/>
                <w:color w:val="auto"/>
              </w:rPr>
              <w:t>US$(000)</w:t>
            </w:r>
          </w:p>
        </w:tc>
        <w:tc>
          <w:tcPr>
            <w:tcW w:w="0" w:type="dxa"/>
            <w:vAlign w:val="bottom"/>
          </w:tcPr>
          <w:p>
            <w:pPr>
              <w:spacing w:after="0"/>
              <w:rPr>
                <w:sz w:val="1"/>
                <w:szCs w:val="1"/>
                <w:color w:val="auto"/>
              </w:rPr>
            </w:pPr>
          </w:p>
        </w:tc>
      </w:tr>
      <w:tr>
        <w:trPr>
          <w:trHeight w:val="176"/>
        </w:trPr>
        <w:tc>
          <w:tcPr>
            <w:tcW w:w="2260" w:type="dxa"/>
            <w:vAlign w:val="bottom"/>
          </w:tcPr>
          <w:p>
            <w:pPr>
              <w:spacing w:after="0"/>
              <w:rPr>
                <w:sz w:val="20"/>
                <w:szCs w:val="20"/>
                <w:color w:val="auto"/>
              </w:rPr>
            </w:pPr>
            <w:r>
              <w:rPr>
                <w:rFonts w:ascii="Arial" w:cs="Arial" w:eastAsia="Arial" w:hAnsi="Arial"/>
                <w:sz w:val="14"/>
                <w:szCs w:val="14"/>
                <w:b w:val="1"/>
                <w:bCs w:val="1"/>
                <w:color w:val="auto"/>
              </w:rPr>
              <w:t>Assets -</w:t>
            </w: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60" w:type="dxa"/>
            <w:vAlign w:val="bottom"/>
          </w:tcPr>
          <w:p>
            <w:pPr>
              <w:spacing w:after="0"/>
              <w:rPr>
                <w:sz w:val="20"/>
                <w:szCs w:val="20"/>
                <w:color w:val="auto"/>
              </w:rPr>
            </w:pPr>
            <w:r>
              <w:rPr>
                <w:rFonts w:ascii="Arial" w:cs="Arial" w:eastAsia="Arial" w:hAnsi="Arial"/>
                <w:sz w:val="14"/>
                <w:szCs w:val="14"/>
                <w:color w:val="auto"/>
              </w:rPr>
              <w:t>Cash and due from banks</w:t>
            </w:r>
          </w:p>
        </w:tc>
        <w:tc>
          <w:tcPr>
            <w:tcW w:w="1120" w:type="dxa"/>
            <w:vAlign w:val="bottom"/>
          </w:tcPr>
          <w:p>
            <w:pPr>
              <w:jc w:val="right"/>
              <w:spacing w:after="0"/>
              <w:rPr>
                <w:sz w:val="20"/>
                <w:szCs w:val="20"/>
                <w:color w:val="auto"/>
              </w:rPr>
            </w:pPr>
            <w:r>
              <w:rPr>
                <w:rFonts w:ascii="Arial" w:cs="Arial" w:eastAsia="Arial" w:hAnsi="Arial"/>
                <w:sz w:val="14"/>
                <w:szCs w:val="14"/>
                <w:color w:val="auto"/>
              </w:rPr>
              <w:t>1,443,208</w:t>
            </w:r>
          </w:p>
        </w:tc>
        <w:tc>
          <w:tcPr>
            <w:tcW w:w="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139,514</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30,008</w:t>
            </w:r>
          </w:p>
        </w:tc>
        <w:tc>
          <w:tcPr>
            <w:tcW w:w="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1,612,730</w:t>
            </w:r>
          </w:p>
        </w:tc>
        <w:tc>
          <w:tcPr>
            <w:tcW w:w="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1,977,733</w:t>
            </w:r>
          </w:p>
        </w:tc>
        <w:tc>
          <w:tcPr>
            <w:tcW w:w="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162,612</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42,045</w:t>
            </w:r>
          </w:p>
        </w:tc>
        <w:tc>
          <w:tcPr>
            <w:tcW w:w="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2,182,390</w:t>
            </w:r>
          </w:p>
        </w:tc>
        <w:tc>
          <w:tcPr>
            <w:tcW w:w="0" w:type="dxa"/>
            <w:vAlign w:val="bottom"/>
          </w:tcPr>
          <w:p>
            <w:pPr>
              <w:spacing w:after="0"/>
              <w:rPr>
                <w:sz w:val="1"/>
                <w:szCs w:val="1"/>
                <w:color w:val="auto"/>
              </w:rPr>
            </w:pPr>
          </w:p>
        </w:tc>
      </w:tr>
      <w:tr>
        <w:trPr>
          <w:trHeight w:val="176"/>
        </w:trPr>
        <w:tc>
          <w:tcPr>
            <w:tcW w:w="2260" w:type="dxa"/>
            <w:vAlign w:val="bottom"/>
          </w:tcPr>
          <w:p>
            <w:pPr>
              <w:spacing w:after="0"/>
              <w:rPr>
                <w:sz w:val="20"/>
                <w:szCs w:val="20"/>
                <w:color w:val="auto"/>
              </w:rPr>
            </w:pPr>
            <w:r>
              <w:rPr>
                <w:rFonts w:ascii="Arial" w:cs="Arial" w:eastAsia="Arial" w:hAnsi="Arial"/>
                <w:sz w:val="14"/>
                <w:szCs w:val="14"/>
                <w:color w:val="auto"/>
              </w:rPr>
              <w:t>Trading securities</w:t>
            </w:r>
          </w:p>
        </w:tc>
        <w:tc>
          <w:tcPr>
            <w:tcW w:w="1120" w:type="dxa"/>
            <w:vAlign w:val="bottom"/>
          </w:tcPr>
          <w:p>
            <w:pPr>
              <w:jc w:val="right"/>
              <w:spacing w:after="0"/>
              <w:rPr>
                <w:sz w:val="20"/>
                <w:szCs w:val="20"/>
                <w:color w:val="auto"/>
              </w:rPr>
            </w:pPr>
            <w:r>
              <w:rPr>
                <w:rFonts w:ascii="Arial" w:cs="Arial" w:eastAsia="Arial" w:hAnsi="Arial"/>
                <w:sz w:val="14"/>
                <w:szCs w:val="14"/>
                <w:color w:val="auto"/>
              </w:rPr>
              <w:t>31,843</w:t>
            </w:r>
          </w:p>
        </w:tc>
        <w:tc>
          <w:tcPr>
            <w:tcW w:w="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28,196</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38,111</w:t>
            </w:r>
          </w:p>
        </w:tc>
        <w:tc>
          <w:tcPr>
            <w:tcW w:w="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98,150</w:t>
            </w:r>
          </w:p>
        </w:tc>
        <w:tc>
          <w:tcPr>
            <w:tcW w:w="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295,755</w:t>
            </w:r>
          </w:p>
        </w:tc>
        <w:tc>
          <w:tcPr>
            <w:tcW w:w="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297,563</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11,786</w:t>
            </w:r>
          </w:p>
        </w:tc>
        <w:tc>
          <w:tcPr>
            <w:tcW w:w="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605,104</w:t>
            </w:r>
          </w:p>
        </w:tc>
        <w:tc>
          <w:tcPr>
            <w:tcW w:w="0" w:type="dxa"/>
            <w:vAlign w:val="bottom"/>
          </w:tcPr>
          <w:p>
            <w:pPr>
              <w:spacing w:after="0"/>
              <w:rPr>
                <w:sz w:val="1"/>
                <w:szCs w:val="1"/>
                <w:color w:val="auto"/>
              </w:rPr>
            </w:pPr>
          </w:p>
        </w:tc>
      </w:tr>
      <w:tr>
        <w:trPr>
          <w:trHeight w:val="176"/>
        </w:trPr>
        <w:tc>
          <w:tcPr>
            <w:tcW w:w="2260" w:type="dxa"/>
            <w:vAlign w:val="bottom"/>
          </w:tcPr>
          <w:p>
            <w:pPr>
              <w:spacing w:after="0"/>
              <w:rPr>
                <w:sz w:val="20"/>
                <w:szCs w:val="20"/>
                <w:color w:val="auto"/>
              </w:rPr>
            </w:pPr>
            <w:r>
              <w:rPr>
                <w:rFonts w:ascii="Arial" w:cs="Arial" w:eastAsia="Arial" w:hAnsi="Arial"/>
                <w:sz w:val="14"/>
                <w:szCs w:val="14"/>
                <w:color w:val="auto"/>
              </w:rPr>
              <w:t>Loans</w:t>
            </w:r>
          </w:p>
        </w:tc>
        <w:tc>
          <w:tcPr>
            <w:tcW w:w="1120" w:type="dxa"/>
            <w:vAlign w:val="bottom"/>
          </w:tcPr>
          <w:p>
            <w:pPr>
              <w:jc w:val="right"/>
              <w:spacing w:after="0"/>
              <w:rPr>
                <w:sz w:val="20"/>
                <w:szCs w:val="20"/>
                <w:color w:val="auto"/>
              </w:rPr>
            </w:pPr>
            <w:r>
              <w:rPr>
                <w:rFonts w:ascii="Arial" w:cs="Arial" w:eastAsia="Arial" w:hAnsi="Arial"/>
                <w:sz w:val="14"/>
                <w:szCs w:val="14"/>
                <w:color w:val="auto"/>
              </w:rPr>
              <w:t>3,469,891</w:t>
            </w:r>
          </w:p>
        </w:tc>
        <w:tc>
          <w:tcPr>
            <w:tcW w:w="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637,200</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47,728</w:t>
            </w:r>
          </w:p>
        </w:tc>
        <w:tc>
          <w:tcPr>
            <w:tcW w:w="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4,154,819</w:t>
            </w:r>
          </w:p>
        </w:tc>
        <w:tc>
          <w:tcPr>
            <w:tcW w:w="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3,568,523</w:t>
            </w:r>
          </w:p>
        </w:tc>
        <w:tc>
          <w:tcPr>
            <w:tcW w:w="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630,184</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194,925</w:t>
            </w:r>
          </w:p>
        </w:tc>
        <w:tc>
          <w:tcPr>
            <w:tcW w:w="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4,393,632</w:t>
            </w:r>
          </w:p>
        </w:tc>
        <w:tc>
          <w:tcPr>
            <w:tcW w:w="0" w:type="dxa"/>
            <w:vAlign w:val="bottom"/>
          </w:tcPr>
          <w:p>
            <w:pPr>
              <w:spacing w:after="0"/>
              <w:rPr>
                <w:sz w:val="1"/>
                <w:szCs w:val="1"/>
                <w:color w:val="auto"/>
              </w:rPr>
            </w:pPr>
          </w:p>
        </w:tc>
      </w:tr>
      <w:tr>
        <w:trPr>
          <w:trHeight w:val="176"/>
        </w:trPr>
        <w:tc>
          <w:tcPr>
            <w:tcW w:w="2260" w:type="dxa"/>
            <w:vAlign w:val="bottom"/>
          </w:tcPr>
          <w:p>
            <w:pPr>
              <w:spacing w:after="0"/>
              <w:rPr>
                <w:sz w:val="20"/>
                <w:szCs w:val="20"/>
                <w:color w:val="auto"/>
              </w:rPr>
            </w:pPr>
            <w:r>
              <w:rPr>
                <w:rFonts w:ascii="Arial" w:cs="Arial" w:eastAsia="Arial" w:hAnsi="Arial"/>
                <w:sz w:val="14"/>
                <w:szCs w:val="14"/>
                <w:color w:val="auto"/>
              </w:rPr>
              <w:t>Other assets</w:t>
            </w:r>
          </w:p>
        </w:tc>
        <w:tc>
          <w:tcPr>
            <w:tcW w:w="1120" w:type="dxa"/>
            <w:vAlign w:val="bottom"/>
          </w:tcPr>
          <w:p>
            <w:pPr>
              <w:jc w:val="right"/>
              <w:spacing w:after="0"/>
              <w:rPr>
                <w:sz w:val="20"/>
                <w:szCs w:val="20"/>
                <w:color w:val="auto"/>
              </w:rPr>
            </w:pPr>
            <w:r>
              <w:rPr>
                <w:rFonts w:ascii="Arial" w:cs="Arial" w:eastAsia="Arial" w:hAnsi="Arial"/>
                <w:sz w:val="14"/>
                <w:szCs w:val="14"/>
                <w:color w:val="auto"/>
              </w:rPr>
              <w:t>1,767,266</w:t>
            </w:r>
          </w:p>
        </w:tc>
        <w:tc>
          <w:tcPr>
            <w:tcW w:w="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632,643</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28,786</w:t>
            </w:r>
          </w:p>
        </w:tc>
        <w:tc>
          <w:tcPr>
            <w:tcW w:w="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2,428,695</w:t>
            </w:r>
          </w:p>
        </w:tc>
        <w:tc>
          <w:tcPr>
            <w:tcW w:w="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1,220,217</w:t>
            </w:r>
          </w:p>
        </w:tc>
        <w:tc>
          <w:tcPr>
            <w:tcW w:w="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99,335</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128,953</w:t>
            </w:r>
          </w:p>
        </w:tc>
        <w:tc>
          <w:tcPr>
            <w:tcW w:w="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1,448,505</w:t>
            </w:r>
          </w:p>
        </w:tc>
        <w:tc>
          <w:tcPr>
            <w:tcW w:w="0" w:type="dxa"/>
            <w:vAlign w:val="bottom"/>
          </w:tcPr>
          <w:p>
            <w:pPr>
              <w:spacing w:after="0"/>
              <w:rPr>
                <w:sz w:val="1"/>
                <w:szCs w:val="1"/>
                <w:color w:val="auto"/>
              </w:rPr>
            </w:pPr>
          </w:p>
        </w:tc>
      </w:tr>
      <w:tr>
        <w:trPr>
          <w:trHeight w:val="122"/>
        </w:trPr>
        <w:tc>
          <w:tcPr>
            <w:tcW w:w="226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290"/>
        </w:trPr>
        <w:tc>
          <w:tcPr>
            <w:tcW w:w="2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6,712,208</w:t>
            </w:r>
          </w:p>
        </w:tc>
        <w:tc>
          <w:tcPr>
            <w:tcW w:w="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1,437,553</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144,633</w:t>
            </w:r>
          </w:p>
        </w:tc>
        <w:tc>
          <w:tcPr>
            <w:tcW w:w="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8,294,394</w:t>
            </w:r>
          </w:p>
        </w:tc>
        <w:tc>
          <w:tcPr>
            <w:tcW w:w="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7,062,228</w:t>
            </w:r>
          </w:p>
        </w:tc>
        <w:tc>
          <w:tcPr>
            <w:tcW w:w="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1,189,694</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377,709</w:t>
            </w:r>
          </w:p>
        </w:tc>
        <w:tc>
          <w:tcPr>
            <w:tcW w:w="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8,629,631</w:t>
            </w:r>
          </w:p>
        </w:tc>
        <w:tc>
          <w:tcPr>
            <w:tcW w:w="0" w:type="dxa"/>
            <w:vAlign w:val="bottom"/>
          </w:tcPr>
          <w:p>
            <w:pPr>
              <w:spacing w:after="0"/>
              <w:rPr>
                <w:sz w:val="1"/>
                <w:szCs w:val="1"/>
                <w:color w:val="auto"/>
              </w:rPr>
            </w:pPr>
          </w:p>
        </w:tc>
      </w:tr>
      <w:tr>
        <w:trPr>
          <w:trHeight w:val="122"/>
        </w:trPr>
        <w:tc>
          <w:tcPr>
            <w:tcW w:w="2260" w:type="dxa"/>
            <w:vAlign w:val="bottom"/>
            <w:vMerge w:val="restart"/>
          </w:tcPr>
          <w:p>
            <w:pPr>
              <w:spacing w:after="0"/>
              <w:rPr>
                <w:sz w:val="20"/>
                <w:szCs w:val="20"/>
                <w:color w:val="auto"/>
              </w:rPr>
            </w:pPr>
            <w:r>
              <w:rPr>
                <w:rFonts w:ascii="Arial" w:cs="Arial" w:eastAsia="Arial" w:hAnsi="Arial"/>
                <w:sz w:val="14"/>
                <w:szCs w:val="14"/>
                <w:b w:val="1"/>
                <w:bCs w:val="1"/>
                <w:color w:val="auto"/>
              </w:rPr>
              <w:t>Liabilities -</w:t>
            </w:r>
          </w:p>
        </w:tc>
        <w:tc>
          <w:tcPr>
            <w:tcW w:w="112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290"/>
        </w:trPr>
        <w:tc>
          <w:tcPr>
            <w:tcW w:w="226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260" w:type="dxa"/>
            <w:vAlign w:val="bottom"/>
          </w:tcPr>
          <w:p>
            <w:pPr>
              <w:spacing w:after="0"/>
              <w:rPr>
                <w:sz w:val="20"/>
                <w:szCs w:val="20"/>
                <w:color w:val="auto"/>
              </w:rPr>
            </w:pPr>
            <w:r>
              <w:rPr>
                <w:rFonts w:ascii="Arial" w:cs="Arial" w:eastAsia="Arial" w:hAnsi="Arial"/>
                <w:sz w:val="14"/>
                <w:szCs w:val="14"/>
                <w:color w:val="auto"/>
              </w:rPr>
              <w:t>Deposits and obligations</w:t>
            </w:r>
          </w:p>
        </w:tc>
        <w:tc>
          <w:tcPr>
            <w:tcW w:w="1120" w:type="dxa"/>
            <w:vAlign w:val="bottom"/>
          </w:tcPr>
          <w:p>
            <w:pPr>
              <w:jc w:val="right"/>
              <w:spacing w:after="0"/>
              <w:rPr>
                <w:sz w:val="20"/>
                <w:szCs w:val="20"/>
                <w:color w:val="auto"/>
              </w:rPr>
            </w:pPr>
            <w:r>
              <w:rPr>
                <w:rFonts w:ascii="Arial" w:cs="Arial" w:eastAsia="Arial" w:hAnsi="Arial"/>
                <w:sz w:val="14"/>
                <w:szCs w:val="14"/>
                <w:color w:val="auto"/>
              </w:rPr>
              <w:t>(4,631,187)</w:t>
            </w:r>
          </w:p>
        </w:tc>
        <w:tc>
          <w:tcPr>
            <w:tcW w:w="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(1,306,463)</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(48,580)</w:t>
            </w: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(5,986,230)</w:t>
            </w: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(5,011,722)</w:t>
            </w: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(1,168,385)</w:t>
            </w:r>
          </w:p>
        </w:tc>
        <w:tc>
          <w:tcPr>
            <w:tcW w:w="18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(201,093)</w:t>
            </w:r>
          </w:p>
        </w:tc>
        <w:tc>
          <w:tcPr>
            <w:tcW w:w="1120" w:type="dxa"/>
            <w:vAlign w:val="bottom"/>
          </w:tcPr>
          <w:p>
            <w:pPr>
              <w:jc w:val="right"/>
              <w:spacing w:after="0"/>
              <w:rPr>
                <w:sz w:val="20"/>
                <w:szCs w:val="20"/>
                <w:color w:val="auto"/>
              </w:rPr>
            </w:pPr>
            <w:r>
              <w:rPr>
                <w:rFonts w:ascii="Arial" w:cs="Arial" w:eastAsia="Arial" w:hAnsi="Arial"/>
                <w:sz w:val="14"/>
                <w:szCs w:val="14"/>
                <w:color w:val="auto"/>
              </w:rPr>
              <w:t>(6,381,200)</w:t>
            </w:r>
          </w:p>
        </w:tc>
        <w:tc>
          <w:tcPr>
            <w:tcW w:w="0" w:type="dxa"/>
            <w:vAlign w:val="bottom"/>
          </w:tcPr>
          <w:p>
            <w:pPr>
              <w:spacing w:after="0"/>
              <w:rPr>
                <w:sz w:val="1"/>
                <w:szCs w:val="1"/>
                <w:color w:val="auto"/>
              </w:rPr>
            </w:pPr>
          </w:p>
        </w:tc>
      </w:tr>
      <w:tr>
        <w:trPr>
          <w:trHeight w:val="176"/>
        </w:trPr>
        <w:tc>
          <w:tcPr>
            <w:tcW w:w="2260" w:type="dxa"/>
            <w:vAlign w:val="bottom"/>
          </w:tcPr>
          <w:p>
            <w:pPr>
              <w:spacing w:after="0"/>
              <w:rPr>
                <w:sz w:val="20"/>
                <w:szCs w:val="20"/>
                <w:color w:val="auto"/>
              </w:rPr>
            </w:pPr>
            <w:r>
              <w:rPr>
                <w:rFonts w:ascii="Arial" w:cs="Arial" w:eastAsia="Arial" w:hAnsi="Arial"/>
                <w:sz w:val="14"/>
                <w:szCs w:val="14"/>
                <w:color w:val="auto"/>
              </w:rPr>
              <w:t>Due to banks and correspondents</w:t>
            </w:r>
          </w:p>
        </w:tc>
        <w:tc>
          <w:tcPr>
            <w:tcW w:w="1120" w:type="dxa"/>
            <w:vAlign w:val="bottom"/>
          </w:tcPr>
          <w:p>
            <w:pPr>
              <w:jc w:val="right"/>
              <w:spacing w:after="0"/>
              <w:rPr>
                <w:sz w:val="20"/>
                <w:szCs w:val="20"/>
                <w:color w:val="auto"/>
              </w:rPr>
            </w:pPr>
            <w:r>
              <w:rPr>
                <w:rFonts w:ascii="Arial" w:cs="Arial" w:eastAsia="Arial" w:hAnsi="Arial"/>
                <w:sz w:val="14"/>
                <w:szCs w:val="14"/>
                <w:color w:val="auto"/>
              </w:rPr>
              <w:t>(79,284)</w:t>
            </w:r>
          </w:p>
        </w:tc>
        <w:tc>
          <w:tcPr>
            <w:tcW w:w="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(162,150)</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(32,300)</w:t>
            </w: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(273,734)</w:t>
            </w:r>
          </w:p>
        </w:tc>
        <w:tc>
          <w:tcPr>
            <w:tcW w:w="1100" w:type="dxa"/>
            <w:vAlign w:val="bottom"/>
          </w:tcPr>
          <w:p>
            <w:pPr>
              <w:jc w:val="right"/>
              <w:spacing w:after="0"/>
              <w:rPr>
                <w:sz w:val="20"/>
                <w:szCs w:val="20"/>
                <w:color w:val="auto"/>
              </w:rPr>
            </w:pPr>
            <w:r>
              <w:rPr>
                <w:rFonts w:ascii="Arial" w:cs="Arial" w:eastAsia="Arial" w:hAnsi="Arial"/>
                <w:sz w:val="14"/>
                <w:szCs w:val="14"/>
                <w:color w:val="auto"/>
              </w:rPr>
              <w:t>(208,496)</w:t>
            </w:r>
          </w:p>
        </w:tc>
        <w:tc>
          <w:tcPr>
            <w:tcW w:w="4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(61,026)</w:t>
            </w:r>
          </w:p>
        </w:tc>
        <w:tc>
          <w:tcPr>
            <w:tcW w:w="18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(40,176)</w:t>
            </w:r>
          </w:p>
        </w:tc>
        <w:tc>
          <w:tcPr>
            <w:tcW w:w="1120" w:type="dxa"/>
            <w:vAlign w:val="bottom"/>
          </w:tcPr>
          <w:p>
            <w:pPr>
              <w:jc w:val="right"/>
              <w:spacing w:after="0"/>
              <w:rPr>
                <w:sz w:val="20"/>
                <w:szCs w:val="20"/>
                <w:color w:val="auto"/>
              </w:rPr>
            </w:pPr>
            <w:r>
              <w:rPr>
                <w:rFonts w:ascii="Arial" w:cs="Arial" w:eastAsia="Arial" w:hAnsi="Arial"/>
                <w:sz w:val="14"/>
                <w:szCs w:val="14"/>
                <w:color w:val="auto"/>
              </w:rPr>
              <w:t>(309,698)</w:t>
            </w:r>
          </w:p>
        </w:tc>
        <w:tc>
          <w:tcPr>
            <w:tcW w:w="0" w:type="dxa"/>
            <w:vAlign w:val="bottom"/>
          </w:tcPr>
          <w:p>
            <w:pPr>
              <w:spacing w:after="0"/>
              <w:rPr>
                <w:sz w:val="1"/>
                <w:szCs w:val="1"/>
                <w:color w:val="auto"/>
              </w:rPr>
            </w:pPr>
          </w:p>
        </w:tc>
      </w:tr>
      <w:tr>
        <w:trPr>
          <w:trHeight w:val="176"/>
        </w:trPr>
        <w:tc>
          <w:tcPr>
            <w:tcW w:w="2260" w:type="dxa"/>
            <w:vAlign w:val="bottom"/>
          </w:tcPr>
          <w:p>
            <w:pPr>
              <w:spacing w:after="0"/>
              <w:rPr>
                <w:sz w:val="20"/>
                <w:szCs w:val="20"/>
                <w:color w:val="auto"/>
              </w:rPr>
            </w:pPr>
            <w:r>
              <w:rPr>
                <w:rFonts w:ascii="Arial" w:cs="Arial" w:eastAsia="Arial" w:hAnsi="Arial"/>
                <w:sz w:val="14"/>
                <w:szCs w:val="14"/>
                <w:color w:val="auto"/>
              </w:rPr>
              <w:t>Bonds issued</w:t>
            </w:r>
          </w:p>
        </w:tc>
        <w:tc>
          <w:tcPr>
            <w:tcW w:w="1120" w:type="dxa"/>
            <w:vAlign w:val="bottom"/>
          </w:tcPr>
          <w:p>
            <w:pPr>
              <w:jc w:val="right"/>
              <w:spacing w:after="0"/>
              <w:rPr>
                <w:sz w:val="20"/>
                <w:szCs w:val="20"/>
                <w:color w:val="auto"/>
              </w:rPr>
            </w:pPr>
            <w:r>
              <w:rPr>
                <w:rFonts w:ascii="Arial" w:cs="Arial" w:eastAsia="Arial" w:hAnsi="Arial"/>
                <w:sz w:val="14"/>
                <w:szCs w:val="14"/>
                <w:color w:val="auto"/>
              </w:rPr>
              <w:t>(294,028)</w:t>
            </w:r>
          </w:p>
        </w:tc>
        <w:tc>
          <w:tcPr>
            <w:tcW w:w="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(121,721)</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(415,749)</w:t>
            </w:r>
          </w:p>
        </w:tc>
        <w:tc>
          <w:tcPr>
            <w:tcW w:w="1100" w:type="dxa"/>
            <w:vAlign w:val="bottom"/>
          </w:tcPr>
          <w:p>
            <w:pPr>
              <w:jc w:val="right"/>
              <w:spacing w:after="0"/>
              <w:rPr>
                <w:sz w:val="20"/>
                <w:szCs w:val="20"/>
                <w:color w:val="auto"/>
              </w:rPr>
            </w:pPr>
            <w:r>
              <w:rPr>
                <w:rFonts w:ascii="Arial" w:cs="Arial" w:eastAsia="Arial" w:hAnsi="Arial"/>
                <w:sz w:val="14"/>
                <w:szCs w:val="14"/>
                <w:color w:val="auto"/>
              </w:rPr>
              <w:t>(391,696)</w:t>
            </w:r>
          </w:p>
        </w:tc>
        <w:tc>
          <w:tcPr>
            <w:tcW w:w="4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(91,859)</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(483,555)</w:t>
            </w:r>
          </w:p>
        </w:tc>
        <w:tc>
          <w:tcPr>
            <w:tcW w:w="0" w:type="dxa"/>
            <w:vAlign w:val="bottom"/>
          </w:tcPr>
          <w:p>
            <w:pPr>
              <w:spacing w:after="0"/>
              <w:rPr>
                <w:sz w:val="1"/>
                <w:szCs w:val="1"/>
                <w:color w:val="auto"/>
              </w:rPr>
            </w:pPr>
          </w:p>
        </w:tc>
      </w:tr>
      <w:tr>
        <w:trPr>
          <w:trHeight w:val="176"/>
        </w:trPr>
        <w:tc>
          <w:tcPr>
            <w:tcW w:w="2260" w:type="dxa"/>
            <w:vAlign w:val="bottom"/>
          </w:tcPr>
          <w:p>
            <w:pPr>
              <w:spacing w:after="0"/>
              <w:rPr>
                <w:sz w:val="20"/>
                <w:szCs w:val="20"/>
                <w:color w:val="auto"/>
              </w:rPr>
            </w:pPr>
            <w:r>
              <w:rPr>
                <w:rFonts w:ascii="Arial" w:cs="Arial" w:eastAsia="Arial" w:hAnsi="Arial"/>
                <w:sz w:val="14"/>
                <w:szCs w:val="14"/>
                <w:color w:val="auto"/>
              </w:rPr>
              <w:t>Other liabilities</w:t>
            </w:r>
          </w:p>
        </w:tc>
        <w:tc>
          <w:tcPr>
            <w:tcW w:w="1120" w:type="dxa"/>
            <w:vAlign w:val="bottom"/>
          </w:tcPr>
          <w:p>
            <w:pPr>
              <w:jc w:val="right"/>
              <w:spacing w:after="0"/>
              <w:rPr>
                <w:sz w:val="20"/>
                <w:szCs w:val="20"/>
                <w:color w:val="auto"/>
              </w:rPr>
            </w:pPr>
            <w:r>
              <w:rPr>
                <w:rFonts w:ascii="Arial" w:cs="Arial" w:eastAsia="Arial" w:hAnsi="Arial"/>
                <w:sz w:val="14"/>
                <w:szCs w:val="14"/>
                <w:color w:val="auto"/>
              </w:rPr>
              <w:t>(484,607)</w:t>
            </w:r>
          </w:p>
        </w:tc>
        <w:tc>
          <w:tcPr>
            <w:tcW w:w="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(128,392)</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(22,111)</w:t>
            </w: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(635,110)</w:t>
            </w:r>
          </w:p>
        </w:tc>
        <w:tc>
          <w:tcPr>
            <w:tcW w:w="1100" w:type="dxa"/>
            <w:vAlign w:val="bottom"/>
          </w:tcPr>
          <w:p>
            <w:pPr>
              <w:jc w:val="right"/>
              <w:spacing w:after="0"/>
              <w:rPr>
                <w:sz w:val="20"/>
                <w:szCs w:val="20"/>
                <w:color w:val="auto"/>
              </w:rPr>
            </w:pPr>
            <w:r>
              <w:rPr>
                <w:rFonts w:ascii="Arial" w:cs="Arial" w:eastAsia="Arial" w:hAnsi="Arial"/>
                <w:sz w:val="14"/>
                <w:szCs w:val="14"/>
                <w:color w:val="auto"/>
              </w:rPr>
              <w:t>(430,254)</w:t>
            </w:r>
          </w:p>
        </w:tc>
        <w:tc>
          <w:tcPr>
            <w:tcW w:w="4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(123,261)</w:t>
            </w:r>
          </w:p>
        </w:tc>
        <w:tc>
          <w:tcPr>
            <w:tcW w:w="18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(13,121)</w:t>
            </w:r>
          </w:p>
        </w:tc>
        <w:tc>
          <w:tcPr>
            <w:tcW w:w="1120" w:type="dxa"/>
            <w:vAlign w:val="bottom"/>
          </w:tcPr>
          <w:p>
            <w:pPr>
              <w:jc w:val="right"/>
              <w:spacing w:after="0"/>
              <w:rPr>
                <w:sz w:val="20"/>
                <w:szCs w:val="20"/>
                <w:color w:val="auto"/>
              </w:rPr>
            </w:pPr>
            <w:r>
              <w:rPr>
                <w:rFonts w:ascii="Arial" w:cs="Arial" w:eastAsia="Arial" w:hAnsi="Arial"/>
                <w:sz w:val="14"/>
                <w:szCs w:val="14"/>
                <w:color w:val="auto"/>
              </w:rPr>
              <w:t>(566,636)</w:t>
            </w:r>
          </w:p>
        </w:tc>
        <w:tc>
          <w:tcPr>
            <w:tcW w:w="0" w:type="dxa"/>
            <w:vAlign w:val="bottom"/>
          </w:tcPr>
          <w:p>
            <w:pPr>
              <w:spacing w:after="0"/>
              <w:rPr>
                <w:sz w:val="1"/>
                <w:szCs w:val="1"/>
                <w:color w:val="auto"/>
              </w:rPr>
            </w:pPr>
          </w:p>
        </w:tc>
      </w:tr>
      <w:tr>
        <w:trPr>
          <w:trHeight w:val="122"/>
        </w:trPr>
        <w:tc>
          <w:tcPr>
            <w:tcW w:w="226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290"/>
        </w:trPr>
        <w:tc>
          <w:tcPr>
            <w:tcW w:w="2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(5,489,106)</w:t>
            </w:r>
          </w:p>
        </w:tc>
        <w:tc>
          <w:tcPr>
            <w:tcW w:w="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(1,718,726)</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(102,991)</w:t>
            </w: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(7,310,823)</w:t>
            </w:r>
          </w:p>
        </w:tc>
        <w:tc>
          <w:tcPr>
            <w:tcW w:w="1100" w:type="dxa"/>
            <w:vAlign w:val="bottom"/>
          </w:tcPr>
          <w:p>
            <w:pPr>
              <w:jc w:val="right"/>
              <w:spacing w:after="0"/>
              <w:rPr>
                <w:sz w:val="20"/>
                <w:szCs w:val="20"/>
                <w:color w:val="auto"/>
              </w:rPr>
            </w:pPr>
            <w:r>
              <w:rPr>
                <w:rFonts w:ascii="Arial" w:cs="Arial" w:eastAsia="Arial" w:hAnsi="Arial"/>
                <w:sz w:val="14"/>
                <w:szCs w:val="14"/>
                <w:color w:val="auto"/>
              </w:rPr>
              <w:t>(6,042,168)</w:t>
            </w:r>
          </w:p>
        </w:tc>
        <w:tc>
          <w:tcPr>
            <w:tcW w:w="40" w:type="dxa"/>
            <w:vAlign w:val="bottom"/>
          </w:tcPr>
          <w:p>
            <w:pPr>
              <w:spacing w:after="0"/>
              <w:rPr>
                <w:sz w:val="24"/>
                <w:szCs w:val="24"/>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(1,444,531)</w:t>
            </w:r>
          </w:p>
        </w:tc>
        <w:tc>
          <w:tcPr>
            <w:tcW w:w="18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(254,390)</w:t>
            </w:r>
          </w:p>
        </w:tc>
        <w:tc>
          <w:tcPr>
            <w:tcW w:w="1120" w:type="dxa"/>
            <w:vAlign w:val="bottom"/>
          </w:tcPr>
          <w:p>
            <w:pPr>
              <w:jc w:val="right"/>
              <w:spacing w:after="0"/>
              <w:rPr>
                <w:sz w:val="20"/>
                <w:szCs w:val="20"/>
                <w:color w:val="auto"/>
              </w:rPr>
            </w:pPr>
            <w:r>
              <w:rPr>
                <w:rFonts w:ascii="Arial" w:cs="Arial" w:eastAsia="Arial" w:hAnsi="Arial"/>
                <w:sz w:val="14"/>
                <w:szCs w:val="14"/>
                <w:color w:val="auto"/>
              </w:rPr>
              <w:t>(7,741,089)</w:t>
            </w:r>
          </w:p>
        </w:tc>
        <w:tc>
          <w:tcPr>
            <w:tcW w:w="0" w:type="dxa"/>
            <w:vAlign w:val="bottom"/>
          </w:tcPr>
          <w:p>
            <w:pPr>
              <w:spacing w:after="0"/>
              <w:rPr>
                <w:sz w:val="1"/>
                <w:szCs w:val="1"/>
                <w:color w:val="auto"/>
              </w:rPr>
            </w:pPr>
          </w:p>
        </w:tc>
      </w:tr>
      <w:tr>
        <w:trPr>
          <w:trHeight w:val="122"/>
        </w:trPr>
        <w:tc>
          <w:tcPr>
            <w:tcW w:w="226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290"/>
        </w:trPr>
        <w:tc>
          <w:tcPr>
            <w:tcW w:w="2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1,223,102</w:t>
            </w:r>
          </w:p>
        </w:tc>
        <w:tc>
          <w:tcPr>
            <w:tcW w:w="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(281,173)</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41,642</w:t>
            </w:r>
          </w:p>
        </w:tc>
        <w:tc>
          <w:tcPr>
            <w:tcW w:w="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983,571</w:t>
            </w:r>
          </w:p>
        </w:tc>
        <w:tc>
          <w:tcPr>
            <w:tcW w:w="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1,020,060</w:t>
            </w:r>
          </w:p>
        </w:tc>
        <w:tc>
          <w:tcPr>
            <w:tcW w:w="40" w:type="dxa"/>
            <w:vAlign w:val="bottom"/>
          </w:tcPr>
          <w:p>
            <w:pPr>
              <w:spacing w:after="0"/>
              <w:rPr>
                <w:sz w:val="24"/>
                <w:szCs w:val="24"/>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(254,837)</w:t>
            </w: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123,319</w:t>
            </w:r>
          </w:p>
        </w:tc>
        <w:tc>
          <w:tcPr>
            <w:tcW w:w="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888,542</w:t>
            </w:r>
          </w:p>
        </w:tc>
        <w:tc>
          <w:tcPr>
            <w:tcW w:w="0" w:type="dxa"/>
            <w:vAlign w:val="bottom"/>
          </w:tcPr>
          <w:p>
            <w:pPr>
              <w:spacing w:after="0"/>
              <w:rPr>
                <w:sz w:val="1"/>
                <w:szCs w:val="1"/>
                <w:color w:val="auto"/>
              </w:rPr>
            </w:pPr>
          </w:p>
        </w:tc>
      </w:tr>
      <w:tr>
        <w:trPr>
          <w:trHeight w:val="122"/>
        </w:trPr>
        <w:tc>
          <w:tcPr>
            <w:tcW w:w="226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290"/>
        </w:trPr>
        <w:tc>
          <w:tcPr>
            <w:tcW w:w="2260" w:type="dxa"/>
            <w:vAlign w:val="bottom"/>
          </w:tcPr>
          <w:p>
            <w:pPr>
              <w:spacing w:after="0"/>
              <w:rPr>
                <w:sz w:val="20"/>
                <w:szCs w:val="20"/>
                <w:color w:val="auto"/>
              </w:rPr>
            </w:pPr>
            <w:r>
              <w:rPr>
                <w:rFonts w:ascii="Arial" w:cs="Arial" w:eastAsia="Arial" w:hAnsi="Arial"/>
                <w:sz w:val="14"/>
                <w:szCs w:val="14"/>
                <w:color w:val="auto"/>
              </w:rPr>
              <w:t>Forward positions</w:t>
            </w:r>
          </w:p>
        </w:tc>
        <w:tc>
          <w:tcPr>
            <w:tcW w:w="1120" w:type="dxa"/>
            <w:vAlign w:val="bottom"/>
          </w:tcPr>
          <w:p>
            <w:pPr>
              <w:jc w:val="right"/>
              <w:spacing w:after="0"/>
              <w:rPr>
                <w:sz w:val="20"/>
                <w:szCs w:val="20"/>
                <w:color w:val="auto"/>
              </w:rPr>
            </w:pPr>
            <w:r>
              <w:rPr>
                <w:rFonts w:ascii="Arial" w:cs="Arial" w:eastAsia="Arial" w:hAnsi="Arial"/>
                <w:sz w:val="14"/>
                <w:szCs w:val="14"/>
                <w:color w:val="auto"/>
              </w:rPr>
              <w:t>(135,647)</w:t>
            </w:r>
          </w:p>
        </w:tc>
        <w:tc>
          <w:tcPr>
            <w:tcW w:w="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127,590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8,057</w:t>
            </w:r>
          </w:p>
        </w:tc>
        <w:tc>
          <w:tcPr>
            <w:tcW w:w="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(269,500)</w:t>
            </w:r>
          </w:p>
        </w:tc>
        <w:tc>
          <w:tcPr>
            <w:tcW w:w="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269,500</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2"/>
        </w:trPr>
        <w:tc>
          <w:tcPr>
            <w:tcW w:w="2260" w:type="dxa"/>
            <w:vAlign w:val="bottom"/>
            <w:vMerge w:val="restart"/>
          </w:tcPr>
          <w:p>
            <w:pPr>
              <w:spacing w:after="0"/>
              <w:rPr>
                <w:sz w:val="20"/>
                <w:szCs w:val="20"/>
                <w:color w:val="auto"/>
              </w:rPr>
            </w:pPr>
            <w:r>
              <w:rPr>
                <w:rFonts w:ascii="Arial" w:cs="Arial" w:eastAsia="Arial" w:hAnsi="Arial"/>
                <w:sz w:val="14"/>
                <w:szCs w:val="14"/>
                <w:b w:val="1"/>
                <w:bCs w:val="1"/>
                <w:color w:val="auto"/>
              </w:rPr>
              <w:t>Net position</w:t>
            </w:r>
          </w:p>
        </w:tc>
        <w:tc>
          <w:tcPr>
            <w:tcW w:w="112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290"/>
        </w:trPr>
        <w:tc>
          <w:tcPr>
            <w:tcW w:w="2260" w:type="dxa"/>
            <w:vAlign w:val="bottom"/>
            <w:vMerge w:val="continue"/>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1,087,455</w:t>
            </w:r>
          </w:p>
        </w:tc>
        <w:tc>
          <w:tcPr>
            <w:tcW w:w="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(153,583)</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49,699</w:t>
            </w:r>
          </w:p>
        </w:tc>
        <w:tc>
          <w:tcPr>
            <w:tcW w:w="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983,571</w:t>
            </w:r>
          </w:p>
        </w:tc>
        <w:tc>
          <w:tcPr>
            <w:tcW w:w="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750,560</w:t>
            </w:r>
          </w:p>
        </w:tc>
        <w:tc>
          <w:tcPr>
            <w:tcW w:w="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14,663</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123,319</w:t>
            </w:r>
          </w:p>
        </w:tc>
        <w:tc>
          <w:tcPr>
            <w:tcW w:w="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888,542</w:t>
            </w:r>
          </w:p>
        </w:tc>
        <w:tc>
          <w:tcPr>
            <w:tcW w:w="0" w:type="dxa"/>
            <w:vAlign w:val="bottom"/>
          </w:tcPr>
          <w:p>
            <w:pPr>
              <w:spacing w:after="0"/>
              <w:rPr>
                <w:sz w:val="1"/>
                <w:szCs w:val="1"/>
                <w:color w:val="auto"/>
              </w:rPr>
            </w:pPr>
          </w:p>
        </w:tc>
      </w:tr>
      <w:tr>
        <w:trPr>
          <w:trHeight w:val="132"/>
        </w:trPr>
        <w:tc>
          <w:tcPr>
            <w:tcW w:w="2260" w:type="dxa"/>
            <w:vAlign w:val="bottom"/>
            <w:vMerge w:val="restart"/>
          </w:tcPr>
          <w:p>
            <w:pPr>
              <w:spacing w:after="0"/>
              <w:rPr>
                <w:sz w:val="20"/>
                <w:szCs w:val="20"/>
                <w:color w:val="auto"/>
              </w:rPr>
            </w:pPr>
            <w:r>
              <w:rPr>
                <w:rFonts w:ascii="Arial" w:cs="Arial" w:eastAsia="Arial" w:hAnsi="Arial"/>
                <w:sz w:val="14"/>
                <w:szCs w:val="14"/>
                <w:b w:val="1"/>
                <w:bCs w:val="1"/>
                <w:color w:val="auto"/>
              </w:rPr>
              <w:t>Net monetary position (*)</w:t>
            </w:r>
          </w:p>
        </w:tc>
        <w:tc>
          <w:tcPr>
            <w:tcW w:w="11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93"/>
        </w:trPr>
        <w:tc>
          <w:tcPr>
            <w:tcW w:w="2260" w:type="dxa"/>
            <w:vAlign w:val="bottom"/>
            <w:vMerge w:val="continue"/>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573,548</w:t>
            </w:r>
          </w:p>
        </w:tc>
        <w:tc>
          <w:tcPr>
            <w:tcW w:w="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121,618</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193,314</w:t>
            </w:r>
          </w:p>
        </w:tc>
        <w:tc>
          <w:tcPr>
            <w:tcW w:w="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888,480</w:t>
            </w:r>
          </w:p>
        </w:tc>
        <w:tc>
          <w:tcPr>
            <w:tcW w:w="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235,694</w:t>
            </w:r>
          </w:p>
        </w:tc>
        <w:tc>
          <w:tcPr>
            <w:tcW w:w="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14,663</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123,319</w:t>
            </w:r>
          </w:p>
        </w:tc>
        <w:tc>
          <w:tcPr>
            <w:tcW w:w="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373,676</w:t>
            </w:r>
          </w:p>
        </w:tc>
        <w:tc>
          <w:tcPr>
            <w:tcW w:w="0" w:type="dxa"/>
            <w:vAlign w:val="bottom"/>
          </w:tcPr>
          <w:p>
            <w:pPr>
              <w:spacing w:after="0"/>
              <w:rPr>
                <w:sz w:val="1"/>
                <w:szCs w:val="1"/>
                <w:color w:val="auto"/>
              </w:rPr>
            </w:pPr>
          </w:p>
        </w:tc>
      </w:tr>
      <w:tr>
        <w:trPr>
          <w:trHeight w:val="132"/>
        </w:trPr>
        <w:tc>
          <w:tcPr>
            <w:tcW w:w="2260" w:type="dxa"/>
            <w:vAlign w:val="bottom"/>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4331970</wp:posOffset>
            </wp:positionH>
            <wp:positionV relativeFrom="paragraph">
              <wp:posOffset>-3444240</wp:posOffset>
            </wp:positionV>
            <wp:extent cx="34290" cy="34290"/>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-3444240</wp:posOffset>
            </wp:positionV>
            <wp:extent cx="34290" cy="34290"/>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-2406650</wp:posOffset>
            </wp:positionV>
            <wp:extent cx="34290" cy="34290"/>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-2406650</wp:posOffset>
            </wp:positionV>
            <wp:extent cx="34290" cy="34290"/>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3611245</wp:posOffset>
            </wp:positionH>
            <wp:positionV relativeFrom="paragraph">
              <wp:posOffset>-2406650</wp:posOffset>
            </wp:positionV>
            <wp:extent cx="34290" cy="34290"/>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-2406650</wp:posOffset>
            </wp:positionV>
            <wp:extent cx="34290" cy="34290"/>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-2406650</wp:posOffset>
            </wp:positionV>
            <wp:extent cx="34290" cy="34290"/>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5772785</wp:posOffset>
            </wp:positionH>
            <wp:positionV relativeFrom="paragraph">
              <wp:posOffset>-2406650</wp:posOffset>
            </wp:positionV>
            <wp:extent cx="34290" cy="34290"/>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-2406650</wp:posOffset>
            </wp:positionV>
            <wp:extent cx="34290" cy="34290"/>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-2406650</wp:posOffset>
            </wp:positionV>
            <wp:extent cx="34290" cy="34290"/>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-2132330</wp:posOffset>
            </wp:positionV>
            <wp:extent cx="34290" cy="34290"/>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-2132330</wp:posOffset>
            </wp:positionV>
            <wp:extent cx="34290" cy="34290"/>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3611245</wp:posOffset>
            </wp:positionH>
            <wp:positionV relativeFrom="paragraph">
              <wp:posOffset>-2132330</wp:posOffset>
            </wp:positionV>
            <wp:extent cx="34290" cy="34290"/>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-2132330</wp:posOffset>
            </wp:positionV>
            <wp:extent cx="34290" cy="34290"/>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-2132330</wp:posOffset>
            </wp:positionV>
            <wp:extent cx="34290" cy="34290"/>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5772785</wp:posOffset>
            </wp:positionH>
            <wp:positionV relativeFrom="paragraph">
              <wp:posOffset>-2132330</wp:posOffset>
            </wp:positionV>
            <wp:extent cx="34290" cy="34290"/>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-2132330</wp:posOffset>
            </wp:positionV>
            <wp:extent cx="34290" cy="34290"/>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-2132330</wp:posOffset>
            </wp:positionV>
            <wp:extent cx="34290" cy="34290"/>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-1412240</wp:posOffset>
            </wp:positionV>
            <wp:extent cx="34290" cy="34290"/>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-1412240</wp:posOffset>
            </wp:positionV>
            <wp:extent cx="34290" cy="34290"/>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3611245</wp:posOffset>
            </wp:positionH>
            <wp:positionV relativeFrom="paragraph">
              <wp:posOffset>-1412240</wp:posOffset>
            </wp:positionV>
            <wp:extent cx="34290" cy="34290"/>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-1412240</wp:posOffset>
            </wp:positionV>
            <wp:extent cx="34290" cy="34290"/>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-1412240</wp:posOffset>
            </wp:positionV>
            <wp:extent cx="34290" cy="34290"/>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5772785</wp:posOffset>
            </wp:positionH>
            <wp:positionV relativeFrom="paragraph">
              <wp:posOffset>-1412240</wp:posOffset>
            </wp:positionV>
            <wp:extent cx="34290" cy="34290"/>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-1412240</wp:posOffset>
            </wp:positionV>
            <wp:extent cx="34290" cy="34290"/>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-1412240</wp:posOffset>
            </wp:positionV>
            <wp:extent cx="34290" cy="34290"/>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-1137285</wp:posOffset>
            </wp:positionV>
            <wp:extent cx="34290" cy="34290"/>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-1137285</wp:posOffset>
            </wp:positionV>
            <wp:extent cx="34290" cy="34290"/>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3611245</wp:posOffset>
            </wp:positionH>
            <wp:positionV relativeFrom="paragraph">
              <wp:posOffset>-1137285</wp:posOffset>
            </wp:positionV>
            <wp:extent cx="34290" cy="34290"/>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-1137285</wp:posOffset>
            </wp:positionV>
            <wp:extent cx="34290" cy="34290"/>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-1137285</wp:posOffset>
            </wp:positionV>
            <wp:extent cx="34290" cy="34290"/>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5772785</wp:posOffset>
            </wp:positionH>
            <wp:positionV relativeFrom="paragraph">
              <wp:posOffset>-1137285</wp:posOffset>
            </wp:positionV>
            <wp:extent cx="34290" cy="34290"/>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-1137285</wp:posOffset>
            </wp:positionV>
            <wp:extent cx="34290" cy="34290"/>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-1137285</wp:posOffset>
            </wp:positionV>
            <wp:extent cx="34290" cy="34290"/>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-862965</wp:posOffset>
            </wp:positionV>
            <wp:extent cx="34290" cy="34290"/>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-862965</wp:posOffset>
            </wp:positionV>
            <wp:extent cx="34290" cy="34290"/>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3611245</wp:posOffset>
            </wp:positionH>
            <wp:positionV relativeFrom="paragraph">
              <wp:posOffset>-862965</wp:posOffset>
            </wp:positionV>
            <wp:extent cx="34290" cy="34290"/>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-862965</wp:posOffset>
            </wp:positionV>
            <wp:extent cx="34290" cy="34290"/>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-862965</wp:posOffset>
            </wp:positionV>
            <wp:extent cx="34290" cy="34290"/>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5772785</wp:posOffset>
            </wp:positionH>
            <wp:positionV relativeFrom="paragraph">
              <wp:posOffset>-862965</wp:posOffset>
            </wp:positionV>
            <wp:extent cx="34290" cy="34290"/>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-862965</wp:posOffset>
            </wp:positionV>
            <wp:extent cx="34290" cy="34290"/>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-862965</wp:posOffset>
            </wp:positionV>
            <wp:extent cx="34290" cy="34290"/>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-588645</wp:posOffset>
            </wp:positionV>
            <wp:extent cx="34290" cy="34290"/>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-588645</wp:posOffset>
            </wp:positionV>
            <wp:extent cx="34290" cy="34290"/>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3611245</wp:posOffset>
            </wp:positionH>
            <wp:positionV relativeFrom="paragraph">
              <wp:posOffset>-588645</wp:posOffset>
            </wp:positionV>
            <wp:extent cx="34290" cy="34290"/>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-588645</wp:posOffset>
            </wp:positionV>
            <wp:extent cx="34290" cy="34290"/>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-588645</wp:posOffset>
            </wp:positionV>
            <wp:extent cx="34290" cy="34290"/>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5772785</wp:posOffset>
            </wp:positionH>
            <wp:positionV relativeFrom="paragraph">
              <wp:posOffset>-588645</wp:posOffset>
            </wp:positionV>
            <wp:extent cx="34290" cy="34290"/>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-588645</wp:posOffset>
            </wp:positionV>
            <wp:extent cx="34290" cy="34290"/>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-588645</wp:posOffset>
            </wp:positionV>
            <wp:extent cx="34290" cy="34290"/>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2164080</wp:posOffset>
            </wp:positionH>
            <wp:positionV relativeFrom="paragraph">
              <wp:posOffset>-297180</wp:posOffset>
            </wp:positionV>
            <wp:extent cx="12700" cy="8890"/>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1461135</wp:posOffset>
            </wp:positionH>
            <wp:positionV relativeFrom="paragraph">
              <wp:posOffset>-297180</wp:posOffset>
            </wp:positionV>
            <wp:extent cx="12700" cy="8890"/>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-297180</wp:posOffset>
            </wp:positionV>
            <wp:extent cx="12700" cy="8890"/>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-297180</wp:posOffset>
            </wp:positionV>
            <wp:extent cx="12700" cy="8890"/>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-297180</wp:posOffset>
            </wp:positionV>
            <wp:extent cx="12700" cy="8890"/>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-297180</wp:posOffset>
            </wp:positionV>
            <wp:extent cx="12700" cy="8890"/>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-297180</wp:posOffset>
            </wp:positionV>
            <wp:extent cx="12700" cy="8890"/>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-297180</wp:posOffset>
            </wp:positionV>
            <wp:extent cx="12700" cy="8890"/>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-297180</wp:posOffset>
            </wp:positionV>
            <wp:extent cx="12700" cy="8890"/>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-297180</wp:posOffset>
            </wp:positionV>
            <wp:extent cx="12700" cy="8890"/>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-297180</wp:posOffset>
            </wp:positionV>
            <wp:extent cx="12700" cy="8890"/>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-297180</wp:posOffset>
            </wp:positionV>
            <wp:extent cx="12700" cy="8890"/>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-297180</wp:posOffset>
            </wp:positionV>
            <wp:extent cx="12700" cy="8890"/>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-297180</wp:posOffset>
            </wp:positionV>
            <wp:extent cx="12700" cy="8890"/>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-297180</wp:posOffset>
            </wp:positionV>
            <wp:extent cx="12700" cy="8890"/>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-297180</wp:posOffset>
            </wp:positionV>
            <wp:extent cx="12700" cy="8890"/>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2164080</wp:posOffset>
            </wp:positionH>
            <wp:positionV relativeFrom="paragraph">
              <wp:posOffset>-14605</wp:posOffset>
            </wp:positionV>
            <wp:extent cx="12700" cy="8890"/>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1461135</wp:posOffset>
            </wp:positionH>
            <wp:positionV relativeFrom="paragraph">
              <wp:posOffset>-14605</wp:posOffset>
            </wp:positionV>
            <wp:extent cx="12700" cy="8890"/>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-14605</wp:posOffset>
            </wp:positionV>
            <wp:extent cx="12700" cy="8890"/>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-14605</wp:posOffset>
            </wp:positionV>
            <wp:extent cx="12700" cy="8890"/>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-14605</wp:posOffset>
            </wp:positionV>
            <wp:extent cx="12700" cy="8890"/>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-14605</wp:posOffset>
            </wp:positionV>
            <wp:extent cx="12700" cy="8890"/>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-14605</wp:posOffset>
            </wp:positionV>
            <wp:extent cx="12700" cy="8890"/>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-14605</wp:posOffset>
            </wp:positionV>
            <wp:extent cx="12700" cy="8890"/>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-14605</wp:posOffset>
            </wp:positionV>
            <wp:extent cx="12700" cy="8890"/>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-14605</wp:posOffset>
            </wp:positionV>
            <wp:extent cx="12700" cy="8890"/>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-14605</wp:posOffset>
            </wp:positionV>
            <wp:extent cx="12700" cy="8890"/>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-14605</wp:posOffset>
            </wp:positionV>
            <wp:extent cx="12700" cy="8890"/>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-14605</wp:posOffset>
            </wp:positionV>
            <wp:extent cx="12700" cy="8890"/>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-14605</wp:posOffset>
            </wp:positionV>
            <wp:extent cx="12700" cy="8890"/>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-14605</wp:posOffset>
            </wp:positionV>
            <wp:extent cx="12700" cy="8890"/>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-14605</wp:posOffset>
            </wp:positionV>
            <wp:extent cx="12700" cy="8890"/>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47" w:lineRule="exact"/>
        <w:rPr>
          <w:sz w:val="20"/>
          <w:szCs w:val="20"/>
          <w:color w:val="auto"/>
        </w:rPr>
      </w:pPr>
    </w:p>
    <w:p>
      <w:pPr>
        <w:ind w:left="580" w:right="120" w:hanging="572"/>
        <w:spacing w:after="0" w:line="268" w:lineRule="auto"/>
        <w:tabs>
          <w:tab w:leader="none" w:pos="5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Exclude all non-monetary assets (mainly property, furniture and equipment, assets seized, intangible and goodwill) of the consolidated balance sheets as of December 31, 2003 and 2002.</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59320" cy="34290"/>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ectPr>
          <w:pgSz w:w="11900" w:h="16838" w:orient="portrait"/>
          <w:cols w:equalWidth="0" w:num="1">
            <w:col w:w="11400"/>
          </w:cols>
          <w:pgMar w:left="240" w:top="347" w:right="259" w:bottom="1440" w:gutter="0" w:footer="0" w:header="0"/>
        </w:sectPr>
      </w:pPr>
    </w:p>
    <w:bookmarkStart w:id="181" w:name="page182"/>
    <w:bookmarkEnd w:id="181"/>
    <w:p>
      <w:pPr>
        <w:spacing w:after="0"/>
        <w:rPr>
          <w:sz w:val="20"/>
          <w:szCs w:val="20"/>
          <w:color w:val="auto"/>
        </w:rPr>
      </w:pPr>
      <w:r>
        <w:rPr>
          <w:rFonts w:ascii="Arial" w:cs="Arial" w:eastAsia="Arial" w:hAnsi="Arial"/>
          <w:sz w:val="18"/>
          <w:szCs w:val="18"/>
          <w:color w:val="auto"/>
        </w:rPr>
        <w:t>Credit risk -</w:t>
      </w:r>
    </w:p>
    <w:p>
      <w:pPr>
        <w:spacing w:after="0" w:line="15" w:lineRule="exact"/>
        <w:rPr>
          <w:sz w:val="20"/>
          <w:szCs w:val="20"/>
          <w:color w:val="auto"/>
        </w:rPr>
      </w:pPr>
    </w:p>
    <w:p>
      <w:pPr>
        <w:ind w:right="420"/>
        <w:spacing w:after="0" w:line="323" w:lineRule="auto"/>
        <w:rPr>
          <w:sz w:val="20"/>
          <w:szCs w:val="20"/>
          <w:color w:val="auto"/>
        </w:rPr>
      </w:pPr>
      <w:r>
        <w:rPr>
          <w:rFonts w:ascii="Arial" w:cs="Arial" w:eastAsia="Arial" w:hAnsi="Arial"/>
          <w:sz w:val="16"/>
          <w:szCs w:val="16"/>
          <w:color w:val="auto"/>
        </w:rPr>
        <w:t>Credit risk is mainly controlled through the evaluation and analysis of each transaction considering such aspects as credit concentration of economic groups, evaluation of economic sectors, portfolio foreseen losses, guarantees and requirements for working capital according to market risks.</w:t>
      </w:r>
    </w:p>
    <w:p>
      <w:pPr>
        <w:spacing w:after="0" w:line="147"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Financial assets which show a potential credit risk are mainly cash and cash equivalents, interest bearing deposits in banks, trading securities, investments available-for-sale, loans and other assets. The exposure to any one borrower including banks and investments, is further restructured by sub-limits covering on and off-balance sheet exposures and daily delivery risk limits to trading items. Actual exposure against limits are monitored daily.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Fair value -</w:t>
      </w:r>
    </w:p>
    <w:p>
      <w:pPr>
        <w:spacing w:after="0" w:line="15"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Fair value is defined as the amount for which an asset could be exchanged or a liability settled, between knowledgeable, willing parties in an arm’s length transactions, assuming an on going enterprise.</w:t>
      </w:r>
    </w:p>
    <w:p>
      <w:pPr>
        <w:spacing w:after="0" w:line="192"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When a financial instrument is traded in an active and liquid market, its quoted market price in an actual transaction provides the best evidence of its respective fair value. When a quoted market price is not available, or may not be indicative of the fair value of the instrument, to determine such fair value, the current market value of another instrument that is substantially similar, discounted cash flow analysis or other estimation techniques may be used, all of which are significantly affected by the assumptions used. Although management uses its best judgment in estimating the fair value of these financial instruments, there are inherent weaknesses in any estimation technique. As a result, the fair value may not be indicative of the net realizable or liquidation value.</w:t>
      </w:r>
    </w:p>
    <w:p>
      <w:pPr>
        <w:spacing w:after="0" w:line="17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 significant portion of the Group’s assets and liabilities are short-term financial instruments, with a remaining maturity of under one-year. These short-term financial instruments, with the exception of those for which an active market exists, are considered to have a fair value equivalent to their carrying value at the balance sheet date.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methodologies and assumptions used depend on the terms and risk characteristics of the various instruments and include the following:</w:t>
      </w:r>
    </w:p>
    <w:p>
      <w:pPr>
        <w:spacing w:after="0" w:line="225" w:lineRule="exact"/>
        <w:rPr>
          <w:sz w:val="20"/>
          <w:szCs w:val="20"/>
          <w:color w:val="auto"/>
        </w:rPr>
      </w:pPr>
    </w:p>
    <w:p>
      <w:pPr>
        <w:ind w:left="580" w:right="680" w:hanging="572"/>
        <w:spacing w:after="0" w:line="268" w:lineRule="auto"/>
        <w:tabs>
          <w:tab w:leader="none" w:pos="5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Cash and due from banks represent cash and short-term deposits that do not represent significant credit risks; in consequence, their fair value are equivalent to their book value.</w:t>
      </w:r>
    </w:p>
    <w:p>
      <w:pPr>
        <w:spacing w:after="0" w:line="212" w:lineRule="exact"/>
        <w:rPr>
          <w:rFonts w:ascii="Arial" w:cs="Arial" w:eastAsia="Arial" w:hAnsi="Arial"/>
          <w:sz w:val="18"/>
          <w:szCs w:val="18"/>
          <w:color w:val="auto"/>
        </w:rPr>
      </w:pPr>
    </w:p>
    <w:p>
      <w:pPr>
        <w:ind w:left="580" w:right="40" w:hanging="572"/>
        <w:spacing w:after="0" w:line="268" w:lineRule="auto"/>
        <w:tabs>
          <w:tab w:leader="none" w:pos="5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Trading securities and investments available-for-sale are generally quoted on exchanges. Interest earning assets and liabilities with an original maturity of less than one year have been assumed to have a fair value not materially different from book value.</w:t>
      </w:r>
    </w:p>
    <w:p>
      <w:pPr>
        <w:spacing w:after="0" w:line="212" w:lineRule="exact"/>
        <w:rPr>
          <w:rFonts w:ascii="Arial" w:cs="Arial" w:eastAsia="Arial" w:hAnsi="Arial"/>
          <w:sz w:val="18"/>
          <w:szCs w:val="18"/>
          <w:color w:val="auto"/>
        </w:rPr>
      </w:pPr>
    </w:p>
    <w:p>
      <w:pPr>
        <w:ind w:left="580" w:hanging="572"/>
        <w:spacing w:after="0" w:line="370" w:lineRule="auto"/>
        <w:tabs>
          <w:tab w:leader="none" w:pos="580" w:val="left"/>
        </w:tabs>
        <w:numPr>
          <w:ilvl w:val="0"/>
          <w:numId w:val="65"/>
        </w:numPr>
        <w:rPr>
          <w:rFonts w:ascii="Arial" w:cs="Arial" w:eastAsia="Arial" w:hAnsi="Arial"/>
          <w:sz w:val="15"/>
          <w:szCs w:val="15"/>
          <w:color w:val="auto"/>
        </w:rPr>
      </w:pPr>
      <w:r>
        <w:rPr>
          <w:rFonts w:ascii="Arial" w:cs="Arial" w:eastAsia="Arial" w:hAnsi="Arial"/>
          <w:sz w:val="15"/>
          <w:szCs w:val="15"/>
          <w:color w:val="auto"/>
        </w:rPr>
        <w:t>Market value of loans is similar to their book values, because such loans are mainly of a short-term nature and are shown net of their respective allowance for loan losses, which are considered by Management as the estimated amount recoverable at the date of the consolidated financial statements.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59320" cy="34290"/>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182" w:name="page183"/>
    <w:bookmarkEnd w:id="182"/>
    <w:p>
      <w:pPr>
        <w:ind w:left="580" w:right="40" w:hanging="572"/>
        <w:spacing w:after="0" w:line="268" w:lineRule="auto"/>
        <w:tabs>
          <w:tab w:leader="none" w:pos="5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Market value of deposits and obligations is similar to their book value; principally because of their liquid nature and that the interest rates are comparable with the interest rate of other similar liabilities.</w:t>
      </w:r>
    </w:p>
    <w:p>
      <w:pPr>
        <w:spacing w:after="0" w:line="212" w:lineRule="exact"/>
        <w:rPr>
          <w:rFonts w:ascii="Arial" w:cs="Arial" w:eastAsia="Arial" w:hAnsi="Arial"/>
          <w:sz w:val="18"/>
          <w:szCs w:val="18"/>
          <w:color w:val="auto"/>
        </w:rPr>
      </w:pPr>
    </w:p>
    <w:p>
      <w:pPr>
        <w:ind w:left="580" w:right="400" w:hanging="572"/>
        <w:spacing w:after="0" w:line="268" w:lineRule="auto"/>
        <w:tabs>
          <w:tab w:leader="none" w:pos="5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Due to banks and correspondents generate interest contracted at variable interest rates and preferred rates. As a result, it is considered that their book value is similar to their market value.</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Derivatives instruments -</w:t>
      </w:r>
    </w:p>
    <w:p>
      <w:pPr>
        <w:spacing w:after="0" w:line="15" w:lineRule="exact"/>
        <w:rPr>
          <w:sz w:val="20"/>
          <w:szCs w:val="20"/>
          <w:color w:val="auto"/>
        </w:rPr>
      </w:pPr>
    </w:p>
    <w:p>
      <w:pPr>
        <w:ind w:right="260"/>
        <w:spacing w:after="0" w:line="323" w:lineRule="auto"/>
        <w:rPr>
          <w:sz w:val="20"/>
          <w:szCs w:val="20"/>
          <w:color w:val="auto"/>
        </w:rPr>
      </w:pPr>
      <w:r>
        <w:rPr>
          <w:rFonts w:ascii="Arial" w:cs="Arial" w:eastAsia="Arial" w:hAnsi="Arial"/>
          <w:sz w:val="16"/>
          <w:szCs w:val="16"/>
          <w:color w:val="auto"/>
        </w:rPr>
        <w:t>Except for currency forwards and interest rate swaps, as indicated in note 17(d) and (e), the Group does not enter into other agreements, generally described as derivative transactions. The Group records these derivatives at their fair market value; therefore there are no differences with their book values.</w:t>
      </w:r>
    </w:p>
    <w:p>
      <w:pPr>
        <w:spacing w:after="0" w:line="14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Currency forward contracts represent commitments to purchase or sell foreign and domestic currency on a specified term. In these contracts there are not cash flows at the beginning of the transaction. The payments are made at the date of expiration, when surrendering and receiving local or foreign currency if it is buying or selling, respectively.</w:t>
      </w:r>
    </w:p>
    <w:p>
      <w:pPr>
        <w:spacing w:after="0" w:line="194"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The Group maintains strict control on the limits and net derivative positions. For the foreign currency contracts and swaps of interest rates maximum levels have been established for the net maximum positions without hedge and a “stop loss” limit for the maximum levels of loss that the Group is willing to assume.</w:t>
      </w:r>
    </w:p>
    <w:p>
      <w:pPr>
        <w:spacing w:after="0" w:line="13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notional amounts of forward contracts provide a basis for comparison with instruments recognized on the balance sheet but do not necessarily indicate the amounts of future cash flows involved or the current fair value of the instruments and, therefore, do not indicate the Group’s exposure to credit or price risks. The derivative instruments become favorable (assets) or unfavorable (liabilities) as a result of fluctuations in foreign exchange rates and interest rates relative to their terms. The aggregate contractual or notional amount of derivative financial instruments outstanding, and their aggregate fair value can fluctuate significantly from time to time.</w:t>
      </w:r>
    </w:p>
    <w:p>
      <w:pPr>
        <w:spacing w:after="0" w:line="19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of December 31, 2003 and 2002, the notional amounts of the outstanding contracts are approximately US$313.9 and US$530.6 million, respectively, which have maturities of less than a year. As of December 31, 2003 and 2002 the forward contracts net position is an oversell of U.S. dollars of approximately US$135.6 and US$269.5 million, respectively. The fair value of the asset and liability forward contracts as of December 31, 2003 amounted approximately to US$4.0 and US$1.1 million, respectively (approximately US$8.2 and US$0.2 million as of December 31, 2002), and are included under the caption “Other assets and other liabilities” of the consolidated balance sheet, respectively. In addition, as of December 31, 2003 and 2002, the notional amount of the outstanding swap contracts amounted to US$98.1 and US$10.8 million, respectively.</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59320" cy="34290"/>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b w:val="1"/>
          <w:bCs w:val="1"/>
          <w:color w:val="auto"/>
        </w:rPr>
        <w:t>23. Transactions with related parties and affiliated companies</w:t>
      </w:r>
    </w:p>
    <w:p>
      <w:pPr>
        <w:spacing w:after="0" w:line="231"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Certain shareholders, directors and officers of the Group have been involved, directly and indirectly, in credit transactions with certain subsidiaries of the Group, as permitted by Peruvian Law 26702, which regulates and limits certain transactions with employees, directors and officers of a bank or an insurance company. As of December 31, 2003 and 2002, loans and other credits to employees of the Group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9"/>
              </w:rPr>
              <w:t>2003</w:t>
            </w:r>
          </w:p>
        </w:tc>
        <w:tc>
          <w:tcPr>
            <w:tcW w:w="1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4"/>
              </w:rPr>
              <w:t>2002</w:t>
            </w:r>
          </w:p>
        </w:tc>
        <w:tc>
          <w:tcPr>
            <w:tcW w:w="0" w:type="dxa"/>
            <w:vAlign w:val="bottom"/>
          </w:tcPr>
          <w:p>
            <w:pPr>
              <w:spacing w:after="0"/>
              <w:rPr>
                <w:sz w:val="1"/>
                <w:szCs w:val="1"/>
                <w:color w:val="auto"/>
              </w:rPr>
            </w:pPr>
          </w:p>
        </w:tc>
      </w:tr>
      <w:tr>
        <w:trPr>
          <w:trHeight w:val="243"/>
        </w:trPr>
        <w:tc>
          <w:tcPr>
            <w:tcW w:w="798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US$(000)</w:t>
            </w:r>
          </w:p>
        </w:tc>
        <w:tc>
          <w:tcPr>
            <w:tcW w:w="2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US$(000)</w:t>
            </w:r>
          </w:p>
        </w:tc>
        <w:tc>
          <w:tcPr>
            <w:tcW w:w="0" w:type="dxa"/>
            <w:vAlign w:val="bottom"/>
          </w:tcPr>
          <w:p>
            <w:pPr>
              <w:spacing w:after="0"/>
              <w:rPr>
                <w:sz w:val="1"/>
                <w:szCs w:val="1"/>
                <w:color w:val="auto"/>
              </w:rPr>
            </w:pPr>
          </w:p>
        </w:tc>
      </w:tr>
      <w:tr>
        <w:trPr>
          <w:trHeight w:val="486"/>
        </w:trPr>
        <w:tc>
          <w:tcPr>
            <w:tcW w:w="7980" w:type="dxa"/>
            <w:vAlign w:val="bottom"/>
          </w:tcPr>
          <w:p>
            <w:pPr>
              <w:ind w:left="40"/>
              <w:spacing w:after="0"/>
              <w:rPr>
                <w:sz w:val="20"/>
                <w:szCs w:val="20"/>
                <w:color w:val="auto"/>
              </w:rPr>
            </w:pPr>
            <w:r>
              <w:rPr>
                <w:rFonts w:ascii="Arial" w:cs="Arial" w:eastAsia="Arial" w:hAnsi="Arial"/>
                <w:sz w:val="18"/>
                <w:szCs w:val="18"/>
                <w:color w:val="auto"/>
              </w:rPr>
              <w:t>Mortgage loans</w:t>
            </w:r>
          </w:p>
        </w:tc>
        <w:tc>
          <w:tcPr>
            <w:tcW w:w="1700" w:type="dxa"/>
            <w:vAlign w:val="bottom"/>
          </w:tcPr>
          <w:p>
            <w:pPr>
              <w:jc w:val="right"/>
              <w:spacing w:after="0"/>
              <w:rPr>
                <w:sz w:val="20"/>
                <w:szCs w:val="20"/>
                <w:color w:val="auto"/>
              </w:rPr>
            </w:pPr>
            <w:r>
              <w:rPr>
                <w:rFonts w:ascii="Arial" w:cs="Arial" w:eastAsia="Arial" w:hAnsi="Arial"/>
                <w:sz w:val="18"/>
                <w:szCs w:val="18"/>
                <w:color w:val="auto"/>
              </w:rPr>
              <w:t>9,503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16,114</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Other loans</w:t>
            </w:r>
          </w:p>
        </w:tc>
        <w:tc>
          <w:tcPr>
            <w:tcW w:w="1700" w:type="dxa"/>
            <w:vAlign w:val="bottom"/>
          </w:tcPr>
          <w:p>
            <w:pPr>
              <w:jc w:val="right"/>
              <w:spacing w:after="0"/>
              <w:rPr>
                <w:sz w:val="20"/>
                <w:szCs w:val="20"/>
                <w:color w:val="auto"/>
              </w:rPr>
            </w:pPr>
            <w:r>
              <w:rPr>
                <w:rFonts w:ascii="Arial" w:cs="Arial" w:eastAsia="Arial" w:hAnsi="Arial"/>
                <w:sz w:val="18"/>
                <w:szCs w:val="18"/>
                <w:color w:val="auto"/>
              </w:rPr>
              <w:t>1,841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4,797</w:t>
            </w:r>
          </w:p>
        </w:tc>
        <w:tc>
          <w:tcPr>
            <w:tcW w:w="0" w:type="dxa"/>
            <w:vAlign w:val="bottom"/>
          </w:tcPr>
          <w:p>
            <w:pPr>
              <w:spacing w:after="0"/>
              <w:rPr>
                <w:sz w:val="1"/>
                <w:szCs w:val="1"/>
                <w:color w:val="auto"/>
              </w:rPr>
            </w:pPr>
          </w:p>
        </w:tc>
      </w:tr>
      <w:tr>
        <w:trPr>
          <w:trHeight w:val="137"/>
        </w:trPr>
        <w:tc>
          <w:tcPr>
            <w:tcW w:w="79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Total</w:t>
            </w: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599"/>
        </w:trPr>
        <w:tc>
          <w:tcPr>
            <w:tcW w:w="7980" w:type="dxa"/>
            <w:vAlign w:val="bottom"/>
            <w:vMerge w:val="continue"/>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11,344</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20,911</w:t>
            </w:r>
          </w:p>
        </w:tc>
        <w:tc>
          <w:tcPr>
            <w:tcW w:w="0" w:type="dxa"/>
            <w:vAlign w:val="bottom"/>
          </w:tcPr>
          <w:p>
            <w:pPr>
              <w:spacing w:after="0"/>
              <w:rPr>
                <w:sz w:val="1"/>
                <w:szCs w:val="1"/>
                <w:color w:val="auto"/>
              </w:rPr>
            </w:pPr>
          </w:p>
        </w:tc>
      </w:tr>
      <w:tr>
        <w:trPr>
          <w:trHeight w:val="147"/>
        </w:trPr>
        <w:tc>
          <w:tcPr>
            <w:tcW w:w="7980" w:type="dxa"/>
            <w:vAlign w:val="bottom"/>
            <w:vMerge w:val="restart"/>
          </w:tcPr>
          <w:p>
            <w:pPr>
              <w:spacing w:after="0"/>
              <w:rPr>
                <w:sz w:val="20"/>
                <w:szCs w:val="20"/>
                <w:color w:val="auto"/>
              </w:rPr>
            </w:pPr>
            <w:r>
              <w:rPr>
                <w:rFonts w:ascii="Arial" w:cs="Arial" w:eastAsia="Arial" w:hAnsi="Arial"/>
                <w:sz w:val="18"/>
                <w:szCs w:val="18"/>
                <w:color w:val="auto"/>
              </w:rPr>
              <w:t>As of December 31, loans and other contingent credits to related parties comprise:</w:t>
            </w:r>
          </w:p>
        </w:tc>
        <w:tc>
          <w:tcPr>
            <w:tcW w:w="1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62"/>
        </w:trPr>
        <w:tc>
          <w:tcPr>
            <w:tcW w:w="798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98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9"/>
              </w:rPr>
              <w:t>2003</w:t>
            </w:r>
          </w:p>
        </w:tc>
        <w:tc>
          <w:tcPr>
            <w:tcW w:w="1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4"/>
              </w:rPr>
              <w:t>2002</w:t>
            </w:r>
          </w:p>
        </w:tc>
        <w:tc>
          <w:tcPr>
            <w:tcW w:w="0" w:type="dxa"/>
            <w:vAlign w:val="bottom"/>
          </w:tcPr>
          <w:p>
            <w:pPr>
              <w:spacing w:after="0"/>
              <w:rPr>
                <w:sz w:val="1"/>
                <w:szCs w:val="1"/>
                <w:color w:val="auto"/>
              </w:rPr>
            </w:pPr>
          </w:p>
        </w:tc>
      </w:tr>
      <w:tr>
        <w:trPr>
          <w:trHeight w:val="243"/>
        </w:trPr>
        <w:tc>
          <w:tcPr>
            <w:tcW w:w="798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US$(000)</w:t>
            </w:r>
          </w:p>
        </w:tc>
        <w:tc>
          <w:tcPr>
            <w:tcW w:w="2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US$(000)</w:t>
            </w:r>
          </w:p>
        </w:tc>
        <w:tc>
          <w:tcPr>
            <w:tcW w:w="0" w:type="dxa"/>
            <w:vAlign w:val="bottom"/>
          </w:tcPr>
          <w:p>
            <w:pPr>
              <w:spacing w:after="0"/>
              <w:rPr>
                <w:sz w:val="1"/>
                <w:szCs w:val="1"/>
                <w:color w:val="auto"/>
              </w:rPr>
            </w:pPr>
          </w:p>
        </w:tc>
      </w:tr>
      <w:tr>
        <w:trPr>
          <w:trHeight w:val="486"/>
        </w:trPr>
        <w:tc>
          <w:tcPr>
            <w:tcW w:w="7980" w:type="dxa"/>
            <w:vAlign w:val="bottom"/>
          </w:tcPr>
          <w:p>
            <w:pPr>
              <w:ind w:left="40"/>
              <w:spacing w:after="0"/>
              <w:rPr>
                <w:sz w:val="20"/>
                <w:szCs w:val="20"/>
                <w:color w:val="auto"/>
              </w:rPr>
            </w:pPr>
            <w:r>
              <w:rPr>
                <w:rFonts w:ascii="Arial" w:cs="Arial" w:eastAsia="Arial" w:hAnsi="Arial"/>
                <w:sz w:val="18"/>
                <w:szCs w:val="18"/>
                <w:color w:val="auto"/>
              </w:rPr>
              <w:t>Direct loans</w:t>
            </w:r>
          </w:p>
        </w:tc>
        <w:tc>
          <w:tcPr>
            <w:tcW w:w="1700" w:type="dxa"/>
            <w:vAlign w:val="bottom"/>
          </w:tcPr>
          <w:p>
            <w:pPr>
              <w:jc w:val="right"/>
              <w:spacing w:after="0"/>
              <w:rPr>
                <w:sz w:val="20"/>
                <w:szCs w:val="20"/>
                <w:color w:val="auto"/>
              </w:rPr>
            </w:pPr>
            <w:r>
              <w:rPr>
                <w:rFonts w:ascii="Arial" w:cs="Arial" w:eastAsia="Arial" w:hAnsi="Arial"/>
                <w:sz w:val="18"/>
                <w:szCs w:val="18"/>
                <w:color w:val="auto"/>
              </w:rPr>
              <w:t>66,474</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73,195</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Contingent loans</w:t>
            </w:r>
          </w:p>
        </w:tc>
        <w:tc>
          <w:tcPr>
            <w:tcW w:w="1700" w:type="dxa"/>
            <w:vAlign w:val="bottom"/>
          </w:tcPr>
          <w:p>
            <w:pPr>
              <w:jc w:val="right"/>
              <w:spacing w:after="0"/>
              <w:rPr>
                <w:sz w:val="20"/>
                <w:szCs w:val="20"/>
                <w:color w:val="auto"/>
              </w:rPr>
            </w:pPr>
            <w:r>
              <w:rPr>
                <w:rFonts w:ascii="Arial" w:cs="Arial" w:eastAsia="Arial" w:hAnsi="Arial"/>
                <w:sz w:val="18"/>
                <w:szCs w:val="18"/>
                <w:color w:val="auto"/>
              </w:rPr>
              <w:t>6,905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10,468</w:t>
            </w:r>
          </w:p>
        </w:tc>
        <w:tc>
          <w:tcPr>
            <w:tcW w:w="0" w:type="dxa"/>
            <w:vAlign w:val="bottom"/>
          </w:tcPr>
          <w:p>
            <w:pPr>
              <w:spacing w:after="0"/>
              <w:rPr>
                <w:sz w:val="1"/>
                <w:szCs w:val="1"/>
                <w:color w:val="auto"/>
              </w:rPr>
            </w:pPr>
          </w:p>
        </w:tc>
      </w:tr>
      <w:tr>
        <w:trPr>
          <w:trHeight w:val="137"/>
        </w:trPr>
        <w:tc>
          <w:tcPr>
            <w:tcW w:w="79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Total</w:t>
            </w: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599"/>
        </w:trPr>
        <w:tc>
          <w:tcPr>
            <w:tcW w:w="7980" w:type="dxa"/>
            <w:vAlign w:val="bottom"/>
            <w:vMerge w:val="continue"/>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73,379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83,663</w:t>
            </w:r>
          </w:p>
        </w:tc>
        <w:tc>
          <w:tcPr>
            <w:tcW w:w="0" w:type="dxa"/>
            <w:vAlign w:val="bottom"/>
          </w:tcPr>
          <w:p>
            <w:pPr>
              <w:spacing w:after="0"/>
              <w:rPr>
                <w:sz w:val="1"/>
                <w:szCs w:val="1"/>
                <w:color w:val="auto"/>
              </w:rPr>
            </w:pPr>
          </w:p>
        </w:tc>
      </w:tr>
      <w:tr>
        <w:trPr>
          <w:trHeight w:val="147"/>
        </w:trPr>
        <w:tc>
          <w:tcPr>
            <w:tcW w:w="798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6123940</wp:posOffset>
            </wp:positionH>
            <wp:positionV relativeFrom="paragraph">
              <wp:posOffset>-2364105</wp:posOffset>
            </wp:positionV>
            <wp:extent cx="34290" cy="34290"/>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-2364105</wp:posOffset>
            </wp:positionV>
            <wp:extent cx="34290" cy="34290"/>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-1866900</wp:posOffset>
            </wp:positionV>
            <wp:extent cx="12700" cy="8890"/>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-1866900</wp:posOffset>
            </wp:positionV>
            <wp:extent cx="12700" cy="8890"/>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-1866900</wp:posOffset>
            </wp:positionV>
            <wp:extent cx="12700" cy="8890"/>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-1866900</wp:posOffset>
            </wp:positionV>
            <wp:extent cx="12700" cy="8890"/>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-511810</wp:posOffset>
            </wp:positionV>
            <wp:extent cx="34290" cy="34290"/>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-511810</wp:posOffset>
            </wp:positionV>
            <wp:extent cx="34290" cy="34290"/>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-14605</wp:posOffset>
            </wp:positionV>
            <wp:extent cx="12700" cy="8890"/>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-14605</wp:posOffset>
            </wp:positionV>
            <wp:extent cx="12700" cy="8890"/>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-14605</wp:posOffset>
            </wp:positionV>
            <wp:extent cx="12700" cy="8890"/>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-14605</wp:posOffset>
            </wp:positionV>
            <wp:extent cx="12700" cy="8890"/>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20"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As of December 31, 2003, direct and contingent credits to related companies comprise approximately 1.46 and 0.88 percent, respectively (1.49 percent and 1.09 percent, respectively, as of December 31, 2002), of the total portfolio of direct loans of the Group, which are ranked in the following risk categories:</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9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2003</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Pr>
          <w:p>
            <w:pPr>
              <w:jc w:val="right"/>
              <w:ind w:right="612"/>
              <w:spacing w:after="0"/>
              <w:rPr>
                <w:sz w:val="20"/>
                <w:szCs w:val="20"/>
                <w:color w:val="auto"/>
              </w:rPr>
            </w:pPr>
            <w:r>
              <w:rPr>
                <w:rFonts w:ascii="Arial" w:cs="Arial" w:eastAsia="Arial" w:hAnsi="Arial"/>
                <w:sz w:val="18"/>
                <w:szCs w:val="18"/>
                <w:b w:val="1"/>
                <w:bCs w:val="1"/>
                <w:color w:val="auto"/>
              </w:rPr>
              <w:t>2002</w:t>
            </w:r>
          </w:p>
        </w:tc>
      </w:tr>
      <w:tr>
        <w:trPr>
          <w:trHeight w:val="243"/>
        </w:trPr>
        <w:tc>
          <w:tcPr>
            <w:tcW w:w="9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jc w:val="right"/>
              <w:ind w:right="712"/>
              <w:spacing w:after="0"/>
              <w:rPr>
                <w:sz w:val="20"/>
                <w:szCs w:val="20"/>
                <w:color w:val="auto"/>
              </w:rPr>
            </w:pPr>
            <w:r>
              <w:rPr>
                <w:rFonts w:ascii="Arial" w:cs="Arial" w:eastAsia="Arial" w:hAnsi="Arial"/>
                <w:sz w:val="18"/>
                <w:szCs w:val="18"/>
                <w:color w:val="auto"/>
              </w:rPr>
              <w:t>%</w:t>
            </w:r>
          </w:p>
        </w:tc>
      </w:tr>
      <w:tr>
        <w:trPr>
          <w:trHeight w:val="486"/>
        </w:trPr>
        <w:tc>
          <w:tcPr>
            <w:tcW w:w="9100" w:type="dxa"/>
            <w:vAlign w:val="bottom"/>
            <w:gridSpan w:val="2"/>
          </w:tcPr>
          <w:p>
            <w:pPr>
              <w:spacing w:after="0"/>
              <w:rPr>
                <w:sz w:val="20"/>
                <w:szCs w:val="20"/>
                <w:color w:val="auto"/>
              </w:rPr>
            </w:pPr>
            <w:r>
              <w:rPr>
                <w:rFonts w:ascii="Arial" w:cs="Arial" w:eastAsia="Arial" w:hAnsi="Arial"/>
                <w:sz w:val="18"/>
                <w:szCs w:val="18"/>
                <w:color w:val="auto"/>
              </w:rPr>
              <w:t>Normal</w:t>
            </w:r>
          </w:p>
        </w:tc>
        <w:tc>
          <w:tcPr>
            <w:tcW w:w="540" w:type="dxa"/>
            <w:vAlign w:val="bottom"/>
          </w:tcPr>
          <w:p>
            <w:pPr>
              <w:jc w:val="right"/>
              <w:spacing w:after="0"/>
              <w:rPr>
                <w:sz w:val="20"/>
                <w:szCs w:val="20"/>
                <w:color w:val="auto"/>
              </w:rPr>
            </w:pPr>
            <w:r>
              <w:rPr>
                <w:rFonts w:ascii="Arial" w:cs="Arial" w:eastAsia="Arial" w:hAnsi="Arial"/>
                <w:sz w:val="18"/>
                <w:szCs w:val="18"/>
                <w:color w:val="auto"/>
              </w:rPr>
              <w:t>59.5</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34.8</w:t>
            </w:r>
          </w:p>
        </w:tc>
      </w:tr>
      <w:tr>
        <w:trPr>
          <w:trHeight w:val="243"/>
        </w:trPr>
        <w:tc>
          <w:tcPr>
            <w:tcW w:w="9100" w:type="dxa"/>
            <w:vAlign w:val="bottom"/>
            <w:gridSpan w:val="2"/>
          </w:tcPr>
          <w:p>
            <w:pPr>
              <w:spacing w:after="0"/>
              <w:rPr>
                <w:sz w:val="20"/>
                <w:szCs w:val="20"/>
                <w:color w:val="auto"/>
              </w:rPr>
            </w:pPr>
            <w:r>
              <w:rPr>
                <w:rFonts w:ascii="Arial" w:cs="Arial" w:eastAsia="Arial" w:hAnsi="Arial"/>
                <w:sz w:val="18"/>
                <w:szCs w:val="18"/>
                <w:color w:val="auto"/>
              </w:rPr>
              <w:t>Potential problems</w:t>
            </w:r>
          </w:p>
        </w:tc>
        <w:tc>
          <w:tcPr>
            <w:tcW w:w="540" w:type="dxa"/>
            <w:vAlign w:val="bottom"/>
          </w:tcPr>
          <w:p>
            <w:pPr>
              <w:jc w:val="right"/>
              <w:spacing w:after="0"/>
              <w:rPr>
                <w:sz w:val="20"/>
                <w:szCs w:val="20"/>
                <w:color w:val="auto"/>
              </w:rPr>
            </w:pPr>
            <w:r>
              <w:rPr>
                <w:rFonts w:ascii="Arial" w:cs="Arial" w:eastAsia="Arial" w:hAnsi="Arial"/>
                <w:sz w:val="18"/>
                <w:szCs w:val="18"/>
                <w:color w:val="auto"/>
              </w:rPr>
              <w:t>34.4</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46.3</w:t>
            </w:r>
          </w:p>
        </w:tc>
      </w:tr>
      <w:tr>
        <w:trPr>
          <w:trHeight w:val="243"/>
        </w:trPr>
        <w:tc>
          <w:tcPr>
            <w:tcW w:w="9100" w:type="dxa"/>
            <w:vAlign w:val="bottom"/>
            <w:gridSpan w:val="2"/>
          </w:tcPr>
          <w:p>
            <w:pPr>
              <w:spacing w:after="0"/>
              <w:rPr>
                <w:sz w:val="20"/>
                <w:szCs w:val="20"/>
                <w:color w:val="auto"/>
              </w:rPr>
            </w:pPr>
            <w:r>
              <w:rPr>
                <w:rFonts w:ascii="Arial" w:cs="Arial" w:eastAsia="Arial" w:hAnsi="Arial"/>
                <w:sz w:val="18"/>
                <w:szCs w:val="18"/>
                <w:color w:val="auto"/>
              </w:rPr>
              <w:t>Substandard</w:t>
            </w:r>
          </w:p>
        </w:tc>
        <w:tc>
          <w:tcPr>
            <w:tcW w:w="54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43"/>
        </w:trPr>
        <w:tc>
          <w:tcPr>
            <w:tcW w:w="9100" w:type="dxa"/>
            <w:vAlign w:val="bottom"/>
            <w:gridSpan w:val="2"/>
          </w:tcPr>
          <w:p>
            <w:pPr>
              <w:spacing w:after="0"/>
              <w:rPr>
                <w:sz w:val="20"/>
                <w:szCs w:val="20"/>
                <w:color w:val="auto"/>
              </w:rPr>
            </w:pPr>
            <w:r>
              <w:rPr>
                <w:rFonts w:ascii="Arial" w:cs="Arial" w:eastAsia="Arial" w:hAnsi="Arial"/>
                <w:sz w:val="18"/>
                <w:szCs w:val="18"/>
                <w:color w:val="auto"/>
              </w:rPr>
              <w:t>Doubtful</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137"/>
        </w:trPr>
        <w:tc>
          <w:tcPr>
            <w:tcW w:w="7940" w:type="dxa"/>
            <w:vAlign w:val="bottom"/>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r>
      <w:tr>
        <w:trPr>
          <w:trHeight w:val="599"/>
        </w:trPr>
        <w:tc>
          <w:tcPr>
            <w:tcW w:w="91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540" w:type="dxa"/>
            <w:vAlign w:val="bottom"/>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147"/>
        </w:trPr>
        <w:tc>
          <w:tcPr>
            <w:tcW w:w="7940" w:type="dxa"/>
            <w:vAlign w:val="bottom"/>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6123940</wp:posOffset>
            </wp:positionH>
            <wp:positionV relativeFrom="paragraph">
              <wp:posOffset>-511810</wp:posOffset>
            </wp:positionV>
            <wp:extent cx="34290" cy="34290"/>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-511810</wp:posOffset>
            </wp:positionV>
            <wp:extent cx="34290" cy="34290"/>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0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-14605</wp:posOffset>
            </wp:positionV>
            <wp:extent cx="12700" cy="8890"/>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-14605</wp:posOffset>
            </wp:positionV>
            <wp:extent cx="12700" cy="8890"/>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-14605</wp:posOffset>
            </wp:positionV>
            <wp:extent cx="12700" cy="8890"/>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-14605</wp:posOffset>
            </wp:positionV>
            <wp:extent cx="12700" cy="8890"/>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20"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In addition, the Group has investments available-for-sale in related entities for approximately US$9.0 and US$20.0 as of December 31, 2003 and 2002, respectively.</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59320" cy="34290"/>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4">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84" w:name="page185"/>
    <w:bookmarkEnd w:id="184"/>
    <w:p>
      <w:pPr>
        <w:spacing w:after="0"/>
        <w:rPr>
          <w:sz w:val="20"/>
          <w:szCs w:val="20"/>
          <w:color w:val="auto"/>
        </w:rPr>
      </w:pPr>
      <w:r>
        <w:rPr>
          <w:rFonts w:ascii="Arial" w:cs="Arial" w:eastAsia="Arial" w:hAnsi="Arial"/>
          <w:sz w:val="16"/>
          <w:szCs w:val="16"/>
          <w:b w:val="1"/>
          <w:bCs w:val="1"/>
          <w:color w:val="auto"/>
        </w:rPr>
        <w:t>24. Significant differences between International Financial Reporting Standards and United States Generally Accepted Accounting Principles</w:t>
      </w:r>
    </w:p>
    <w:p>
      <w:pPr>
        <w:spacing w:after="0" w:line="25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accompanying consolidated financial statements are prepared in accordance with International Financial Reporting Standards (IFRS). A description of the significant differences between IFRS and U.S. generally accepted accounting principles (U.S. GAAP) follows: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(a) Allowance for credit losses -</w:t>
      </w:r>
    </w:p>
    <w:p>
      <w:pPr>
        <w:spacing w:after="0" w:line="1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Management believes that there is no significant difference between the amount of the reserve for loan losses provided under IFRS and the required reserve that would be provided under U.S. GAAP. Management believes that the reserve for loan losses was adequate at December 31, 2003 and 2002 to cover any known losses and any losses that have not been specifically identified in the loan portfolio.</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 Investments in debt and equity securities -</w:t>
      </w:r>
    </w:p>
    <w:p>
      <w:pPr>
        <w:spacing w:after="0" w:line="1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Since 2001, the Group adopted IAS 39 “Financial Instruments: Recognition and Measurement”; consequently, at the beginning of 2001 the Group recorded the cumulative effect of the adoption of IAS 39 for investments that were considered as available-for-sale and trading investments in retained earnings and income for the year, respectively. The accounting treatment established by IAS 39 is similar to that required by SFAS 115.</w:t>
      </w:r>
    </w:p>
    <w:p>
      <w:pPr>
        <w:spacing w:after="0" w:line="163" w:lineRule="exact"/>
        <w:rPr>
          <w:sz w:val="20"/>
          <w:szCs w:val="20"/>
          <w:color w:val="auto"/>
        </w:rPr>
      </w:pPr>
    </w:p>
    <w:p>
      <w:pPr>
        <w:ind w:left="580" w:right="340" w:hanging="572"/>
        <w:spacing w:after="0" w:line="268" w:lineRule="auto"/>
        <w:tabs>
          <w:tab w:leader="none" w:pos="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Trading securities are valued at their market value and the unrealized gains and losses are recorded in the income for the year in a similar way to U.S. GAAP.</w:t>
      </w:r>
    </w:p>
    <w:p>
      <w:pPr>
        <w:spacing w:after="0" w:line="212" w:lineRule="exact"/>
        <w:rPr>
          <w:rFonts w:ascii="Arial" w:cs="Arial" w:eastAsia="Arial" w:hAnsi="Arial"/>
          <w:sz w:val="18"/>
          <w:szCs w:val="18"/>
          <w:color w:val="auto"/>
        </w:rPr>
      </w:pPr>
    </w:p>
    <w:p>
      <w:pPr>
        <w:ind w:left="580" w:right="680" w:hanging="572"/>
        <w:spacing w:after="0" w:line="332" w:lineRule="auto"/>
        <w:tabs>
          <w:tab w:leader="none" w:pos="5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Investments available-for-sale are carried at their market value, with unrealized gains and losses being recorded in shareholders’ equity; while in accordance with SFAS 115 the unrealized gains and losses should be recorded in Other Comprehensive Income.</w:t>
      </w:r>
    </w:p>
    <w:p>
      <w:pPr>
        <w:spacing w:after="0" w:line="382"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The reconciling items included in paragraph f) for the years 2003, 2002 and 2001 and in paragraph d) for the year 2001 correspond to i) the reclassification of the unrealized gains and losses corresponding to investments that are available-for-sale from retained earnings to Other Comprehensive Income and ii) the adjustment to market value of the trading securities recorded in 2000 for U.S. GAAP purposes and recognized in 2001 for IFRS purposes.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(c) Amortization of goodwill -</w:t>
      </w:r>
    </w:p>
    <w:p>
      <w:pPr>
        <w:spacing w:after="0" w:line="15"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IAS 22 establishes that the goodwill should be amortized, consistently, in the term of its useful life, i.e. in the period during which future economic benefits are expected to flow to the company, which should not exceed twenty years. The amortization period and the amortization method should be reviewed at least at the end of each financial year.</w:t>
      </w:r>
    </w:p>
    <w:p>
      <w:pPr>
        <w:spacing w:after="0" w:line="198"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SFAS 142, “Goodwill and other intangibles” establishes that the goodwill should be assigned to a reporting unit, which is defined as an operating unit or a component of an operating unit. Also, the goodwill is not subject to amortization and should be tested for impairment at least annually. In this respect, the Group made the analysis and evaluation of the impairment of goodwill as of January 1 and December 31 2003 and 2002, and no impairment loss was required.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59320" cy="34290"/>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5">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color w:val="auto"/>
        </w:rPr>
        <w:t>(d) Summary of significant adjustments to net income -</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The significant adjustments that would be required to determine the net income of the Group under U.S. GAAP instead of under IFRS are summarized below:</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6240" w:type="dxa"/>
            <w:vAlign w:val="bottom"/>
          </w:tcPr>
          <w:p>
            <w:pPr>
              <w:spacing w:after="0"/>
              <w:rPr>
                <w:sz w:val="19"/>
                <w:szCs w:val="19"/>
                <w:color w:val="auto"/>
              </w:rPr>
            </w:pPr>
          </w:p>
        </w:tc>
        <w:tc>
          <w:tcPr>
            <w:tcW w:w="3840" w:type="dxa"/>
            <w:vAlign w:val="bottom"/>
            <w:gridSpan w:val="5"/>
          </w:tcPr>
          <w:p>
            <w:pPr>
              <w:jc w:val="center"/>
              <w:ind w:left="1132"/>
              <w:spacing w:after="0"/>
              <w:rPr>
                <w:sz w:val="20"/>
                <w:szCs w:val="20"/>
                <w:color w:val="auto"/>
              </w:rPr>
            </w:pPr>
            <w:r>
              <w:rPr>
                <w:rFonts w:ascii="Arial" w:cs="Arial" w:eastAsia="Arial" w:hAnsi="Arial"/>
                <w:sz w:val="18"/>
                <w:szCs w:val="18"/>
                <w:b w:val="1"/>
                <w:bCs w:val="1"/>
                <w:color w:val="auto"/>
                <w:w w:val="88"/>
              </w:rPr>
              <w:t>For the year ended December 31,</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62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128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6240" w:type="dxa"/>
            <w:vAlign w:val="bottom"/>
          </w:tcPr>
          <w:p>
            <w:pPr>
              <w:spacing w:after="0"/>
              <w:rPr>
                <w:sz w:val="24"/>
                <w:szCs w:val="24"/>
                <w:color w:val="auto"/>
              </w:rPr>
            </w:pPr>
          </w:p>
        </w:tc>
        <w:tc>
          <w:tcPr>
            <w:tcW w:w="1680" w:type="dxa"/>
            <w:vAlign w:val="bottom"/>
          </w:tcPr>
          <w:p>
            <w:pPr>
              <w:jc w:val="right"/>
              <w:ind w:right="592"/>
              <w:spacing w:after="0"/>
              <w:rPr>
                <w:sz w:val="20"/>
                <w:szCs w:val="20"/>
                <w:color w:val="auto"/>
              </w:rPr>
            </w:pPr>
            <w:r>
              <w:rPr>
                <w:rFonts w:ascii="Arial" w:cs="Arial" w:eastAsia="Arial" w:hAnsi="Arial"/>
                <w:sz w:val="18"/>
                <w:szCs w:val="18"/>
                <w:b w:val="1"/>
                <w:bCs w:val="1"/>
                <w:color w:val="auto"/>
              </w:rPr>
              <w:t>2003</w:t>
            </w:r>
          </w:p>
        </w:tc>
        <w:tc>
          <w:tcPr>
            <w:tcW w:w="1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4"/>
              </w:rPr>
              <w:t>2002</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jc w:val="right"/>
              <w:ind w:right="612"/>
              <w:spacing w:after="0"/>
              <w:rPr>
                <w:sz w:val="20"/>
                <w:szCs w:val="20"/>
                <w:color w:val="auto"/>
              </w:rPr>
            </w:pPr>
            <w:r>
              <w:rPr>
                <w:rFonts w:ascii="Arial" w:cs="Arial" w:eastAsia="Arial" w:hAnsi="Arial"/>
                <w:sz w:val="18"/>
                <w:szCs w:val="18"/>
                <w:b w:val="1"/>
                <w:bCs w:val="1"/>
                <w:color w:val="auto"/>
              </w:rPr>
              <w:t>2001</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1"/>
                <w:szCs w:val="21"/>
                <w:color w:val="auto"/>
              </w:rPr>
            </w:pPr>
          </w:p>
        </w:tc>
        <w:tc>
          <w:tcPr>
            <w:tcW w:w="1680" w:type="dxa"/>
            <w:vAlign w:val="bottom"/>
          </w:tcPr>
          <w:p>
            <w:pPr>
              <w:jc w:val="right"/>
              <w:ind w:right="412"/>
              <w:spacing w:after="0"/>
              <w:rPr>
                <w:sz w:val="20"/>
                <w:szCs w:val="20"/>
                <w:color w:val="auto"/>
              </w:rPr>
            </w:pPr>
            <w:r>
              <w:rPr>
                <w:rFonts w:ascii="Arial" w:cs="Arial" w:eastAsia="Arial" w:hAnsi="Arial"/>
                <w:sz w:val="18"/>
                <w:szCs w:val="18"/>
                <w:color w:val="auto"/>
              </w:rPr>
              <w:t>US$(000)</w:t>
            </w:r>
          </w:p>
        </w:tc>
        <w:tc>
          <w:tcPr>
            <w:tcW w:w="20" w:type="dxa"/>
            <w:vAlign w:val="bottom"/>
          </w:tcPr>
          <w:p>
            <w:pPr>
              <w:spacing w:after="0"/>
              <w:rPr>
                <w:sz w:val="21"/>
                <w:szCs w:val="21"/>
                <w:color w:val="auto"/>
              </w:rPr>
            </w:pPr>
          </w:p>
        </w:tc>
        <w:tc>
          <w:tcPr>
            <w:tcW w:w="2140" w:type="dxa"/>
            <w:vAlign w:val="bottom"/>
            <w:gridSpan w:val="3"/>
          </w:tcPr>
          <w:p>
            <w:pPr>
              <w:jc w:val="center"/>
              <w:ind w:right="440"/>
              <w:spacing w:after="0"/>
              <w:rPr>
                <w:sz w:val="20"/>
                <w:szCs w:val="20"/>
                <w:color w:val="auto"/>
              </w:rPr>
            </w:pPr>
            <w:r>
              <w:rPr>
                <w:rFonts w:ascii="Arial" w:cs="Arial" w:eastAsia="Arial" w:hAnsi="Arial"/>
                <w:sz w:val="18"/>
                <w:szCs w:val="18"/>
                <w:color w:val="auto"/>
                <w:w w:val="90"/>
              </w:rPr>
              <w:t>US$(000)</w:t>
            </w:r>
          </w:p>
        </w:tc>
        <w:tc>
          <w:tcPr>
            <w:tcW w:w="1280" w:type="dxa"/>
            <w:vAlign w:val="bottom"/>
          </w:tcPr>
          <w:p>
            <w:pPr>
              <w:jc w:val="right"/>
              <w:ind w:right="412"/>
              <w:spacing w:after="0"/>
              <w:rPr>
                <w:sz w:val="20"/>
                <w:szCs w:val="20"/>
                <w:color w:val="auto"/>
              </w:rPr>
            </w:pPr>
            <w:r>
              <w:rPr>
                <w:rFonts w:ascii="Arial" w:cs="Arial" w:eastAsia="Arial" w:hAnsi="Arial"/>
                <w:sz w:val="18"/>
                <w:szCs w:val="18"/>
                <w:color w:val="auto"/>
                <w:w w:val="98"/>
              </w:rPr>
              <w:t>US$(000)</w:t>
            </w:r>
          </w:p>
        </w:tc>
        <w:tc>
          <w:tcPr>
            <w:tcW w:w="0" w:type="dxa"/>
            <w:vAlign w:val="bottom"/>
          </w:tcPr>
          <w:p>
            <w:pPr>
              <w:spacing w:after="0"/>
              <w:rPr>
                <w:sz w:val="1"/>
                <w:szCs w:val="1"/>
                <w:color w:val="auto"/>
              </w:rPr>
            </w:pPr>
          </w:p>
        </w:tc>
      </w:tr>
      <w:tr>
        <w:trPr>
          <w:trHeight w:val="486"/>
        </w:trPr>
        <w:tc>
          <w:tcPr>
            <w:tcW w:w="6240" w:type="dxa"/>
            <w:vAlign w:val="bottom"/>
          </w:tcPr>
          <w:p>
            <w:pPr>
              <w:spacing w:after="0"/>
              <w:rPr>
                <w:sz w:val="20"/>
                <w:szCs w:val="20"/>
                <w:color w:val="auto"/>
              </w:rPr>
            </w:pPr>
            <w:r>
              <w:rPr>
                <w:rFonts w:ascii="Arial" w:cs="Arial" w:eastAsia="Arial" w:hAnsi="Arial"/>
                <w:sz w:val="18"/>
                <w:szCs w:val="18"/>
                <w:b w:val="1"/>
                <w:bCs w:val="1"/>
                <w:color w:val="auto"/>
              </w:rPr>
              <w:t>Net income in accordance with IFRS</w:t>
            </w:r>
          </w:p>
        </w:tc>
        <w:tc>
          <w:tcPr>
            <w:tcW w:w="1680" w:type="dxa"/>
            <w:vAlign w:val="bottom"/>
          </w:tcPr>
          <w:p>
            <w:pPr>
              <w:jc w:val="right"/>
              <w:spacing w:after="0"/>
              <w:rPr>
                <w:sz w:val="20"/>
                <w:szCs w:val="20"/>
                <w:color w:val="auto"/>
              </w:rPr>
            </w:pPr>
            <w:r>
              <w:rPr>
                <w:rFonts w:ascii="Arial" w:cs="Arial" w:eastAsia="Arial" w:hAnsi="Arial"/>
                <w:sz w:val="18"/>
                <w:szCs w:val="18"/>
                <w:color w:val="auto"/>
              </w:rPr>
              <w:t>80,607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42,383</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54,513</w:t>
            </w:r>
          </w:p>
        </w:tc>
        <w:tc>
          <w:tcPr>
            <w:tcW w:w="0" w:type="dxa"/>
            <w:vAlign w:val="bottom"/>
          </w:tcPr>
          <w:p>
            <w:pPr>
              <w:spacing w:after="0"/>
              <w:rPr>
                <w:sz w:val="1"/>
                <w:szCs w:val="1"/>
                <w:color w:val="auto"/>
              </w:rPr>
            </w:pPr>
          </w:p>
        </w:tc>
      </w:tr>
      <w:tr>
        <w:trPr>
          <w:trHeight w:val="513"/>
        </w:trPr>
        <w:tc>
          <w:tcPr>
            <w:tcW w:w="6240" w:type="dxa"/>
            <w:vAlign w:val="bottom"/>
          </w:tcPr>
          <w:p>
            <w:pPr>
              <w:spacing w:after="0"/>
              <w:rPr>
                <w:sz w:val="20"/>
                <w:szCs w:val="20"/>
                <w:color w:val="auto"/>
              </w:rPr>
            </w:pPr>
            <w:r>
              <w:rPr>
                <w:rFonts w:ascii="Arial" w:cs="Arial" w:eastAsia="Arial" w:hAnsi="Arial"/>
                <w:sz w:val="18"/>
                <w:szCs w:val="18"/>
                <w:b w:val="1"/>
                <w:bCs w:val="1"/>
                <w:color w:val="auto"/>
              </w:rPr>
              <w:t>Additions (deductions):</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Reversal of amortization of goodwill</w:t>
            </w:r>
          </w:p>
        </w:tc>
        <w:tc>
          <w:tcPr>
            <w:tcW w:w="1680" w:type="dxa"/>
            <w:vAlign w:val="bottom"/>
          </w:tcPr>
          <w:p>
            <w:pPr>
              <w:jc w:val="right"/>
              <w:spacing w:after="0"/>
              <w:rPr>
                <w:sz w:val="20"/>
                <w:szCs w:val="20"/>
                <w:color w:val="auto"/>
              </w:rPr>
            </w:pPr>
            <w:r>
              <w:rPr>
                <w:rFonts w:ascii="Arial" w:cs="Arial" w:eastAsia="Arial" w:hAnsi="Arial"/>
                <w:sz w:val="18"/>
                <w:szCs w:val="18"/>
                <w:color w:val="auto"/>
              </w:rPr>
              <w:t>4,223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3,033</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Valuation of trading securities at their market value</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Deferred income tax</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Minority interest</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37"/>
        </w:trPr>
        <w:tc>
          <w:tcPr>
            <w:tcW w:w="6240" w:type="dxa"/>
            <w:vAlign w:val="bottom"/>
            <w:vMerge w:val="restart"/>
          </w:tcPr>
          <w:p>
            <w:pPr>
              <w:spacing w:after="0"/>
              <w:rPr>
                <w:sz w:val="20"/>
                <w:szCs w:val="20"/>
                <w:color w:val="auto"/>
              </w:rPr>
            </w:pPr>
            <w:r>
              <w:rPr>
                <w:rFonts w:ascii="Arial" w:cs="Arial" w:eastAsia="Arial" w:hAnsi="Arial"/>
                <w:sz w:val="18"/>
                <w:szCs w:val="18"/>
                <w:b w:val="1"/>
                <w:bCs w:val="1"/>
                <w:color w:val="auto"/>
              </w:rPr>
              <w:t>Net income in accordance with U.S. GAAP</w:t>
            </w: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128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6240" w:type="dxa"/>
            <w:vAlign w:val="bottom"/>
            <w:vMerge w:val="continue"/>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84,830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45,416</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55,851</w:t>
            </w:r>
          </w:p>
        </w:tc>
        <w:tc>
          <w:tcPr>
            <w:tcW w:w="0" w:type="dxa"/>
            <w:vAlign w:val="bottom"/>
          </w:tcPr>
          <w:p>
            <w:pPr>
              <w:spacing w:after="0"/>
              <w:rPr>
                <w:sz w:val="1"/>
                <w:szCs w:val="1"/>
                <w:color w:val="auto"/>
              </w:rPr>
            </w:pPr>
          </w:p>
        </w:tc>
      </w:tr>
      <w:tr>
        <w:trPr>
          <w:trHeight w:val="147"/>
        </w:trPr>
        <w:tc>
          <w:tcPr>
            <w:tcW w:w="6240" w:type="dxa"/>
            <w:vAlign w:val="bottom"/>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-2089785</wp:posOffset>
            </wp:positionV>
            <wp:extent cx="34290" cy="34290"/>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-356870</wp:posOffset>
            </wp:positionV>
            <wp:extent cx="34290" cy="34290"/>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-356870</wp:posOffset>
            </wp:positionV>
            <wp:extent cx="34290" cy="34290"/>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-356870</wp:posOffset>
            </wp:positionV>
            <wp:extent cx="34290" cy="34290"/>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1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-14605</wp:posOffset>
            </wp:positionV>
            <wp:extent cx="12700" cy="8890"/>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-14605</wp:posOffset>
            </wp:positionV>
            <wp:extent cx="12700" cy="8890"/>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-14605</wp:posOffset>
            </wp:positionV>
            <wp:extent cx="12700" cy="8890"/>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-14605</wp:posOffset>
            </wp:positionV>
            <wp:extent cx="12700" cy="8890"/>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-14605</wp:posOffset>
            </wp:positionV>
            <wp:extent cx="12700" cy="8890"/>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-14605</wp:posOffset>
            </wp:positionV>
            <wp:extent cx="12700" cy="8890"/>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480" w:type="dxa"/>
            <w:vAlign w:val="bottom"/>
          </w:tcPr>
          <w:p>
            <w:pPr>
              <w:spacing w:after="0"/>
              <w:rPr>
                <w:sz w:val="20"/>
                <w:szCs w:val="20"/>
                <w:color w:val="auto"/>
              </w:rPr>
            </w:pPr>
            <w:r>
              <w:rPr>
                <w:rFonts w:ascii="Arial" w:cs="Arial" w:eastAsia="Arial" w:hAnsi="Arial"/>
                <w:sz w:val="18"/>
                <w:szCs w:val="18"/>
                <w:color w:val="auto"/>
                <w:w w:val="89"/>
              </w:rPr>
              <w:t>Net income per share in accordance with U.S. GAAP based on</w:t>
            </w:r>
          </w:p>
        </w:tc>
        <w:tc>
          <w:tcPr>
            <w:tcW w:w="40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2"/>
        </w:trPr>
        <w:tc>
          <w:tcPr>
            <w:tcW w:w="4480" w:type="dxa"/>
            <w:vAlign w:val="bottom"/>
          </w:tcPr>
          <w:p>
            <w:pPr>
              <w:ind w:left="180"/>
              <w:spacing w:after="0"/>
              <w:rPr>
                <w:sz w:val="20"/>
                <w:szCs w:val="20"/>
                <w:color w:val="auto"/>
              </w:rPr>
            </w:pPr>
            <w:r>
              <w:rPr>
                <w:rFonts w:ascii="Arial" w:cs="Arial" w:eastAsia="Arial" w:hAnsi="Arial"/>
                <w:sz w:val="18"/>
                <w:szCs w:val="18"/>
                <w:color w:val="auto"/>
                <w:w w:val="88"/>
              </w:rPr>
              <w:t>weighted average number of shares issued and in circulation</w:t>
            </w:r>
          </w:p>
        </w:tc>
        <w:tc>
          <w:tcPr>
            <w:tcW w:w="4020" w:type="dxa"/>
            <w:vAlign w:val="bottom"/>
          </w:tcPr>
          <w:p>
            <w:pPr>
              <w:jc w:val="right"/>
              <w:ind w:right="532"/>
              <w:spacing w:after="0"/>
              <w:rPr>
                <w:sz w:val="20"/>
                <w:szCs w:val="20"/>
                <w:color w:val="auto"/>
              </w:rPr>
            </w:pPr>
            <w:r>
              <w:rPr>
                <w:rFonts w:ascii="Arial" w:cs="Arial" w:eastAsia="Arial" w:hAnsi="Arial"/>
                <w:sz w:val="18"/>
                <w:szCs w:val="18"/>
                <w:color w:val="auto"/>
              </w:rPr>
              <w:t>1.06</w:t>
            </w:r>
          </w:p>
        </w:tc>
        <w:tc>
          <w:tcPr>
            <w:tcW w:w="1720" w:type="dxa"/>
            <w:vAlign w:val="bottom"/>
          </w:tcPr>
          <w:p>
            <w:pPr>
              <w:jc w:val="right"/>
              <w:ind w:right="532"/>
              <w:spacing w:after="0"/>
              <w:rPr>
                <w:sz w:val="20"/>
                <w:szCs w:val="20"/>
                <w:color w:val="auto"/>
              </w:rPr>
            </w:pPr>
            <w:r>
              <w:rPr>
                <w:rFonts w:ascii="Arial" w:cs="Arial" w:eastAsia="Arial" w:hAnsi="Arial"/>
                <w:sz w:val="18"/>
                <w:szCs w:val="18"/>
                <w:color w:val="auto"/>
              </w:rPr>
              <w:t>0.57</w:t>
            </w:r>
          </w:p>
        </w:tc>
        <w:tc>
          <w:tcPr>
            <w:tcW w:w="1080" w:type="dxa"/>
            <w:vAlign w:val="bottom"/>
          </w:tcPr>
          <w:p>
            <w:pPr>
              <w:jc w:val="right"/>
              <w:spacing w:after="0"/>
              <w:rPr>
                <w:sz w:val="20"/>
                <w:szCs w:val="20"/>
                <w:color w:val="auto"/>
              </w:rPr>
            </w:pPr>
            <w:r>
              <w:rPr>
                <w:rFonts w:ascii="Arial" w:cs="Arial" w:eastAsia="Arial" w:hAnsi="Arial"/>
                <w:sz w:val="18"/>
                <w:szCs w:val="18"/>
                <w:color w:val="auto"/>
              </w:rPr>
              <w:t>0.70</w:t>
            </w:r>
          </w:p>
        </w:tc>
      </w:tr>
      <w:tr>
        <w:trPr>
          <w:trHeight w:val="480"/>
        </w:trPr>
        <w:tc>
          <w:tcPr>
            <w:tcW w:w="4480" w:type="dxa"/>
            <w:vAlign w:val="bottom"/>
          </w:tcPr>
          <w:p>
            <w:pPr>
              <w:spacing w:after="0"/>
              <w:rPr>
                <w:sz w:val="20"/>
                <w:szCs w:val="20"/>
                <w:color w:val="auto"/>
              </w:rPr>
            </w:pPr>
            <w:r>
              <w:rPr>
                <w:rFonts w:ascii="Arial" w:cs="Arial" w:eastAsia="Arial" w:hAnsi="Arial"/>
                <w:sz w:val="18"/>
                <w:szCs w:val="18"/>
                <w:color w:val="auto"/>
                <w:w w:val="89"/>
              </w:rPr>
              <w:t>Weighted average number of outstanding shares issued and in</w:t>
            </w:r>
          </w:p>
        </w:tc>
        <w:tc>
          <w:tcPr>
            <w:tcW w:w="4020" w:type="dxa"/>
            <w:vAlign w:val="bottom"/>
          </w:tcPr>
          <w:p>
            <w:pPr>
              <w:jc w:val="right"/>
              <w:ind w:right="2332"/>
              <w:spacing w:after="0"/>
              <w:rPr>
                <w:sz w:val="20"/>
                <w:szCs w:val="20"/>
                <w:color w:val="auto"/>
              </w:rPr>
            </w:pPr>
            <w:r>
              <w:rPr>
                <w:rFonts w:ascii="Arial" w:cs="Arial" w:eastAsia="Arial" w:hAnsi="Arial"/>
                <w:sz w:val="18"/>
                <w:szCs w:val="18"/>
                <w:color w:val="auto"/>
                <w:w w:val="94"/>
              </w:rPr>
              <w:t>circulation, excluding</w:t>
            </w:r>
          </w:p>
        </w:tc>
        <w:tc>
          <w:tcPr>
            <w:tcW w:w="17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22"/>
        </w:trPr>
        <w:tc>
          <w:tcPr>
            <w:tcW w:w="4480" w:type="dxa"/>
            <w:vAlign w:val="bottom"/>
          </w:tcPr>
          <w:p>
            <w:pPr>
              <w:spacing w:after="0"/>
              <w:rPr>
                <w:sz w:val="20"/>
                <w:szCs w:val="20"/>
                <w:color w:val="auto"/>
              </w:rPr>
            </w:pPr>
            <w:r>
              <w:rPr>
                <w:rFonts w:ascii="Arial" w:cs="Arial" w:eastAsia="Arial" w:hAnsi="Arial"/>
                <w:sz w:val="18"/>
                <w:szCs w:val="18"/>
                <w:color w:val="auto"/>
              </w:rPr>
              <w:t>treasury stock (in thousands of shares)</w:t>
            </w:r>
          </w:p>
        </w:tc>
        <w:tc>
          <w:tcPr>
            <w:tcW w:w="4020" w:type="dxa"/>
            <w:vAlign w:val="bottom"/>
          </w:tcPr>
          <w:p>
            <w:pPr>
              <w:jc w:val="right"/>
              <w:ind w:right="532"/>
              <w:spacing w:after="0"/>
              <w:rPr>
                <w:sz w:val="20"/>
                <w:szCs w:val="20"/>
                <w:color w:val="auto"/>
              </w:rPr>
            </w:pPr>
            <w:r>
              <w:rPr>
                <w:rFonts w:ascii="Arial" w:cs="Arial" w:eastAsia="Arial" w:hAnsi="Arial"/>
                <w:sz w:val="18"/>
                <w:szCs w:val="18"/>
                <w:color w:val="auto"/>
              </w:rPr>
              <w:t>79,747</w:t>
            </w:r>
          </w:p>
        </w:tc>
        <w:tc>
          <w:tcPr>
            <w:tcW w:w="1720" w:type="dxa"/>
            <w:vAlign w:val="bottom"/>
          </w:tcPr>
          <w:p>
            <w:pPr>
              <w:jc w:val="right"/>
              <w:ind w:right="532"/>
              <w:spacing w:after="0"/>
              <w:rPr>
                <w:sz w:val="20"/>
                <w:szCs w:val="20"/>
                <w:color w:val="auto"/>
              </w:rPr>
            </w:pPr>
            <w:r>
              <w:rPr>
                <w:rFonts w:ascii="Arial" w:cs="Arial" w:eastAsia="Arial" w:hAnsi="Arial"/>
                <w:sz w:val="18"/>
                <w:szCs w:val="18"/>
                <w:color w:val="auto"/>
              </w:rPr>
              <w:t>79,747</w:t>
            </w:r>
          </w:p>
        </w:tc>
        <w:tc>
          <w:tcPr>
            <w:tcW w:w="1080" w:type="dxa"/>
            <w:vAlign w:val="bottom"/>
          </w:tcPr>
          <w:p>
            <w:pPr>
              <w:jc w:val="right"/>
              <w:spacing w:after="0"/>
              <w:rPr>
                <w:sz w:val="20"/>
                <w:szCs w:val="20"/>
                <w:color w:val="auto"/>
              </w:rPr>
            </w:pPr>
            <w:r>
              <w:rPr>
                <w:rFonts w:ascii="Arial" w:cs="Arial" w:eastAsia="Arial" w:hAnsi="Arial"/>
                <w:sz w:val="18"/>
                <w:szCs w:val="18"/>
                <w:color w:val="auto"/>
              </w:rPr>
              <w:t>79,461</w:t>
            </w: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(e) Summary of significant adjustments to shareholders’ equity -</w:t>
      </w:r>
    </w:p>
    <w:p>
      <w:pPr>
        <w:spacing w:after="0" w:line="15" w:lineRule="exact"/>
        <w:rPr>
          <w:sz w:val="20"/>
          <w:szCs w:val="20"/>
          <w:color w:val="auto"/>
        </w:rPr>
      </w:pPr>
    </w:p>
    <w:p>
      <w:pPr>
        <w:jc w:val="both"/>
        <w:ind w:right="80"/>
        <w:spacing w:after="0" w:line="261" w:lineRule="auto"/>
        <w:rPr>
          <w:sz w:val="20"/>
          <w:szCs w:val="20"/>
          <w:color w:val="auto"/>
        </w:rPr>
      </w:pPr>
      <w:r>
        <w:rPr>
          <w:rFonts w:ascii="Arial" w:cs="Arial" w:eastAsia="Arial" w:hAnsi="Arial"/>
          <w:sz w:val="18"/>
          <w:szCs w:val="18"/>
          <w:color w:val="auto"/>
        </w:rPr>
        <w:t>A summary of the significant adjustments that would be required to determine the shareholders’ equity of the Group under U.S. GAAP instead of under IFRS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7"/>
              </w:rPr>
              <w:t>As of December 31,</w:t>
            </w:r>
          </w:p>
        </w:tc>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47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4760" w:type="dxa"/>
            <w:vAlign w:val="bottom"/>
          </w:tcPr>
          <w:p>
            <w:pPr>
              <w:spacing w:after="0"/>
              <w:rPr>
                <w:sz w:val="24"/>
                <w:szCs w:val="24"/>
                <w:color w:val="auto"/>
              </w:rPr>
            </w:pPr>
          </w:p>
        </w:tc>
        <w:tc>
          <w:tcPr>
            <w:tcW w:w="3200" w:type="dxa"/>
            <w:vAlign w:val="bottom"/>
            <w:gridSpan w:val="2"/>
          </w:tcPr>
          <w:p>
            <w:pPr>
              <w:jc w:val="right"/>
              <w:ind w:right="592"/>
              <w:spacing w:after="0"/>
              <w:rPr>
                <w:sz w:val="20"/>
                <w:szCs w:val="20"/>
                <w:color w:val="auto"/>
              </w:rPr>
            </w:pPr>
            <w:r>
              <w:rPr>
                <w:rFonts w:ascii="Arial" w:cs="Arial" w:eastAsia="Arial" w:hAnsi="Arial"/>
                <w:sz w:val="18"/>
                <w:szCs w:val="18"/>
                <w:b w:val="1"/>
                <w:bCs w:val="1"/>
                <w:color w:val="auto"/>
              </w:rPr>
              <w:t>2003</w:t>
            </w:r>
          </w:p>
        </w:tc>
        <w:tc>
          <w:tcPr>
            <w:tcW w:w="1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4"/>
              </w:rPr>
              <w:t>2002</w:t>
            </w:r>
          </w:p>
        </w:tc>
        <w:tc>
          <w:tcPr>
            <w:tcW w:w="1720" w:type="dxa"/>
            <w:vAlign w:val="bottom"/>
            <w:gridSpan w:val="2"/>
          </w:tcPr>
          <w:p>
            <w:pPr>
              <w:jc w:val="right"/>
              <w:ind w:right="612"/>
              <w:spacing w:after="0"/>
              <w:rPr>
                <w:sz w:val="20"/>
                <w:szCs w:val="20"/>
                <w:color w:val="auto"/>
              </w:rPr>
            </w:pPr>
            <w:r>
              <w:rPr>
                <w:rFonts w:ascii="Arial" w:cs="Arial" w:eastAsia="Arial" w:hAnsi="Arial"/>
                <w:sz w:val="18"/>
                <w:szCs w:val="18"/>
                <w:b w:val="1"/>
                <w:bCs w:val="1"/>
                <w:color w:val="auto"/>
              </w:rPr>
              <w:t>2001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680" w:type="dxa"/>
            <w:vAlign w:val="bottom"/>
          </w:tcPr>
          <w:p>
            <w:pPr>
              <w:jc w:val="right"/>
              <w:ind w:right="412"/>
              <w:spacing w:after="0"/>
              <w:rPr>
                <w:sz w:val="20"/>
                <w:szCs w:val="20"/>
                <w:color w:val="auto"/>
              </w:rPr>
            </w:pPr>
            <w:r>
              <w:rPr>
                <w:rFonts w:ascii="Arial" w:cs="Arial" w:eastAsia="Arial" w:hAnsi="Arial"/>
                <w:sz w:val="18"/>
                <w:szCs w:val="18"/>
                <w:color w:val="auto"/>
              </w:rPr>
              <w:t>US$(000)</w:t>
            </w:r>
          </w:p>
        </w:tc>
        <w:tc>
          <w:tcPr>
            <w:tcW w:w="2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US$(000)</w:t>
            </w:r>
          </w:p>
        </w:tc>
        <w:tc>
          <w:tcPr>
            <w:tcW w:w="20" w:type="dxa"/>
            <w:vAlign w:val="bottom"/>
          </w:tcPr>
          <w:p>
            <w:pPr>
              <w:spacing w:after="0"/>
              <w:rPr>
                <w:sz w:val="21"/>
                <w:szCs w:val="21"/>
                <w:color w:val="auto"/>
              </w:rPr>
            </w:pPr>
          </w:p>
        </w:tc>
        <w:tc>
          <w:tcPr>
            <w:tcW w:w="1700" w:type="dxa"/>
            <w:vAlign w:val="bottom"/>
          </w:tcPr>
          <w:p>
            <w:pPr>
              <w:jc w:val="right"/>
              <w:ind w:right="412"/>
              <w:spacing w:after="0"/>
              <w:rPr>
                <w:sz w:val="20"/>
                <w:szCs w:val="20"/>
                <w:color w:val="auto"/>
              </w:rPr>
            </w:pPr>
            <w:r>
              <w:rPr>
                <w:rFonts w:ascii="Arial" w:cs="Arial" w:eastAsia="Arial" w:hAnsi="Arial"/>
                <w:sz w:val="18"/>
                <w:szCs w:val="18"/>
                <w:color w:val="auto"/>
              </w:rPr>
              <w:t>US$(000)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4760" w:type="dxa"/>
            <w:vAlign w:val="bottom"/>
          </w:tcPr>
          <w:p>
            <w:pPr>
              <w:ind w:left="40"/>
              <w:spacing w:after="0"/>
              <w:rPr>
                <w:sz w:val="20"/>
                <w:szCs w:val="20"/>
                <w:color w:val="auto"/>
              </w:rPr>
            </w:pPr>
            <w:r>
              <w:rPr>
                <w:rFonts w:ascii="Arial" w:cs="Arial" w:eastAsia="Arial" w:hAnsi="Arial"/>
                <w:sz w:val="18"/>
                <w:szCs w:val="18"/>
                <w:b w:val="1"/>
                <w:bCs w:val="1"/>
                <w:color w:val="auto"/>
              </w:rPr>
              <w:t>Shareholders’ equity in accordance with IFRS</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910,730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823,800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796,773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760" w:type="dxa"/>
            <w:vAlign w:val="bottom"/>
          </w:tcPr>
          <w:p>
            <w:pPr>
              <w:ind w:left="40"/>
              <w:spacing w:after="0"/>
              <w:rPr>
                <w:sz w:val="20"/>
                <w:szCs w:val="20"/>
                <w:color w:val="auto"/>
              </w:rPr>
            </w:pPr>
            <w:r>
              <w:rPr>
                <w:rFonts w:ascii="Arial" w:cs="Arial" w:eastAsia="Arial" w:hAnsi="Arial"/>
                <w:sz w:val="18"/>
                <w:szCs w:val="18"/>
                <w:b w:val="1"/>
                <w:bCs w:val="1"/>
                <w:color w:val="auto"/>
              </w:rPr>
              <w:t>Additions</w:t>
            </w:r>
          </w:p>
        </w:tc>
        <w:tc>
          <w:tcPr>
            <w:tcW w:w="15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Reversal of amortization of goodwill</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7,256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3,033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7"/>
        </w:trPr>
        <w:tc>
          <w:tcPr>
            <w:tcW w:w="47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Shareholders’ equity in accordance with U.S. GAAP</w:t>
            </w:r>
          </w:p>
        </w:tc>
        <w:tc>
          <w:tcPr>
            <w:tcW w:w="152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99"/>
        </w:trPr>
        <w:tc>
          <w:tcPr>
            <w:tcW w:w="4760" w:type="dxa"/>
            <w:vAlign w:val="bottom"/>
            <w:vMerge w:val="continue"/>
          </w:tcPr>
          <w:p>
            <w:pPr>
              <w:spacing w:after="0"/>
              <w:rPr>
                <w:sz w:val="24"/>
                <w:szCs w:val="24"/>
                <w:color w:val="auto"/>
              </w:rPr>
            </w:pP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917,986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826,833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796,773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47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89"/>
        </w:trPr>
        <w:tc>
          <w:tcPr>
            <w:tcW w:w="4760" w:type="dxa"/>
            <w:vAlign w:val="bottom"/>
          </w:tcPr>
          <w:p>
            <w:pPr>
              <w:spacing w:after="0"/>
              <w:rPr>
                <w:sz w:val="24"/>
                <w:szCs w:val="24"/>
                <w:color w:val="auto"/>
              </w:rPr>
            </w:pPr>
          </w:p>
        </w:tc>
        <w:tc>
          <w:tcPr>
            <w:tcW w:w="3200" w:type="dxa"/>
            <w:vAlign w:val="bottom"/>
            <w:gridSpan w:val="2"/>
          </w:tcPr>
          <w:p>
            <w:pPr>
              <w:jc w:val="right"/>
              <w:ind w:right="1992"/>
              <w:spacing w:after="0"/>
              <w:rPr>
                <w:sz w:val="20"/>
                <w:szCs w:val="20"/>
                <w:color w:val="auto"/>
              </w:rPr>
            </w:pPr>
            <w:r>
              <w:rPr>
                <w:rFonts w:ascii="Arial" w:cs="Arial" w:eastAsia="Arial" w:hAnsi="Arial"/>
                <w:sz w:val="18"/>
                <w:szCs w:val="18"/>
                <w:color w:val="auto"/>
              </w:rPr>
              <w:t>F-58</w:t>
            </w: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76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-2216150</wp:posOffset>
            </wp:positionV>
            <wp:extent cx="34290" cy="34290"/>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-963930</wp:posOffset>
            </wp:positionV>
            <wp:extent cx="34290" cy="34290"/>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-963930</wp:posOffset>
            </wp:positionV>
            <wp:extent cx="34290" cy="34290"/>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-963930</wp:posOffset>
            </wp:positionV>
            <wp:extent cx="34290" cy="34290"/>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2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-466725</wp:posOffset>
            </wp:positionV>
            <wp:extent cx="12700" cy="8890"/>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-466725</wp:posOffset>
            </wp:positionV>
            <wp:extent cx="12700" cy="8890"/>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-466725</wp:posOffset>
            </wp:positionV>
            <wp:extent cx="12700" cy="8890"/>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-466725</wp:posOffset>
            </wp:positionV>
            <wp:extent cx="12700" cy="8890"/>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-466725</wp:posOffset>
            </wp:positionV>
            <wp:extent cx="12700" cy="8890"/>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-466725</wp:posOffset>
            </wp:positionV>
            <wp:extent cx="12700" cy="8890"/>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6">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color w:val="auto"/>
        </w:rPr>
        <w:t>The changes in shareholders’ equity of the Group under U.S. GAAP are summarized below:</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540" w:type="dxa"/>
            <w:vAlign w:val="bottom"/>
            <w:gridSpan w:val="9"/>
          </w:tcPr>
          <w:p>
            <w:pPr>
              <w:jc w:val="center"/>
              <w:ind w:left="852"/>
              <w:spacing w:after="0"/>
              <w:rPr>
                <w:sz w:val="20"/>
                <w:szCs w:val="20"/>
                <w:color w:val="auto"/>
              </w:rPr>
            </w:pPr>
            <w:r>
              <w:rPr>
                <w:rFonts w:ascii="Arial" w:cs="Arial" w:eastAsia="Arial" w:hAnsi="Arial"/>
                <w:sz w:val="18"/>
                <w:szCs w:val="18"/>
                <w:b w:val="1"/>
                <w:bCs w:val="1"/>
                <w:color w:val="auto"/>
                <w:w w:val="87"/>
              </w:rPr>
              <w:t>For the year ended December 31,</w:t>
            </w: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6280" w:type="dxa"/>
            <w:vAlign w:val="bottom"/>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48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12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6280" w:type="dxa"/>
            <w:vAlign w:val="bottom"/>
          </w:tcPr>
          <w:p>
            <w:pPr>
              <w:spacing w:after="0"/>
              <w:rPr>
                <w:sz w:val="24"/>
                <w:szCs w:val="24"/>
                <w:color w:val="auto"/>
              </w:rPr>
            </w:pPr>
          </w:p>
        </w:tc>
        <w:tc>
          <w:tcPr>
            <w:tcW w:w="1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2003</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jc w:val="center"/>
              <w:ind w:right="132"/>
              <w:spacing w:after="0"/>
              <w:rPr>
                <w:sz w:val="20"/>
                <w:szCs w:val="20"/>
                <w:color w:val="auto"/>
              </w:rPr>
            </w:pPr>
            <w:r>
              <w:rPr>
                <w:rFonts w:ascii="Arial" w:cs="Arial" w:eastAsia="Arial" w:hAnsi="Arial"/>
                <w:sz w:val="18"/>
                <w:szCs w:val="18"/>
                <w:b w:val="1"/>
                <w:bCs w:val="1"/>
                <w:color w:val="auto"/>
                <w:w w:val="84"/>
              </w:rPr>
              <w:t>2002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center"/>
              <w:ind w:right="392"/>
              <w:spacing w:after="0"/>
              <w:rPr>
                <w:sz w:val="20"/>
                <w:szCs w:val="20"/>
                <w:color w:val="auto"/>
              </w:rPr>
            </w:pPr>
            <w:r>
              <w:rPr>
                <w:rFonts w:ascii="Arial" w:cs="Arial" w:eastAsia="Arial" w:hAnsi="Arial"/>
                <w:sz w:val="18"/>
                <w:szCs w:val="18"/>
                <w:b w:val="1"/>
                <w:bCs w:val="1"/>
                <w:color w:val="auto"/>
                <w:w w:val="84"/>
              </w:rPr>
              <w:t>2001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60" w:type="dxa"/>
            <w:vAlign w:val="bottom"/>
            <w:gridSpan w:val="3"/>
          </w:tcPr>
          <w:p>
            <w:pPr>
              <w:jc w:val="center"/>
              <w:ind w:right="520"/>
              <w:spacing w:after="0"/>
              <w:rPr>
                <w:sz w:val="20"/>
                <w:szCs w:val="20"/>
                <w:color w:val="auto"/>
              </w:rPr>
            </w:pPr>
            <w:r>
              <w:rPr>
                <w:rFonts w:ascii="Arial" w:cs="Arial" w:eastAsia="Arial" w:hAnsi="Arial"/>
                <w:sz w:val="18"/>
                <w:szCs w:val="18"/>
                <w:color w:val="auto"/>
                <w:w w:val="88"/>
              </w:rPr>
              <w:t>US$(000)</w:t>
            </w:r>
          </w:p>
        </w:tc>
        <w:tc>
          <w:tcPr>
            <w:tcW w:w="40" w:type="dxa"/>
            <w:vAlign w:val="bottom"/>
          </w:tcPr>
          <w:p>
            <w:pPr>
              <w:spacing w:after="0"/>
              <w:rPr>
                <w:sz w:val="21"/>
                <w:szCs w:val="21"/>
                <w:color w:val="auto"/>
              </w:rPr>
            </w:pPr>
          </w:p>
        </w:tc>
        <w:tc>
          <w:tcPr>
            <w:tcW w:w="1940" w:type="dxa"/>
            <w:vAlign w:val="bottom"/>
            <w:gridSpan w:val="5"/>
          </w:tcPr>
          <w:p>
            <w:pPr>
              <w:jc w:val="center"/>
              <w:ind w:right="680"/>
              <w:spacing w:after="0"/>
              <w:rPr>
                <w:sz w:val="20"/>
                <w:szCs w:val="20"/>
                <w:color w:val="auto"/>
              </w:rPr>
            </w:pPr>
            <w:r>
              <w:rPr>
                <w:rFonts w:ascii="Arial" w:cs="Arial" w:eastAsia="Arial" w:hAnsi="Arial"/>
                <w:sz w:val="18"/>
                <w:szCs w:val="18"/>
                <w:color w:val="auto"/>
                <w:w w:val="90"/>
              </w:rPr>
              <w:t>US$(000)</w:t>
            </w:r>
          </w:p>
        </w:tc>
        <w:tc>
          <w:tcPr>
            <w:tcW w:w="1280" w:type="dxa"/>
            <w:vAlign w:val="bottom"/>
            <w:gridSpan w:val="2"/>
          </w:tcPr>
          <w:p>
            <w:pPr>
              <w:jc w:val="center"/>
              <w:ind w:right="460"/>
              <w:spacing w:after="0"/>
              <w:rPr>
                <w:sz w:val="20"/>
                <w:szCs w:val="20"/>
                <w:color w:val="auto"/>
              </w:rPr>
            </w:pPr>
            <w:r>
              <w:rPr>
                <w:rFonts w:ascii="Arial" w:cs="Arial" w:eastAsia="Arial" w:hAnsi="Arial"/>
                <w:sz w:val="18"/>
                <w:szCs w:val="18"/>
                <w:color w:val="auto"/>
                <w:w w:val="90"/>
              </w:rPr>
              <w:t>US$(000)</w:t>
            </w:r>
          </w:p>
        </w:tc>
        <w:tc>
          <w:tcPr>
            <w:tcW w:w="0" w:type="dxa"/>
            <w:vAlign w:val="bottom"/>
          </w:tcPr>
          <w:p>
            <w:pPr>
              <w:spacing w:after="0"/>
              <w:rPr>
                <w:sz w:val="1"/>
                <w:szCs w:val="1"/>
                <w:color w:val="auto"/>
              </w:rPr>
            </w:pPr>
          </w:p>
        </w:tc>
      </w:tr>
      <w:tr>
        <w:trPr>
          <w:trHeight w:val="486"/>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Balances as of January 1</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826,833</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796,773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785,853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280" w:type="dxa"/>
            <w:vAlign w:val="bottom"/>
          </w:tcPr>
          <w:p>
            <w:pPr>
              <w:ind w:left="40"/>
              <w:spacing w:after="0"/>
              <w:rPr>
                <w:sz w:val="20"/>
                <w:szCs w:val="20"/>
                <w:color w:val="auto"/>
              </w:rPr>
            </w:pPr>
            <w:r>
              <w:rPr>
                <w:rFonts w:ascii="Arial" w:cs="Arial" w:eastAsia="Arial" w:hAnsi="Arial"/>
                <w:sz w:val="18"/>
                <w:szCs w:val="18"/>
                <w:color w:val="auto"/>
              </w:rPr>
              <w:t>Cash dividends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(23,922)</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3"/>
          </w:tcPr>
          <w:p>
            <w:pPr>
              <w:jc w:val="right"/>
              <w:ind w:right="20"/>
              <w:spacing w:after="0"/>
              <w:rPr>
                <w:sz w:val="20"/>
                <w:szCs w:val="20"/>
                <w:color w:val="auto"/>
              </w:rPr>
            </w:pPr>
            <w:r>
              <w:rPr>
                <w:rFonts w:ascii="Arial" w:cs="Arial" w:eastAsia="Arial" w:hAnsi="Arial"/>
                <w:sz w:val="18"/>
                <w:szCs w:val="18"/>
                <w:color w:val="auto"/>
              </w:rPr>
              <w:t>(15,987)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(23,908)</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Decrease (increase) in treasury stock</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2,908</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(9,344)</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30,245</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gridSpan w:val="3"/>
          </w:tcPr>
          <w:p>
            <w:pPr>
              <w:jc w:val="right"/>
              <w:ind w:right="20"/>
              <w:spacing w:after="0"/>
              <w:rPr>
                <w:sz w:val="20"/>
                <w:szCs w:val="20"/>
                <w:color w:val="auto"/>
              </w:rPr>
            </w:pPr>
            <w:r>
              <w:rPr>
                <w:rFonts w:ascii="Arial" w:cs="Arial" w:eastAsia="Arial" w:hAnsi="Arial"/>
                <w:sz w:val="18"/>
                <w:szCs w:val="18"/>
                <w:color w:val="auto"/>
              </w:rPr>
              <w:t>(2,277)</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(11,679)</w:t>
            </w:r>
          </w:p>
        </w:tc>
        <w:tc>
          <w:tcPr>
            <w:tcW w:w="0" w:type="dxa"/>
            <w:vAlign w:val="bottom"/>
          </w:tcPr>
          <w:p>
            <w:pPr>
              <w:spacing w:after="0"/>
              <w:rPr>
                <w:sz w:val="1"/>
                <w:szCs w:val="1"/>
                <w:color w:val="auto"/>
              </w:rPr>
            </w:pPr>
          </w:p>
        </w:tc>
      </w:tr>
      <w:tr>
        <w:trPr>
          <w:trHeight w:val="137"/>
        </w:trPr>
        <w:tc>
          <w:tcPr>
            <w:tcW w:w="6280" w:type="dxa"/>
            <w:vAlign w:val="bottom"/>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4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12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62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84,830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45,416</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55,851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62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Balances as of December 31</w:t>
            </w:r>
          </w:p>
        </w:tc>
        <w:tc>
          <w:tcPr>
            <w:tcW w:w="320" w:type="dxa"/>
            <w:vAlign w:val="bottom"/>
            <w:tcBorders>
              <w:bottom w:val="single" w:sz="8" w:color="9A9A9A"/>
            </w:tcBorders>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4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12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99"/>
        </w:trPr>
        <w:tc>
          <w:tcPr>
            <w:tcW w:w="6280" w:type="dxa"/>
            <w:vAlign w:val="bottom"/>
            <w:vMerge w:val="continue"/>
          </w:tcPr>
          <w:p>
            <w:pPr>
              <w:spacing w:after="0"/>
              <w:rPr>
                <w:sz w:val="24"/>
                <w:szCs w:val="24"/>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917,986</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826,833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796,773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6280" w:type="dxa"/>
            <w:vAlign w:val="bottom"/>
            <w:vMerge w:val="restart"/>
          </w:tcPr>
          <w:p>
            <w:pPr>
              <w:spacing w:after="0"/>
              <w:rPr>
                <w:sz w:val="20"/>
                <w:szCs w:val="20"/>
                <w:color w:val="auto"/>
              </w:rPr>
            </w:pPr>
            <w:r>
              <w:rPr>
                <w:rFonts w:ascii="Arial" w:cs="Arial" w:eastAsia="Arial" w:hAnsi="Arial"/>
                <w:sz w:val="18"/>
                <w:szCs w:val="18"/>
                <w:color w:val="auto"/>
              </w:rPr>
              <w:t>(f) Other comprehensive income -</w:t>
            </w:r>
          </w:p>
        </w:tc>
        <w:tc>
          <w:tcPr>
            <w:tcW w:w="3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62"/>
        </w:trPr>
        <w:tc>
          <w:tcPr>
            <w:tcW w:w="62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20" w:type="dxa"/>
            <w:vAlign w:val="bottom"/>
            <w:gridSpan w:val="11"/>
          </w:tcPr>
          <w:p>
            <w:pPr>
              <w:jc w:val="center"/>
              <w:ind w:right="20"/>
              <w:spacing w:after="0"/>
              <w:rPr>
                <w:sz w:val="20"/>
                <w:szCs w:val="20"/>
                <w:color w:val="auto"/>
              </w:rPr>
            </w:pPr>
            <w:r>
              <w:rPr>
                <w:rFonts w:ascii="Arial" w:cs="Arial" w:eastAsia="Arial" w:hAnsi="Arial"/>
                <w:sz w:val="18"/>
                <w:szCs w:val="18"/>
                <w:b w:val="1"/>
                <w:bCs w:val="1"/>
                <w:color w:val="auto"/>
                <w:w w:val="87"/>
              </w:rPr>
              <w:t>For the year ended December 31,</w:t>
            </w:r>
          </w:p>
        </w:tc>
        <w:tc>
          <w:tcPr>
            <w:tcW w:w="0" w:type="dxa"/>
            <w:vAlign w:val="bottom"/>
          </w:tcPr>
          <w:p>
            <w:pPr>
              <w:spacing w:after="0"/>
              <w:rPr>
                <w:sz w:val="1"/>
                <w:szCs w:val="1"/>
                <w:color w:val="auto"/>
              </w:rPr>
            </w:pPr>
          </w:p>
        </w:tc>
      </w:tr>
      <w:tr>
        <w:trPr>
          <w:trHeight w:val="137"/>
        </w:trPr>
        <w:tc>
          <w:tcPr>
            <w:tcW w:w="6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48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12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6280" w:type="dxa"/>
            <w:vAlign w:val="bottom"/>
          </w:tcPr>
          <w:p>
            <w:pPr>
              <w:spacing w:after="0"/>
              <w:rPr>
                <w:sz w:val="24"/>
                <w:szCs w:val="24"/>
                <w:color w:val="auto"/>
              </w:rPr>
            </w:pPr>
          </w:p>
        </w:tc>
        <w:tc>
          <w:tcPr>
            <w:tcW w:w="1680" w:type="dxa"/>
            <w:vAlign w:val="bottom"/>
            <w:gridSpan w:val="2"/>
          </w:tcPr>
          <w:p>
            <w:pPr>
              <w:jc w:val="right"/>
              <w:ind w:right="332"/>
              <w:spacing w:after="0"/>
              <w:rPr>
                <w:sz w:val="20"/>
                <w:szCs w:val="20"/>
                <w:color w:val="auto"/>
              </w:rPr>
            </w:pPr>
            <w:r>
              <w:rPr>
                <w:rFonts w:ascii="Arial" w:cs="Arial" w:eastAsia="Arial" w:hAnsi="Arial"/>
                <w:sz w:val="18"/>
                <w:szCs w:val="18"/>
                <w:b w:val="1"/>
                <w:bCs w:val="1"/>
                <w:color w:val="auto"/>
              </w:rPr>
              <w:t>2003</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jc w:val="right"/>
              <w:ind w:right="472"/>
              <w:spacing w:after="0"/>
              <w:rPr>
                <w:sz w:val="20"/>
                <w:szCs w:val="20"/>
                <w:color w:val="auto"/>
              </w:rPr>
            </w:pPr>
            <w:r>
              <w:rPr>
                <w:rFonts w:ascii="Arial" w:cs="Arial" w:eastAsia="Arial" w:hAnsi="Arial"/>
                <w:sz w:val="18"/>
                <w:szCs w:val="18"/>
                <w:b w:val="1"/>
                <w:bCs w:val="1"/>
                <w:color w:val="auto"/>
              </w:rPr>
              <w:t>2002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center"/>
              <w:ind w:right="312"/>
              <w:spacing w:after="0"/>
              <w:rPr>
                <w:sz w:val="20"/>
                <w:szCs w:val="20"/>
                <w:color w:val="auto"/>
              </w:rPr>
            </w:pPr>
            <w:r>
              <w:rPr>
                <w:rFonts w:ascii="Arial" w:cs="Arial" w:eastAsia="Arial" w:hAnsi="Arial"/>
                <w:sz w:val="18"/>
                <w:szCs w:val="18"/>
                <w:b w:val="1"/>
                <w:bCs w:val="1"/>
                <w:color w:val="auto"/>
                <w:w w:val="84"/>
              </w:rPr>
              <w:t>2001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60" w:type="dxa"/>
            <w:vAlign w:val="bottom"/>
            <w:gridSpan w:val="3"/>
          </w:tcPr>
          <w:p>
            <w:pPr>
              <w:jc w:val="right"/>
              <w:ind w:right="440"/>
              <w:spacing w:after="0"/>
              <w:rPr>
                <w:sz w:val="20"/>
                <w:szCs w:val="20"/>
                <w:color w:val="auto"/>
              </w:rPr>
            </w:pPr>
            <w:r>
              <w:rPr>
                <w:rFonts w:ascii="Arial" w:cs="Arial" w:eastAsia="Arial" w:hAnsi="Arial"/>
                <w:sz w:val="18"/>
                <w:szCs w:val="18"/>
                <w:color w:val="auto"/>
              </w:rPr>
              <w:t>US$(000)</w:t>
            </w:r>
          </w:p>
        </w:tc>
        <w:tc>
          <w:tcPr>
            <w:tcW w:w="40" w:type="dxa"/>
            <w:vAlign w:val="bottom"/>
          </w:tcPr>
          <w:p>
            <w:pPr>
              <w:spacing w:after="0"/>
              <w:rPr>
                <w:sz w:val="21"/>
                <w:szCs w:val="21"/>
                <w:color w:val="auto"/>
              </w:rPr>
            </w:pPr>
          </w:p>
        </w:tc>
        <w:tc>
          <w:tcPr>
            <w:tcW w:w="1940" w:type="dxa"/>
            <w:vAlign w:val="bottom"/>
            <w:gridSpan w:val="5"/>
          </w:tcPr>
          <w:p>
            <w:pPr>
              <w:jc w:val="center"/>
              <w:ind w:right="400"/>
              <w:spacing w:after="0"/>
              <w:rPr>
                <w:sz w:val="20"/>
                <w:szCs w:val="20"/>
                <w:color w:val="auto"/>
              </w:rPr>
            </w:pPr>
            <w:r>
              <w:rPr>
                <w:rFonts w:ascii="Arial" w:cs="Arial" w:eastAsia="Arial" w:hAnsi="Arial"/>
                <w:sz w:val="18"/>
                <w:szCs w:val="18"/>
                <w:color w:val="auto"/>
                <w:w w:val="90"/>
              </w:rPr>
              <w:t>US$(000)</w:t>
            </w:r>
          </w:p>
        </w:tc>
        <w:tc>
          <w:tcPr>
            <w:tcW w:w="1280" w:type="dxa"/>
            <w:vAlign w:val="bottom"/>
            <w:gridSpan w:val="2"/>
          </w:tcPr>
          <w:p>
            <w:pPr>
              <w:ind w:left="10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486"/>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Net income in accordance with U.S.GAAP</w:t>
            </w:r>
          </w:p>
        </w:tc>
        <w:tc>
          <w:tcPr>
            <w:tcW w:w="1880" w:type="dxa"/>
            <w:vAlign w:val="bottom"/>
            <w:gridSpan w:val="4"/>
          </w:tcPr>
          <w:p>
            <w:pPr>
              <w:jc w:val="right"/>
              <w:ind w:right="40"/>
              <w:spacing w:after="0"/>
              <w:rPr>
                <w:sz w:val="20"/>
                <w:szCs w:val="20"/>
                <w:color w:val="auto"/>
              </w:rPr>
            </w:pPr>
            <w:r>
              <w:rPr>
                <w:rFonts w:ascii="Arial" w:cs="Arial" w:eastAsia="Arial" w:hAnsi="Arial"/>
                <w:sz w:val="18"/>
                <w:szCs w:val="18"/>
                <w:color w:val="auto"/>
              </w:rPr>
              <w:t>84,830</w:t>
            </w:r>
          </w:p>
        </w:tc>
        <w:tc>
          <w:tcPr>
            <w:tcW w:w="1600" w:type="dxa"/>
            <w:vAlign w:val="bottom"/>
            <w:gridSpan w:val="4"/>
          </w:tcPr>
          <w:p>
            <w:pPr>
              <w:jc w:val="right"/>
              <w:ind w:right="40"/>
              <w:spacing w:after="0"/>
              <w:rPr>
                <w:sz w:val="20"/>
                <w:szCs w:val="20"/>
                <w:color w:val="auto"/>
              </w:rPr>
            </w:pPr>
            <w:r>
              <w:rPr>
                <w:rFonts w:ascii="Arial" w:cs="Arial" w:eastAsia="Arial" w:hAnsi="Arial"/>
                <w:sz w:val="18"/>
                <w:szCs w:val="18"/>
                <w:color w:val="auto"/>
              </w:rPr>
              <w:t>45,416</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55,851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280" w:type="dxa"/>
            <w:vAlign w:val="bottom"/>
          </w:tcPr>
          <w:p>
            <w:pPr>
              <w:ind w:left="40"/>
              <w:spacing w:after="0"/>
              <w:rPr>
                <w:sz w:val="20"/>
                <w:szCs w:val="20"/>
                <w:color w:val="auto"/>
              </w:rPr>
            </w:pPr>
            <w:r>
              <w:rPr>
                <w:rFonts w:ascii="Arial" w:cs="Arial" w:eastAsia="Arial" w:hAnsi="Arial"/>
                <w:sz w:val="18"/>
                <w:szCs w:val="18"/>
                <w:color w:val="auto"/>
                <w:w w:val="95"/>
              </w:rPr>
              <w:t>Unrealized (losses) gains arising during the period, net of tax and minority interest</w:t>
            </w:r>
          </w:p>
        </w:tc>
        <w:tc>
          <w:tcPr>
            <w:tcW w:w="1880" w:type="dxa"/>
            <w:vAlign w:val="bottom"/>
            <w:gridSpan w:val="4"/>
          </w:tcPr>
          <w:p>
            <w:pPr>
              <w:jc w:val="right"/>
              <w:ind w:right="40"/>
              <w:spacing w:after="0"/>
              <w:rPr>
                <w:sz w:val="20"/>
                <w:szCs w:val="20"/>
                <w:color w:val="auto"/>
              </w:rPr>
            </w:pPr>
            <w:r>
              <w:rPr>
                <w:rFonts w:ascii="Arial" w:cs="Arial" w:eastAsia="Arial" w:hAnsi="Arial"/>
                <w:sz w:val="18"/>
                <w:szCs w:val="18"/>
                <w:color w:val="auto"/>
              </w:rPr>
              <w:t>18,844</w:t>
            </w:r>
          </w:p>
        </w:tc>
        <w:tc>
          <w:tcPr>
            <w:tcW w:w="1600" w:type="dxa"/>
            <w:vAlign w:val="bottom"/>
            <w:gridSpan w:val="4"/>
          </w:tcPr>
          <w:p>
            <w:pPr>
              <w:jc w:val="right"/>
              <w:spacing w:after="0"/>
              <w:rPr>
                <w:sz w:val="20"/>
                <w:szCs w:val="20"/>
                <w:color w:val="auto"/>
              </w:rPr>
            </w:pPr>
            <w:r>
              <w:rPr>
                <w:rFonts w:ascii="Arial" w:cs="Arial" w:eastAsia="Arial" w:hAnsi="Arial"/>
                <w:sz w:val="18"/>
                <w:szCs w:val="18"/>
                <w:color w:val="auto"/>
              </w:rPr>
              <w:t>(14,444)</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(3,096)</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Transfer of realized losses (gains) to net income</w:t>
            </w:r>
          </w:p>
        </w:tc>
        <w:tc>
          <w:tcPr>
            <w:tcW w:w="1880" w:type="dxa"/>
            <w:vAlign w:val="bottom"/>
            <w:gridSpan w:val="4"/>
          </w:tcPr>
          <w:p>
            <w:pPr>
              <w:jc w:val="right"/>
              <w:ind w:right="40"/>
              <w:spacing w:after="0"/>
              <w:rPr>
                <w:sz w:val="20"/>
                <w:szCs w:val="20"/>
                <w:color w:val="auto"/>
              </w:rPr>
            </w:pPr>
            <w:r>
              <w:rPr>
                <w:rFonts w:ascii="Arial" w:cs="Arial" w:eastAsia="Arial" w:hAnsi="Arial"/>
                <w:sz w:val="18"/>
                <w:szCs w:val="18"/>
                <w:color w:val="auto"/>
              </w:rPr>
              <w:t>11,401</w:t>
            </w:r>
          </w:p>
        </w:tc>
        <w:tc>
          <w:tcPr>
            <w:tcW w:w="1600" w:type="dxa"/>
            <w:vAlign w:val="bottom"/>
            <w:gridSpan w:val="4"/>
          </w:tcPr>
          <w:p>
            <w:pPr>
              <w:jc w:val="right"/>
              <w:ind w:right="40"/>
              <w:spacing w:after="0"/>
              <w:rPr>
                <w:sz w:val="20"/>
                <w:szCs w:val="20"/>
                <w:color w:val="auto"/>
              </w:rPr>
            </w:pPr>
            <w:r>
              <w:rPr>
                <w:rFonts w:ascii="Arial" w:cs="Arial" w:eastAsia="Arial" w:hAnsi="Arial"/>
                <w:sz w:val="18"/>
                <w:szCs w:val="18"/>
                <w:color w:val="auto"/>
              </w:rPr>
              <w:t>12,167</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(8,583)</w:t>
            </w:r>
          </w:p>
        </w:tc>
        <w:tc>
          <w:tcPr>
            <w:tcW w:w="0" w:type="dxa"/>
            <w:vAlign w:val="bottom"/>
          </w:tcPr>
          <w:p>
            <w:pPr>
              <w:spacing w:after="0"/>
              <w:rPr>
                <w:sz w:val="1"/>
                <w:szCs w:val="1"/>
                <w:color w:val="auto"/>
              </w:rPr>
            </w:pPr>
          </w:p>
        </w:tc>
      </w:tr>
      <w:tr>
        <w:trPr>
          <w:trHeight w:val="137"/>
        </w:trPr>
        <w:tc>
          <w:tcPr>
            <w:tcW w:w="6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60" w:type="dxa"/>
            <w:vAlign w:val="bottom"/>
            <w:tcBorders>
              <w:bottom w:val="single" w:sz="8" w:color="9A9A9A"/>
            </w:tcBorders>
            <w:gridSpan w:val="3"/>
          </w:tcPr>
          <w:p>
            <w:pPr>
              <w:spacing w:after="0"/>
              <w:rPr>
                <w:sz w:val="11"/>
                <w:szCs w:val="11"/>
                <w:color w:val="auto"/>
              </w:rPr>
            </w:pPr>
          </w:p>
        </w:tc>
        <w:tc>
          <w:tcPr>
            <w:tcW w:w="40" w:type="dxa"/>
            <w:vAlign w:val="bottom"/>
          </w:tcPr>
          <w:p>
            <w:pPr>
              <w:spacing w:after="0"/>
              <w:rPr>
                <w:sz w:val="11"/>
                <w:szCs w:val="11"/>
                <w:color w:val="auto"/>
              </w:rPr>
            </w:pPr>
          </w:p>
        </w:tc>
        <w:tc>
          <w:tcPr>
            <w:tcW w:w="1560" w:type="dxa"/>
            <w:vAlign w:val="bottom"/>
            <w:tcBorders>
              <w:bottom w:val="single" w:sz="8" w:color="9A9A9A"/>
            </w:tcBorders>
            <w:gridSpan w:val="3"/>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12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6280" w:type="dxa"/>
            <w:vAlign w:val="bottom"/>
          </w:tcPr>
          <w:p>
            <w:pPr>
              <w:ind w:left="40"/>
              <w:spacing w:after="0"/>
              <w:rPr>
                <w:sz w:val="20"/>
                <w:szCs w:val="20"/>
                <w:color w:val="auto"/>
              </w:rPr>
            </w:pPr>
            <w:r>
              <w:rPr>
                <w:rFonts w:ascii="Arial" w:cs="Arial" w:eastAsia="Arial" w:hAnsi="Arial"/>
                <w:sz w:val="18"/>
                <w:szCs w:val="18"/>
                <w:color w:val="auto"/>
              </w:rPr>
              <w:t>Other comprehensive (loss) income</w:t>
            </w:r>
          </w:p>
        </w:tc>
        <w:tc>
          <w:tcPr>
            <w:tcW w:w="1880" w:type="dxa"/>
            <w:vAlign w:val="bottom"/>
            <w:gridSpan w:val="4"/>
          </w:tcPr>
          <w:p>
            <w:pPr>
              <w:jc w:val="right"/>
              <w:ind w:right="40"/>
              <w:spacing w:after="0"/>
              <w:rPr>
                <w:sz w:val="20"/>
                <w:szCs w:val="20"/>
                <w:color w:val="auto"/>
              </w:rPr>
            </w:pPr>
            <w:r>
              <w:rPr>
                <w:rFonts w:ascii="Arial" w:cs="Arial" w:eastAsia="Arial" w:hAnsi="Arial"/>
                <w:sz w:val="18"/>
                <w:szCs w:val="18"/>
                <w:color w:val="auto"/>
              </w:rPr>
              <w:t>30,245</w:t>
            </w:r>
          </w:p>
        </w:tc>
        <w:tc>
          <w:tcPr>
            <w:tcW w:w="1600" w:type="dxa"/>
            <w:vAlign w:val="bottom"/>
            <w:gridSpan w:val="4"/>
          </w:tcPr>
          <w:p>
            <w:pPr>
              <w:jc w:val="right"/>
              <w:spacing w:after="0"/>
              <w:rPr>
                <w:sz w:val="20"/>
                <w:szCs w:val="20"/>
                <w:color w:val="auto"/>
              </w:rPr>
            </w:pPr>
            <w:r>
              <w:rPr>
                <w:rFonts w:ascii="Arial" w:cs="Arial" w:eastAsia="Arial" w:hAnsi="Arial"/>
                <w:sz w:val="18"/>
                <w:szCs w:val="18"/>
                <w:color w:val="auto"/>
              </w:rPr>
              <w:t>(2,277)</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(11,679)</w:t>
            </w:r>
          </w:p>
        </w:tc>
        <w:tc>
          <w:tcPr>
            <w:tcW w:w="0" w:type="dxa"/>
            <w:vAlign w:val="bottom"/>
          </w:tcPr>
          <w:p>
            <w:pPr>
              <w:spacing w:after="0"/>
              <w:rPr>
                <w:sz w:val="1"/>
                <w:szCs w:val="1"/>
                <w:color w:val="auto"/>
              </w:rPr>
            </w:pPr>
          </w:p>
        </w:tc>
      </w:tr>
      <w:tr>
        <w:trPr>
          <w:trHeight w:val="137"/>
        </w:trPr>
        <w:tc>
          <w:tcPr>
            <w:tcW w:w="62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320" w:type="dxa"/>
            <w:vAlign w:val="bottom"/>
          </w:tcPr>
          <w:p>
            <w:pPr>
              <w:spacing w:after="0"/>
              <w:rPr>
                <w:sz w:val="11"/>
                <w:szCs w:val="11"/>
                <w:color w:val="auto"/>
              </w:rPr>
            </w:pPr>
          </w:p>
        </w:tc>
        <w:tc>
          <w:tcPr>
            <w:tcW w:w="1560" w:type="dxa"/>
            <w:vAlign w:val="bottom"/>
            <w:tcBorders>
              <w:bottom w:val="single" w:sz="8" w:color="9A9A9A"/>
            </w:tcBorders>
            <w:gridSpan w:val="3"/>
          </w:tcPr>
          <w:p>
            <w:pPr>
              <w:spacing w:after="0"/>
              <w:rPr>
                <w:sz w:val="11"/>
                <w:szCs w:val="11"/>
                <w:color w:val="auto"/>
              </w:rPr>
            </w:pPr>
          </w:p>
        </w:tc>
        <w:tc>
          <w:tcPr>
            <w:tcW w:w="40" w:type="dxa"/>
            <w:vAlign w:val="bottom"/>
          </w:tcPr>
          <w:p>
            <w:pPr>
              <w:spacing w:after="0"/>
              <w:rPr>
                <w:sz w:val="11"/>
                <w:szCs w:val="11"/>
                <w:color w:val="auto"/>
              </w:rPr>
            </w:pPr>
          </w:p>
        </w:tc>
        <w:tc>
          <w:tcPr>
            <w:tcW w:w="1560" w:type="dxa"/>
            <w:vAlign w:val="bottom"/>
            <w:tcBorders>
              <w:bottom w:val="single" w:sz="8" w:color="9A9A9A"/>
            </w:tcBorders>
            <w:gridSpan w:val="3"/>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12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99"/>
        </w:trPr>
        <w:tc>
          <w:tcPr>
            <w:tcW w:w="6280" w:type="dxa"/>
            <w:vAlign w:val="bottom"/>
            <w:vMerge w:val="continue"/>
          </w:tcPr>
          <w:p>
            <w:pPr>
              <w:spacing w:after="0"/>
              <w:rPr>
                <w:sz w:val="24"/>
                <w:szCs w:val="24"/>
                <w:color w:val="auto"/>
              </w:rPr>
            </w:pPr>
          </w:p>
        </w:tc>
        <w:tc>
          <w:tcPr>
            <w:tcW w:w="1880" w:type="dxa"/>
            <w:vAlign w:val="bottom"/>
            <w:gridSpan w:val="4"/>
          </w:tcPr>
          <w:p>
            <w:pPr>
              <w:jc w:val="right"/>
              <w:ind w:right="40"/>
              <w:spacing w:after="0"/>
              <w:rPr>
                <w:sz w:val="20"/>
                <w:szCs w:val="20"/>
                <w:color w:val="auto"/>
              </w:rPr>
            </w:pPr>
            <w:r>
              <w:rPr>
                <w:rFonts w:ascii="Arial" w:cs="Arial" w:eastAsia="Arial" w:hAnsi="Arial"/>
                <w:sz w:val="18"/>
                <w:szCs w:val="18"/>
                <w:color w:val="auto"/>
              </w:rPr>
              <w:t>115,075</w:t>
            </w:r>
          </w:p>
        </w:tc>
        <w:tc>
          <w:tcPr>
            <w:tcW w:w="1600" w:type="dxa"/>
            <w:vAlign w:val="bottom"/>
            <w:gridSpan w:val="4"/>
          </w:tcPr>
          <w:p>
            <w:pPr>
              <w:jc w:val="right"/>
              <w:ind w:right="40"/>
              <w:spacing w:after="0"/>
              <w:rPr>
                <w:sz w:val="20"/>
                <w:szCs w:val="20"/>
                <w:color w:val="auto"/>
              </w:rPr>
            </w:pPr>
            <w:r>
              <w:rPr>
                <w:rFonts w:ascii="Arial" w:cs="Arial" w:eastAsia="Arial" w:hAnsi="Arial"/>
                <w:sz w:val="18"/>
                <w:szCs w:val="18"/>
                <w:color w:val="auto"/>
              </w:rPr>
              <w:t>43,139</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44,172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6280" w:type="dxa"/>
            <w:vAlign w:val="bottom"/>
            <w:vMerge w:val="restart"/>
          </w:tcPr>
          <w:p>
            <w:pPr>
              <w:spacing w:after="0"/>
              <w:rPr>
                <w:sz w:val="20"/>
                <w:szCs w:val="20"/>
                <w:color w:val="auto"/>
              </w:rPr>
            </w:pPr>
            <w:r>
              <w:rPr>
                <w:rFonts w:ascii="Arial" w:cs="Arial" w:eastAsia="Arial" w:hAnsi="Arial"/>
                <w:sz w:val="18"/>
                <w:szCs w:val="18"/>
                <w:color w:val="auto"/>
              </w:rPr>
              <w:t>Cumulative other comprehensive income (loss) is as follows:</w:t>
            </w:r>
          </w:p>
        </w:tc>
        <w:tc>
          <w:tcPr>
            <w:tcW w:w="320" w:type="dxa"/>
            <w:vAlign w:val="bottom"/>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62"/>
        </w:trPr>
        <w:tc>
          <w:tcPr>
            <w:tcW w:w="62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40" w:type="dxa"/>
            <w:vAlign w:val="bottom"/>
            <w:gridSpan w:val="9"/>
          </w:tcPr>
          <w:p>
            <w:pPr>
              <w:jc w:val="center"/>
              <w:ind w:left="852"/>
              <w:spacing w:after="0"/>
              <w:rPr>
                <w:sz w:val="20"/>
                <w:szCs w:val="20"/>
                <w:color w:val="auto"/>
              </w:rPr>
            </w:pPr>
            <w:r>
              <w:rPr>
                <w:rFonts w:ascii="Arial" w:cs="Arial" w:eastAsia="Arial" w:hAnsi="Arial"/>
                <w:sz w:val="18"/>
                <w:szCs w:val="18"/>
                <w:b w:val="1"/>
                <w:bCs w:val="1"/>
                <w:color w:val="auto"/>
                <w:w w:val="87"/>
              </w:rPr>
              <w:t>For the year ended December 31,</w:t>
            </w: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6280" w:type="dxa"/>
            <w:vAlign w:val="bottom"/>
          </w:tcPr>
          <w:p>
            <w:pPr>
              <w:spacing w:after="0"/>
              <w:rPr>
                <w:sz w:val="11"/>
                <w:szCs w:val="11"/>
                <w:color w:val="auto"/>
              </w:rPr>
            </w:pPr>
          </w:p>
        </w:tc>
        <w:tc>
          <w:tcPr>
            <w:tcW w:w="1680" w:type="dxa"/>
            <w:vAlign w:val="bottom"/>
            <w:tcBorders>
              <w:bottom w:val="single" w:sz="8" w:color="9A9A9A"/>
            </w:tcBorders>
            <w:gridSpan w:val="2"/>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520" w:type="dxa"/>
            <w:vAlign w:val="bottom"/>
            <w:tcBorders>
              <w:bottom w:val="single" w:sz="8" w:color="9A9A9A"/>
            </w:tcBorders>
            <w:gridSpan w:val="2"/>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12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6280" w:type="dxa"/>
            <w:vAlign w:val="bottom"/>
          </w:tcPr>
          <w:p>
            <w:pPr>
              <w:spacing w:after="0"/>
              <w:rPr>
                <w:sz w:val="24"/>
                <w:szCs w:val="24"/>
                <w:color w:val="auto"/>
              </w:rPr>
            </w:pPr>
          </w:p>
        </w:tc>
        <w:tc>
          <w:tcPr>
            <w:tcW w:w="1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2003</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jc w:val="center"/>
              <w:ind w:right="132"/>
              <w:spacing w:after="0"/>
              <w:rPr>
                <w:sz w:val="20"/>
                <w:szCs w:val="20"/>
                <w:color w:val="auto"/>
              </w:rPr>
            </w:pPr>
            <w:r>
              <w:rPr>
                <w:rFonts w:ascii="Arial" w:cs="Arial" w:eastAsia="Arial" w:hAnsi="Arial"/>
                <w:sz w:val="18"/>
                <w:szCs w:val="18"/>
                <w:b w:val="1"/>
                <w:bCs w:val="1"/>
                <w:color w:val="auto"/>
                <w:w w:val="84"/>
              </w:rPr>
              <w:t>2002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center"/>
              <w:ind w:right="392"/>
              <w:spacing w:after="0"/>
              <w:rPr>
                <w:sz w:val="20"/>
                <w:szCs w:val="20"/>
                <w:color w:val="auto"/>
              </w:rPr>
            </w:pPr>
            <w:r>
              <w:rPr>
                <w:rFonts w:ascii="Arial" w:cs="Arial" w:eastAsia="Arial" w:hAnsi="Arial"/>
                <w:sz w:val="18"/>
                <w:szCs w:val="18"/>
                <w:b w:val="1"/>
                <w:bCs w:val="1"/>
                <w:color w:val="auto"/>
                <w:w w:val="84"/>
              </w:rPr>
              <w:t>2001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60" w:type="dxa"/>
            <w:vAlign w:val="bottom"/>
            <w:gridSpan w:val="3"/>
          </w:tcPr>
          <w:p>
            <w:pPr>
              <w:jc w:val="center"/>
              <w:ind w:right="520"/>
              <w:spacing w:after="0"/>
              <w:rPr>
                <w:sz w:val="20"/>
                <w:szCs w:val="20"/>
                <w:color w:val="auto"/>
              </w:rPr>
            </w:pPr>
            <w:r>
              <w:rPr>
                <w:rFonts w:ascii="Arial" w:cs="Arial" w:eastAsia="Arial" w:hAnsi="Arial"/>
                <w:sz w:val="18"/>
                <w:szCs w:val="18"/>
                <w:color w:val="auto"/>
                <w:w w:val="88"/>
              </w:rPr>
              <w:t>US$(000)</w:t>
            </w:r>
          </w:p>
        </w:tc>
        <w:tc>
          <w:tcPr>
            <w:tcW w:w="40" w:type="dxa"/>
            <w:vAlign w:val="bottom"/>
          </w:tcPr>
          <w:p>
            <w:pPr>
              <w:spacing w:after="0"/>
              <w:rPr>
                <w:sz w:val="21"/>
                <w:szCs w:val="21"/>
                <w:color w:val="auto"/>
              </w:rPr>
            </w:pPr>
          </w:p>
        </w:tc>
        <w:tc>
          <w:tcPr>
            <w:tcW w:w="1940" w:type="dxa"/>
            <w:vAlign w:val="bottom"/>
            <w:gridSpan w:val="5"/>
          </w:tcPr>
          <w:p>
            <w:pPr>
              <w:jc w:val="center"/>
              <w:ind w:right="680"/>
              <w:spacing w:after="0"/>
              <w:rPr>
                <w:sz w:val="20"/>
                <w:szCs w:val="20"/>
                <w:color w:val="auto"/>
              </w:rPr>
            </w:pPr>
            <w:r>
              <w:rPr>
                <w:rFonts w:ascii="Arial" w:cs="Arial" w:eastAsia="Arial" w:hAnsi="Arial"/>
                <w:sz w:val="18"/>
                <w:szCs w:val="18"/>
                <w:color w:val="auto"/>
                <w:w w:val="90"/>
              </w:rPr>
              <w:t>US$(000)</w:t>
            </w:r>
          </w:p>
        </w:tc>
        <w:tc>
          <w:tcPr>
            <w:tcW w:w="1280" w:type="dxa"/>
            <w:vAlign w:val="bottom"/>
            <w:gridSpan w:val="2"/>
          </w:tcPr>
          <w:p>
            <w:pPr>
              <w:jc w:val="center"/>
              <w:ind w:right="460"/>
              <w:spacing w:after="0"/>
              <w:rPr>
                <w:sz w:val="20"/>
                <w:szCs w:val="20"/>
                <w:color w:val="auto"/>
              </w:rPr>
            </w:pPr>
            <w:r>
              <w:rPr>
                <w:rFonts w:ascii="Arial" w:cs="Arial" w:eastAsia="Arial" w:hAnsi="Arial"/>
                <w:sz w:val="18"/>
                <w:szCs w:val="18"/>
                <w:color w:val="auto"/>
                <w:w w:val="90"/>
              </w:rPr>
              <w:t>US$(000)</w:t>
            </w:r>
          </w:p>
        </w:tc>
        <w:tc>
          <w:tcPr>
            <w:tcW w:w="0" w:type="dxa"/>
            <w:vAlign w:val="bottom"/>
          </w:tcPr>
          <w:p>
            <w:pPr>
              <w:spacing w:after="0"/>
              <w:rPr>
                <w:sz w:val="1"/>
                <w:szCs w:val="1"/>
                <w:color w:val="auto"/>
              </w:rPr>
            </w:pPr>
          </w:p>
        </w:tc>
      </w:tr>
      <w:tr>
        <w:trPr>
          <w:trHeight w:val="486"/>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Beginning balance</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(9,495)</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3"/>
          </w:tcPr>
          <w:p>
            <w:pPr>
              <w:jc w:val="right"/>
              <w:ind w:right="20"/>
              <w:spacing w:after="0"/>
              <w:rPr>
                <w:sz w:val="20"/>
                <w:szCs w:val="20"/>
                <w:color w:val="auto"/>
              </w:rPr>
            </w:pPr>
            <w:r>
              <w:rPr>
                <w:rFonts w:ascii="Arial" w:cs="Arial" w:eastAsia="Arial" w:hAnsi="Arial"/>
                <w:sz w:val="18"/>
                <w:szCs w:val="18"/>
                <w:color w:val="auto"/>
              </w:rPr>
              <w:t>(7,218)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4,461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Current period changes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30,245</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gridSpan w:val="3"/>
          </w:tcPr>
          <w:p>
            <w:pPr>
              <w:jc w:val="right"/>
              <w:ind w:right="20"/>
              <w:spacing w:after="0"/>
              <w:rPr>
                <w:sz w:val="20"/>
                <w:szCs w:val="20"/>
                <w:color w:val="auto"/>
              </w:rPr>
            </w:pPr>
            <w:r>
              <w:rPr>
                <w:rFonts w:ascii="Arial" w:cs="Arial" w:eastAsia="Arial" w:hAnsi="Arial"/>
                <w:sz w:val="18"/>
                <w:szCs w:val="18"/>
                <w:color w:val="auto"/>
              </w:rPr>
              <w:t>(2,277)</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(11,679)</w:t>
            </w:r>
          </w:p>
        </w:tc>
        <w:tc>
          <w:tcPr>
            <w:tcW w:w="0" w:type="dxa"/>
            <w:vAlign w:val="bottom"/>
          </w:tcPr>
          <w:p>
            <w:pPr>
              <w:spacing w:after="0"/>
              <w:rPr>
                <w:sz w:val="1"/>
                <w:szCs w:val="1"/>
                <w:color w:val="auto"/>
              </w:rPr>
            </w:pPr>
          </w:p>
        </w:tc>
      </w:tr>
      <w:tr>
        <w:trPr>
          <w:trHeight w:val="137"/>
        </w:trPr>
        <w:tc>
          <w:tcPr>
            <w:tcW w:w="62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Ending balance</w:t>
            </w:r>
          </w:p>
        </w:tc>
        <w:tc>
          <w:tcPr>
            <w:tcW w:w="1680" w:type="dxa"/>
            <w:vAlign w:val="bottom"/>
            <w:tcBorders>
              <w:bottom w:val="single" w:sz="8" w:color="9A9A9A"/>
            </w:tcBorders>
            <w:gridSpan w:val="2"/>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520" w:type="dxa"/>
            <w:vAlign w:val="bottom"/>
            <w:tcBorders>
              <w:bottom w:val="single" w:sz="8" w:color="9A9A9A"/>
            </w:tcBorders>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12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99"/>
        </w:trPr>
        <w:tc>
          <w:tcPr>
            <w:tcW w:w="6280" w:type="dxa"/>
            <w:vAlign w:val="bottom"/>
            <w:vMerge w:val="continue"/>
          </w:tcPr>
          <w:p>
            <w:pPr>
              <w:spacing w:after="0"/>
              <w:rPr>
                <w:sz w:val="24"/>
                <w:szCs w:val="24"/>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20,750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3"/>
          </w:tcPr>
          <w:p>
            <w:pPr>
              <w:jc w:val="right"/>
              <w:ind w:right="20"/>
              <w:spacing w:after="0"/>
              <w:rPr>
                <w:sz w:val="20"/>
                <w:szCs w:val="20"/>
                <w:color w:val="auto"/>
              </w:rPr>
            </w:pPr>
            <w:r>
              <w:rPr>
                <w:rFonts w:ascii="Arial" w:cs="Arial" w:eastAsia="Arial" w:hAnsi="Arial"/>
                <w:sz w:val="18"/>
                <w:szCs w:val="18"/>
                <w:color w:val="auto"/>
              </w:rPr>
              <w:t>(9,495)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(7,218)</w:t>
            </w:r>
          </w:p>
        </w:tc>
        <w:tc>
          <w:tcPr>
            <w:tcW w:w="0" w:type="dxa"/>
            <w:vAlign w:val="bottom"/>
          </w:tcPr>
          <w:p>
            <w:pPr>
              <w:spacing w:after="0"/>
              <w:rPr>
                <w:sz w:val="1"/>
                <w:szCs w:val="1"/>
                <w:color w:val="auto"/>
              </w:rPr>
            </w:pPr>
          </w:p>
        </w:tc>
      </w:tr>
      <w:tr>
        <w:trPr>
          <w:trHeight w:val="147"/>
        </w:trPr>
        <w:tc>
          <w:tcPr>
            <w:tcW w:w="6280" w:type="dxa"/>
            <w:vAlign w:val="bottom"/>
            <w:vMerge w:val="restart"/>
          </w:tcPr>
          <w:p>
            <w:pPr>
              <w:ind w:left="5540"/>
              <w:spacing w:after="0"/>
              <w:rPr>
                <w:sz w:val="20"/>
                <w:szCs w:val="20"/>
                <w:color w:val="auto"/>
              </w:rPr>
            </w:pPr>
            <w:r>
              <w:rPr>
                <w:rFonts w:ascii="Arial" w:cs="Arial" w:eastAsia="Arial" w:hAnsi="Arial"/>
                <w:sz w:val="18"/>
                <w:szCs w:val="18"/>
                <w:color w:val="auto"/>
              </w:rPr>
              <w:t>F-59</w:t>
            </w:r>
          </w:p>
        </w:tc>
        <w:tc>
          <w:tcPr>
            <w:tcW w:w="3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89"/>
        </w:trPr>
        <w:tc>
          <w:tcPr>
            <w:tcW w:w="62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62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-7687310</wp:posOffset>
            </wp:positionV>
            <wp:extent cx="34290" cy="34290"/>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-6280785</wp:posOffset>
            </wp:positionV>
            <wp:extent cx="34290" cy="34290"/>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-6280785</wp:posOffset>
            </wp:positionV>
            <wp:extent cx="34290" cy="34290"/>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3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-6280785</wp:posOffset>
            </wp:positionV>
            <wp:extent cx="34290" cy="34290"/>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-5955030</wp:posOffset>
            </wp:positionV>
            <wp:extent cx="34290" cy="34290"/>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-5955030</wp:posOffset>
            </wp:positionV>
            <wp:extent cx="34290" cy="34290"/>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-5955030</wp:posOffset>
            </wp:positionV>
            <wp:extent cx="34290" cy="34290"/>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-5457825</wp:posOffset>
            </wp:positionV>
            <wp:extent cx="12700" cy="8890"/>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-5457825</wp:posOffset>
            </wp:positionV>
            <wp:extent cx="12700" cy="8890"/>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-5457825</wp:posOffset>
            </wp:positionV>
            <wp:extent cx="12700" cy="8890"/>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-5457825</wp:posOffset>
            </wp:positionV>
            <wp:extent cx="12700" cy="8890"/>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-5457825</wp:posOffset>
            </wp:positionV>
            <wp:extent cx="12700" cy="8890"/>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-5457825</wp:posOffset>
            </wp:positionV>
            <wp:extent cx="12700" cy="8890"/>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-4719955</wp:posOffset>
            </wp:positionV>
            <wp:extent cx="34290" cy="34290"/>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5163820</wp:posOffset>
            </wp:positionH>
            <wp:positionV relativeFrom="paragraph">
              <wp:posOffset>-3468370</wp:posOffset>
            </wp:positionV>
            <wp:extent cx="34290" cy="34290"/>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6175375</wp:posOffset>
            </wp:positionH>
            <wp:positionV relativeFrom="paragraph">
              <wp:posOffset>-3468370</wp:posOffset>
            </wp:positionV>
            <wp:extent cx="34290" cy="34290"/>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-3468370</wp:posOffset>
            </wp:positionV>
            <wp:extent cx="34290" cy="34290"/>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5163820</wp:posOffset>
            </wp:positionH>
            <wp:positionV relativeFrom="paragraph">
              <wp:posOffset>-3141980</wp:posOffset>
            </wp:positionV>
            <wp:extent cx="34290" cy="34290"/>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6175375</wp:posOffset>
            </wp:positionH>
            <wp:positionV relativeFrom="paragraph">
              <wp:posOffset>-3141980</wp:posOffset>
            </wp:positionV>
            <wp:extent cx="34290" cy="34290"/>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-3141980</wp:posOffset>
            </wp:positionV>
            <wp:extent cx="34290" cy="34290"/>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-2644775</wp:posOffset>
            </wp:positionV>
            <wp:extent cx="12700" cy="8890"/>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-2644775</wp:posOffset>
            </wp:positionV>
            <wp:extent cx="12700" cy="8890"/>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-2644775</wp:posOffset>
            </wp:positionV>
            <wp:extent cx="12700" cy="8890"/>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-2644775</wp:posOffset>
            </wp:positionV>
            <wp:extent cx="12700" cy="8890"/>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-2644775</wp:posOffset>
            </wp:positionV>
            <wp:extent cx="12700" cy="8890"/>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-2644775</wp:posOffset>
            </wp:positionV>
            <wp:extent cx="12700" cy="8890"/>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-1907540</wp:posOffset>
            </wp:positionV>
            <wp:extent cx="34290" cy="34290"/>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-963930</wp:posOffset>
            </wp:positionV>
            <wp:extent cx="34290" cy="34290"/>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-963930</wp:posOffset>
            </wp:positionV>
            <wp:extent cx="34290" cy="34290"/>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-963930</wp:posOffset>
            </wp:positionV>
            <wp:extent cx="34290" cy="34290"/>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-466725</wp:posOffset>
            </wp:positionV>
            <wp:extent cx="12700" cy="8890"/>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-466725</wp:posOffset>
            </wp:positionV>
            <wp:extent cx="12700" cy="8890"/>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-466725</wp:posOffset>
            </wp:positionV>
            <wp:extent cx="12700" cy="8890"/>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-466725</wp:posOffset>
            </wp:positionV>
            <wp:extent cx="12700" cy="8890"/>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-466725</wp:posOffset>
            </wp:positionV>
            <wp:extent cx="12700" cy="8890"/>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-466725</wp:posOffset>
            </wp:positionV>
            <wp:extent cx="12700" cy="8890"/>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3">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color w:val="auto"/>
        </w:rPr>
        <w:t>(g) Commitments and guarantees -</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disclosures required for FIN 45 applicable to Credicorp’s operations are as follow: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to extend credit -</w:t>
      </w:r>
    </w:p>
    <w:p>
      <w:pPr>
        <w:spacing w:after="0" w:line="2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Commitments include consumer credit lines an other consumer that are cancelable upon notification to the consumer. In addition commitments to extend credit are legally binding and generally have fixed expiration dates or other termination clauses. The contractual amount represents the Company's exposure to credit loss, in the event of default by the borrower. The Group manages this credit risk by using the same credit policies it applies to loans. Collateral is obtained to commercial commitments based on management's credit assessment of the borrower. Since the Group expects many of the commitments to expire without being drawn, total commitment amounts do not necessarily represent the Group's future liquidity requirements. The contract or notional amounts of commitments to extend credit at December 31, 2003, were as follows: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240" w:type="dxa"/>
            <w:vAlign w:val="bottom"/>
          </w:tcPr>
          <w:p>
            <w:pPr>
              <w:spacing w:after="0"/>
              <w:rPr>
                <w:sz w:val="18"/>
                <w:szCs w:val="18"/>
                <w:color w:val="auto"/>
              </w:rPr>
            </w:pPr>
          </w:p>
        </w:tc>
        <w:tc>
          <w:tcPr>
            <w:tcW w:w="1680" w:type="dxa"/>
            <w:vAlign w:val="bottom"/>
          </w:tcPr>
          <w:p>
            <w:pPr>
              <w:jc w:val="right"/>
              <w:ind w:right="272"/>
              <w:spacing w:after="0"/>
              <w:rPr>
                <w:sz w:val="20"/>
                <w:szCs w:val="20"/>
                <w:color w:val="auto"/>
              </w:rPr>
            </w:pPr>
            <w:r>
              <w:rPr>
                <w:rFonts w:ascii="Arial" w:cs="Arial" w:eastAsia="Arial" w:hAnsi="Arial"/>
                <w:sz w:val="18"/>
                <w:szCs w:val="18"/>
                <w:b w:val="1"/>
                <w:bCs w:val="1"/>
                <w:color w:val="auto"/>
              </w:rPr>
              <w:t>Expire within</w:t>
            </w:r>
          </w:p>
        </w:tc>
        <w:tc>
          <w:tcPr>
            <w:tcW w:w="20" w:type="dxa"/>
            <w:vAlign w:val="bottom"/>
          </w:tcPr>
          <w:p>
            <w:pPr>
              <w:spacing w:after="0"/>
              <w:rPr>
                <w:sz w:val="18"/>
                <w:szCs w:val="18"/>
                <w:color w:val="auto"/>
              </w:rPr>
            </w:pPr>
          </w:p>
        </w:tc>
        <w:tc>
          <w:tcPr>
            <w:tcW w:w="1700" w:type="dxa"/>
            <w:vAlign w:val="bottom"/>
          </w:tcPr>
          <w:p>
            <w:pPr>
              <w:jc w:val="right"/>
              <w:ind w:right="332"/>
              <w:spacing w:after="0"/>
              <w:rPr>
                <w:sz w:val="20"/>
                <w:szCs w:val="20"/>
                <w:color w:val="auto"/>
              </w:rPr>
            </w:pPr>
            <w:r>
              <w:rPr>
                <w:rFonts w:ascii="Arial" w:cs="Arial" w:eastAsia="Arial" w:hAnsi="Arial"/>
                <w:sz w:val="18"/>
                <w:szCs w:val="18"/>
                <w:b w:val="1"/>
                <w:bCs w:val="1"/>
                <w:color w:val="auto"/>
              </w:rPr>
              <w:t>Expire after</w:t>
            </w:r>
          </w:p>
        </w:tc>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28"/>
        </w:trPr>
        <w:tc>
          <w:tcPr>
            <w:tcW w:w="6240" w:type="dxa"/>
            <w:vAlign w:val="bottom"/>
          </w:tcPr>
          <w:p>
            <w:pPr>
              <w:spacing w:after="0"/>
              <w:rPr>
                <w:sz w:val="19"/>
                <w:szCs w:val="19"/>
                <w:color w:val="auto"/>
              </w:rPr>
            </w:pPr>
          </w:p>
        </w:tc>
        <w:tc>
          <w:tcPr>
            <w:tcW w:w="1680" w:type="dxa"/>
            <w:vAlign w:val="bottom"/>
          </w:tcPr>
          <w:p>
            <w:pPr>
              <w:jc w:val="right"/>
              <w:ind w:right="512"/>
              <w:spacing w:after="0"/>
              <w:rPr>
                <w:sz w:val="20"/>
                <w:szCs w:val="20"/>
                <w:color w:val="auto"/>
              </w:rPr>
            </w:pPr>
            <w:r>
              <w:rPr>
                <w:rFonts w:ascii="Arial" w:cs="Arial" w:eastAsia="Arial" w:hAnsi="Arial"/>
                <w:sz w:val="18"/>
                <w:szCs w:val="18"/>
                <w:b w:val="1"/>
                <w:bCs w:val="1"/>
                <w:color w:val="auto"/>
              </w:rPr>
              <w:t>1 year</w:t>
            </w:r>
          </w:p>
        </w:tc>
        <w:tc>
          <w:tcPr>
            <w:tcW w:w="20" w:type="dxa"/>
            <w:vAlign w:val="bottom"/>
          </w:tcPr>
          <w:p>
            <w:pPr>
              <w:spacing w:after="0"/>
              <w:rPr>
                <w:sz w:val="19"/>
                <w:szCs w:val="19"/>
                <w:color w:val="auto"/>
              </w:rPr>
            </w:pPr>
          </w:p>
        </w:tc>
        <w:tc>
          <w:tcPr>
            <w:tcW w:w="1700" w:type="dxa"/>
            <w:vAlign w:val="bottom"/>
          </w:tcPr>
          <w:p>
            <w:pPr>
              <w:jc w:val="right"/>
              <w:ind w:right="532"/>
              <w:spacing w:after="0"/>
              <w:rPr>
                <w:sz w:val="20"/>
                <w:szCs w:val="20"/>
                <w:color w:val="auto"/>
              </w:rPr>
            </w:pPr>
            <w:r>
              <w:rPr>
                <w:rFonts w:ascii="Arial" w:cs="Arial" w:eastAsia="Arial" w:hAnsi="Arial"/>
                <w:sz w:val="18"/>
                <w:szCs w:val="18"/>
                <w:b w:val="1"/>
                <w:bCs w:val="1"/>
                <w:color w:val="auto"/>
              </w:rPr>
              <w:t>1 year</w:t>
            </w:r>
          </w:p>
        </w:tc>
        <w:tc>
          <w:tcPr>
            <w:tcW w:w="20" w:type="dxa"/>
            <w:vAlign w:val="bottom"/>
          </w:tcPr>
          <w:p>
            <w:pPr>
              <w:spacing w:after="0"/>
              <w:rPr>
                <w:sz w:val="19"/>
                <w:szCs w:val="19"/>
                <w:color w:val="auto"/>
              </w:rPr>
            </w:pPr>
          </w:p>
        </w:tc>
        <w:tc>
          <w:tcPr>
            <w:tcW w:w="1700" w:type="dxa"/>
            <w:vAlign w:val="bottom"/>
          </w:tcPr>
          <w:p>
            <w:pPr>
              <w:jc w:val="right"/>
              <w:ind w:right="592"/>
              <w:spacing w:after="0"/>
              <w:rPr>
                <w:sz w:val="20"/>
                <w:szCs w:val="20"/>
                <w:color w:val="auto"/>
              </w:rPr>
            </w:pPr>
            <w:r>
              <w:rPr>
                <w:rFonts w:ascii="Arial" w:cs="Arial" w:eastAsia="Arial" w:hAnsi="Arial"/>
                <w:sz w:val="18"/>
                <w:szCs w:val="18"/>
                <w:b w:val="1"/>
                <w:bCs w:val="1"/>
                <w:color w:val="auto"/>
              </w:rPr>
              <w:t>Total</w:t>
            </w:r>
          </w:p>
        </w:tc>
      </w:tr>
      <w:tr>
        <w:trPr>
          <w:trHeight w:val="243"/>
        </w:trPr>
        <w:tc>
          <w:tcPr>
            <w:tcW w:w="6240" w:type="dxa"/>
            <w:vAlign w:val="bottom"/>
          </w:tcPr>
          <w:p>
            <w:pPr>
              <w:spacing w:after="0"/>
              <w:rPr>
                <w:sz w:val="21"/>
                <w:szCs w:val="21"/>
                <w:color w:val="auto"/>
              </w:rPr>
            </w:pPr>
          </w:p>
        </w:tc>
        <w:tc>
          <w:tcPr>
            <w:tcW w:w="1680" w:type="dxa"/>
            <w:vAlign w:val="bottom"/>
          </w:tcPr>
          <w:p>
            <w:pPr>
              <w:jc w:val="right"/>
              <w:ind w:right="412"/>
              <w:spacing w:after="0"/>
              <w:rPr>
                <w:sz w:val="20"/>
                <w:szCs w:val="20"/>
                <w:color w:val="auto"/>
              </w:rPr>
            </w:pPr>
            <w:r>
              <w:rPr>
                <w:rFonts w:ascii="Arial" w:cs="Arial" w:eastAsia="Arial" w:hAnsi="Arial"/>
                <w:sz w:val="18"/>
                <w:szCs w:val="18"/>
                <w:color w:val="auto"/>
              </w:rPr>
              <w:t>US$(000)</w:t>
            </w:r>
          </w:p>
        </w:tc>
        <w:tc>
          <w:tcPr>
            <w:tcW w:w="20" w:type="dxa"/>
            <w:vAlign w:val="bottom"/>
          </w:tcPr>
          <w:p>
            <w:pPr>
              <w:spacing w:after="0"/>
              <w:rPr>
                <w:sz w:val="21"/>
                <w:szCs w:val="21"/>
                <w:color w:val="auto"/>
              </w:rPr>
            </w:pPr>
          </w:p>
        </w:tc>
        <w:tc>
          <w:tcPr>
            <w:tcW w:w="1700" w:type="dxa"/>
            <w:vAlign w:val="bottom"/>
          </w:tcPr>
          <w:p>
            <w:pPr>
              <w:jc w:val="right"/>
              <w:ind w:right="412"/>
              <w:spacing w:after="0"/>
              <w:rPr>
                <w:sz w:val="20"/>
                <w:szCs w:val="20"/>
                <w:color w:val="auto"/>
              </w:rPr>
            </w:pPr>
            <w:r>
              <w:rPr>
                <w:rFonts w:ascii="Arial" w:cs="Arial" w:eastAsia="Arial" w:hAnsi="Arial"/>
                <w:sz w:val="18"/>
                <w:szCs w:val="18"/>
                <w:color w:val="auto"/>
              </w:rPr>
              <w:t>US$(000)</w:t>
            </w:r>
          </w:p>
        </w:tc>
        <w:tc>
          <w:tcPr>
            <w:tcW w:w="20" w:type="dxa"/>
            <w:vAlign w:val="bottom"/>
          </w:tcPr>
          <w:p>
            <w:pPr>
              <w:spacing w:after="0"/>
              <w:rPr>
                <w:sz w:val="21"/>
                <w:szCs w:val="21"/>
                <w:color w:val="auto"/>
              </w:rPr>
            </w:pPr>
          </w:p>
        </w:tc>
        <w:tc>
          <w:tcPr>
            <w:tcW w:w="1700" w:type="dxa"/>
            <w:vAlign w:val="bottom"/>
          </w:tcPr>
          <w:p>
            <w:pPr>
              <w:jc w:val="right"/>
              <w:ind w:right="412"/>
              <w:spacing w:after="0"/>
              <w:rPr>
                <w:sz w:val="20"/>
                <w:szCs w:val="20"/>
                <w:color w:val="auto"/>
              </w:rPr>
            </w:pPr>
            <w:r>
              <w:rPr>
                <w:rFonts w:ascii="Arial" w:cs="Arial" w:eastAsia="Arial" w:hAnsi="Arial"/>
                <w:sz w:val="18"/>
                <w:szCs w:val="18"/>
                <w:color w:val="auto"/>
              </w:rPr>
              <w:t>US$(000)</w:t>
            </w:r>
          </w:p>
        </w:tc>
      </w:tr>
      <w:tr>
        <w:trPr>
          <w:trHeight w:val="486"/>
        </w:trPr>
        <w:tc>
          <w:tcPr>
            <w:tcW w:w="6240" w:type="dxa"/>
            <w:vAlign w:val="bottom"/>
          </w:tcPr>
          <w:p>
            <w:pPr>
              <w:spacing w:after="0"/>
              <w:rPr>
                <w:sz w:val="20"/>
                <w:szCs w:val="20"/>
                <w:color w:val="auto"/>
              </w:rPr>
            </w:pPr>
            <w:r>
              <w:rPr>
                <w:rFonts w:ascii="Arial" w:cs="Arial" w:eastAsia="Arial" w:hAnsi="Arial"/>
                <w:sz w:val="18"/>
                <w:szCs w:val="18"/>
                <w:color w:val="auto"/>
              </w:rPr>
              <w:t>Consumer credit cards</w:t>
            </w:r>
          </w:p>
        </w:tc>
        <w:tc>
          <w:tcPr>
            <w:tcW w:w="1680" w:type="dxa"/>
            <w:vAlign w:val="bottom"/>
          </w:tcPr>
          <w:p>
            <w:pPr>
              <w:jc w:val="right"/>
              <w:spacing w:after="0"/>
              <w:rPr>
                <w:sz w:val="20"/>
                <w:szCs w:val="20"/>
                <w:color w:val="auto"/>
              </w:rPr>
            </w:pPr>
            <w:r>
              <w:rPr>
                <w:rFonts w:ascii="Arial" w:cs="Arial" w:eastAsia="Arial" w:hAnsi="Arial"/>
                <w:sz w:val="18"/>
                <w:szCs w:val="18"/>
                <w:color w:val="auto"/>
              </w:rPr>
              <w:t>3,311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475,998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479,309</w:t>
            </w: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Commercial</w:t>
            </w:r>
          </w:p>
        </w:tc>
        <w:tc>
          <w:tcPr>
            <w:tcW w:w="1680" w:type="dxa"/>
            <w:vAlign w:val="bottom"/>
          </w:tcPr>
          <w:p>
            <w:pPr>
              <w:jc w:val="right"/>
              <w:spacing w:after="0"/>
              <w:rPr>
                <w:sz w:val="20"/>
                <w:szCs w:val="20"/>
                <w:color w:val="auto"/>
              </w:rPr>
            </w:pPr>
            <w:r>
              <w:rPr>
                <w:rFonts w:ascii="Arial" w:cs="Arial" w:eastAsia="Arial" w:hAnsi="Arial"/>
                <w:sz w:val="18"/>
                <w:szCs w:val="18"/>
                <w:color w:val="auto"/>
              </w:rPr>
              <w:t>22,094</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22,094</w:t>
            </w: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Other consumer</w:t>
            </w:r>
          </w:p>
        </w:tc>
        <w:tc>
          <w:tcPr>
            <w:tcW w:w="1680" w:type="dxa"/>
            <w:vAlign w:val="bottom"/>
          </w:tcPr>
          <w:p>
            <w:pPr>
              <w:jc w:val="right"/>
              <w:spacing w:after="0"/>
              <w:rPr>
                <w:sz w:val="20"/>
                <w:szCs w:val="20"/>
                <w:color w:val="auto"/>
              </w:rPr>
            </w:pPr>
            <w:r>
              <w:rPr>
                <w:rFonts w:ascii="Arial" w:cs="Arial" w:eastAsia="Arial" w:hAnsi="Arial"/>
                <w:sz w:val="18"/>
                <w:szCs w:val="18"/>
                <w:color w:val="auto"/>
              </w:rPr>
              <w:t>8,183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8,183</w:t>
            </w:r>
          </w:p>
        </w:tc>
      </w:tr>
      <w:tr>
        <w:trPr>
          <w:trHeight w:val="137"/>
        </w:trPr>
        <w:tc>
          <w:tcPr>
            <w:tcW w:w="62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r>
      <w:tr>
        <w:trPr>
          <w:trHeight w:val="356"/>
        </w:trPr>
        <w:tc>
          <w:tcPr>
            <w:tcW w:w="624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33,588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475,998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509,586</w:t>
            </w:r>
          </w:p>
        </w:tc>
      </w:tr>
      <w:tr>
        <w:trPr>
          <w:trHeight w:val="147"/>
        </w:trPr>
        <w:tc>
          <w:tcPr>
            <w:tcW w:w="6240" w:type="dxa"/>
            <w:vAlign w:val="bottom"/>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5034915</wp:posOffset>
            </wp:positionH>
            <wp:positionV relativeFrom="paragraph">
              <wp:posOffset>-356870</wp:posOffset>
            </wp:positionV>
            <wp:extent cx="34290" cy="34290"/>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-356870</wp:posOffset>
            </wp:positionV>
            <wp:extent cx="34290" cy="34290"/>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-356870</wp:posOffset>
            </wp:positionV>
            <wp:extent cx="34290" cy="34290"/>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-14605</wp:posOffset>
            </wp:positionV>
            <wp:extent cx="12700" cy="8890"/>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-14605</wp:posOffset>
            </wp:positionV>
            <wp:extent cx="12700" cy="8890"/>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-14605</wp:posOffset>
            </wp:positionV>
            <wp:extent cx="12700" cy="8890"/>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-14605</wp:posOffset>
            </wp:positionV>
            <wp:extent cx="12700" cy="8890"/>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-14605</wp:posOffset>
            </wp:positionV>
            <wp:extent cx="12700" cy="8890"/>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-14605</wp:posOffset>
            </wp:positionV>
            <wp:extent cx="12700" cy="8890"/>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Letters of credit and guarantees </w:t>
      </w:r>
      <w:r>
        <w:rPr>
          <w:rFonts w:ascii="Arial" w:cs="Arial" w:eastAsia="Arial" w:hAnsi="Arial"/>
          <w:sz w:val="18"/>
          <w:szCs w:val="18"/>
          <w:color w:val="auto"/>
        </w:rPr>
        <w:t>-</w:t>
      </w:r>
    </w:p>
    <w:p>
      <w:pPr>
        <w:spacing w:after="0" w:line="21"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Standby letters of credit are conditional commitments the Group issues to guarantee the performance of a customer to a third-party. The guarantees frequently support public and private borrowing arrangements, including commercial paper issuances, bond financings and other similar transactions. The Group issues commercial letters of credit on behalf of customers to ensure payment or collection in connection with trade transactions. In the event of a customer's nonperformance, the Group's credit loss exposure is the same as in any extension of credit, up to the letter's contractual amount. Management assesses the borrower's credit to determine the necessary collateral, which may include marketable securities, real estate, accounts receivable and inventory. Since the conditions requiring the Group to fund letters of credit may not occur, the Group expects its liquidity requirements to be less than the total outstanding commitments. The maximum potential future payments guaranteed by the Group understand by letter of credit and guarantees arrangements at December 31, 2003, were approximately $690.6 million with a weighted average term of approximately 24 months. The estimated fair value of standby letters of credit and guarantees was approximately $0.7 million at December 31, 2003. The contract or notional amounts of letters of credit and guarantees at December 31, 2003, were as follows: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59320" cy="34290"/>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3">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8" w:name="page189"/>
    <w:bookmarkEnd w:id="188"/>
    <w:tbl>
      <w:tblPr>
        <w:tblLayout w:type="fixed"/>
        <w:tblInd w:w="40" w:type="dxa"/>
        <w:tblCellMar>
          <w:top w:w="0" w:type="dxa"/>
          <w:left w:w="0" w:type="dxa"/>
          <w:bottom w:w="0" w:type="dxa"/>
          <w:right w:w="0" w:type="dxa"/>
        </w:tblCellMar>
      </w:tblPr>
      <w:tr>
        <w:trPr>
          <w:trHeight w:val="216"/>
        </w:trPr>
        <w:tc>
          <w:tcPr>
            <w:tcW w:w="6240" w:type="dxa"/>
            <w:vAlign w:val="bottom"/>
          </w:tcPr>
          <w:p>
            <w:pPr>
              <w:spacing w:after="0"/>
              <w:rPr>
                <w:sz w:val="18"/>
                <w:szCs w:val="18"/>
                <w:color w:val="auto"/>
              </w:rPr>
            </w:pPr>
          </w:p>
        </w:tc>
        <w:tc>
          <w:tcPr>
            <w:tcW w:w="1680" w:type="dxa"/>
            <w:vAlign w:val="bottom"/>
          </w:tcPr>
          <w:p>
            <w:pPr>
              <w:jc w:val="right"/>
              <w:ind w:right="272"/>
              <w:spacing w:after="0"/>
              <w:rPr>
                <w:sz w:val="20"/>
                <w:szCs w:val="20"/>
                <w:color w:val="auto"/>
              </w:rPr>
            </w:pPr>
            <w:r>
              <w:rPr>
                <w:rFonts w:ascii="Arial" w:cs="Arial" w:eastAsia="Arial" w:hAnsi="Arial"/>
                <w:sz w:val="18"/>
                <w:szCs w:val="18"/>
                <w:b w:val="1"/>
                <w:bCs w:val="1"/>
                <w:color w:val="auto"/>
              </w:rPr>
              <w:t>Expire within</w:t>
            </w:r>
          </w:p>
        </w:tc>
        <w:tc>
          <w:tcPr>
            <w:tcW w:w="20" w:type="dxa"/>
            <w:vAlign w:val="bottom"/>
          </w:tcPr>
          <w:p>
            <w:pPr>
              <w:spacing w:after="0"/>
              <w:rPr>
                <w:sz w:val="18"/>
                <w:szCs w:val="18"/>
                <w:color w:val="auto"/>
              </w:rPr>
            </w:pPr>
          </w:p>
        </w:tc>
        <w:tc>
          <w:tcPr>
            <w:tcW w:w="1700" w:type="dxa"/>
            <w:vAlign w:val="bottom"/>
          </w:tcPr>
          <w:p>
            <w:pPr>
              <w:jc w:val="right"/>
              <w:ind w:right="352"/>
              <w:spacing w:after="0"/>
              <w:rPr>
                <w:sz w:val="20"/>
                <w:szCs w:val="20"/>
                <w:color w:val="auto"/>
              </w:rPr>
            </w:pPr>
            <w:r>
              <w:rPr>
                <w:rFonts w:ascii="Arial" w:cs="Arial" w:eastAsia="Arial" w:hAnsi="Arial"/>
                <w:sz w:val="18"/>
                <w:szCs w:val="18"/>
                <w:b w:val="1"/>
                <w:bCs w:val="1"/>
                <w:color w:val="auto"/>
              </w:rPr>
              <w:t>Expireafter</w:t>
            </w:r>
          </w:p>
        </w:tc>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28"/>
        </w:trPr>
        <w:tc>
          <w:tcPr>
            <w:tcW w:w="6240" w:type="dxa"/>
            <w:vAlign w:val="bottom"/>
          </w:tcPr>
          <w:p>
            <w:pPr>
              <w:spacing w:after="0"/>
              <w:rPr>
                <w:sz w:val="19"/>
                <w:szCs w:val="19"/>
                <w:color w:val="auto"/>
              </w:rPr>
            </w:pPr>
          </w:p>
        </w:tc>
        <w:tc>
          <w:tcPr>
            <w:tcW w:w="1680" w:type="dxa"/>
            <w:vAlign w:val="bottom"/>
          </w:tcPr>
          <w:p>
            <w:pPr>
              <w:jc w:val="right"/>
              <w:ind w:right="512"/>
              <w:spacing w:after="0"/>
              <w:rPr>
                <w:sz w:val="20"/>
                <w:szCs w:val="20"/>
                <w:color w:val="auto"/>
              </w:rPr>
            </w:pPr>
            <w:r>
              <w:rPr>
                <w:rFonts w:ascii="Arial" w:cs="Arial" w:eastAsia="Arial" w:hAnsi="Arial"/>
                <w:sz w:val="18"/>
                <w:szCs w:val="18"/>
                <w:b w:val="1"/>
                <w:bCs w:val="1"/>
                <w:color w:val="auto"/>
              </w:rPr>
              <w:t>1 year</w:t>
            </w:r>
          </w:p>
        </w:tc>
        <w:tc>
          <w:tcPr>
            <w:tcW w:w="20" w:type="dxa"/>
            <w:vAlign w:val="bottom"/>
          </w:tcPr>
          <w:p>
            <w:pPr>
              <w:spacing w:after="0"/>
              <w:rPr>
                <w:sz w:val="19"/>
                <w:szCs w:val="19"/>
                <w:color w:val="auto"/>
              </w:rPr>
            </w:pPr>
          </w:p>
        </w:tc>
        <w:tc>
          <w:tcPr>
            <w:tcW w:w="1700" w:type="dxa"/>
            <w:vAlign w:val="bottom"/>
          </w:tcPr>
          <w:p>
            <w:pPr>
              <w:jc w:val="right"/>
              <w:ind w:right="532"/>
              <w:spacing w:after="0"/>
              <w:rPr>
                <w:sz w:val="20"/>
                <w:szCs w:val="20"/>
                <w:color w:val="auto"/>
              </w:rPr>
            </w:pPr>
            <w:r>
              <w:rPr>
                <w:rFonts w:ascii="Arial" w:cs="Arial" w:eastAsia="Arial" w:hAnsi="Arial"/>
                <w:sz w:val="18"/>
                <w:szCs w:val="18"/>
                <w:b w:val="1"/>
                <w:bCs w:val="1"/>
                <w:color w:val="auto"/>
              </w:rPr>
              <w:t>1 year</w:t>
            </w:r>
          </w:p>
        </w:tc>
        <w:tc>
          <w:tcPr>
            <w:tcW w:w="20" w:type="dxa"/>
            <w:vAlign w:val="bottom"/>
          </w:tcPr>
          <w:p>
            <w:pPr>
              <w:spacing w:after="0"/>
              <w:rPr>
                <w:sz w:val="19"/>
                <w:szCs w:val="19"/>
                <w:color w:val="auto"/>
              </w:rPr>
            </w:pPr>
          </w:p>
        </w:tc>
        <w:tc>
          <w:tcPr>
            <w:tcW w:w="1700" w:type="dxa"/>
            <w:vAlign w:val="bottom"/>
          </w:tcPr>
          <w:p>
            <w:pPr>
              <w:jc w:val="right"/>
              <w:ind w:right="592"/>
              <w:spacing w:after="0"/>
              <w:rPr>
                <w:sz w:val="20"/>
                <w:szCs w:val="20"/>
                <w:color w:val="auto"/>
              </w:rPr>
            </w:pPr>
            <w:r>
              <w:rPr>
                <w:rFonts w:ascii="Arial" w:cs="Arial" w:eastAsia="Arial" w:hAnsi="Arial"/>
                <w:sz w:val="18"/>
                <w:szCs w:val="18"/>
                <w:b w:val="1"/>
                <w:bCs w:val="1"/>
                <w:color w:val="auto"/>
              </w:rPr>
              <w:t>Total</w:t>
            </w:r>
          </w:p>
        </w:tc>
      </w:tr>
      <w:tr>
        <w:trPr>
          <w:trHeight w:val="243"/>
        </w:trPr>
        <w:tc>
          <w:tcPr>
            <w:tcW w:w="6240" w:type="dxa"/>
            <w:vAlign w:val="bottom"/>
          </w:tcPr>
          <w:p>
            <w:pPr>
              <w:spacing w:after="0"/>
              <w:rPr>
                <w:sz w:val="21"/>
                <w:szCs w:val="21"/>
                <w:color w:val="auto"/>
              </w:rPr>
            </w:pPr>
          </w:p>
        </w:tc>
        <w:tc>
          <w:tcPr>
            <w:tcW w:w="1680" w:type="dxa"/>
            <w:vAlign w:val="bottom"/>
          </w:tcPr>
          <w:p>
            <w:pPr>
              <w:jc w:val="right"/>
              <w:ind w:right="412"/>
              <w:spacing w:after="0"/>
              <w:rPr>
                <w:sz w:val="20"/>
                <w:szCs w:val="20"/>
                <w:color w:val="auto"/>
              </w:rPr>
            </w:pPr>
            <w:r>
              <w:rPr>
                <w:rFonts w:ascii="Arial" w:cs="Arial" w:eastAsia="Arial" w:hAnsi="Arial"/>
                <w:sz w:val="18"/>
                <w:szCs w:val="18"/>
                <w:color w:val="auto"/>
              </w:rPr>
              <w:t>US$(000)</w:t>
            </w:r>
          </w:p>
        </w:tc>
        <w:tc>
          <w:tcPr>
            <w:tcW w:w="20" w:type="dxa"/>
            <w:vAlign w:val="bottom"/>
          </w:tcPr>
          <w:p>
            <w:pPr>
              <w:spacing w:after="0"/>
              <w:rPr>
                <w:sz w:val="21"/>
                <w:szCs w:val="21"/>
                <w:color w:val="auto"/>
              </w:rPr>
            </w:pPr>
          </w:p>
        </w:tc>
        <w:tc>
          <w:tcPr>
            <w:tcW w:w="1700" w:type="dxa"/>
            <w:vAlign w:val="bottom"/>
          </w:tcPr>
          <w:p>
            <w:pPr>
              <w:jc w:val="right"/>
              <w:ind w:right="412"/>
              <w:spacing w:after="0"/>
              <w:rPr>
                <w:sz w:val="20"/>
                <w:szCs w:val="20"/>
                <w:color w:val="auto"/>
              </w:rPr>
            </w:pPr>
            <w:r>
              <w:rPr>
                <w:rFonts w:ascii="Arial" w:cs="Arial" w:eastAsia="Arial" w:hAnsi="Arial"/>
                <w:sz w:val="18"/>
                <w:szCs w:val="18"/>
                <w:color w:val="auto"/>
              </w:rPr>
              <w:t>US$(000)</w:t>
            </w:r>
          </w:p>
        </w:tc>
        <w:tc>
          <w:tcPr>
            <w:tcW w:w="20" w:type="dxa"/>
            <w:vAlign w:val="bottom"/>
          </w:tcPr>
          <w:p>
            <w:pPr>
              <w:spacing w:after="0"/>
              <w:rPr>
                <w:sz w:val="21"/>
                <w:szCs w:val="21"/>
                <w:color w:val="auto"/>
              </w:rPr>
            </w:pPr>
          </w:p>
        </w:tc>
        <w:tc>
          <w:tcPr>
            <w:tcW w:w="1700" w:type="dxa"/>
            <w:vAlign w:val="bottom"/>
          </w:tcPr>
          <w:p>
            <w:pPr>
              <w:jc w:val="right"/>
              <w:ind w:right="412"/>
              <w:spacing w:after="0"/>
              <w:rPr>
                <w:sz w:val="20"/>
                <w:szCs w:val="20"/>
                <w:color w:val="auto"/>
              </w:rPr>
            </w:pPr>
            <w:r>
              <w:rPr>
                <w:rFonts w:ascii="Arial" w:cs="Arial" w:eastAsia="Arial" w:hAnsi="Arial"/>
                <w:sz w:val="18"/>
                <w:szCs w:val="18"/>
                <w:color w:val="auto"/>
              </w:rPr>
              <w:t>US$(000)</w:t>
            </w:r>
          </w:p>
        </w:tc>
      </w:tr>
      <w:tr>
        <w:trPr>
          <w:trHeight w:val="486"/>
        </w:trPr>
        <w:tc>
          <w:tcPr>
            <w:tcW w:w="6240" w:type="dxa"/>
            <w:vAlign w:val="bottom"/>
          </w:tcPr>
          <w:p>
            <w:pPr>
              <w:spacing w:after="0"/>
              <w:rPr>
                <w:sz w:val="20"/>
                <w:szCs w:val="20"/>
                <w:color w:val="auto"/>
              </w:rPr>
            </w:pPr>
            <w:r>
              <w:rPr>
                <w:rFonts w:ascii="Arial" w:cs="Arial" w:eastAsia="Arial" w:hAnsi="Arial"/>
                <w:sz w:val="18"/>
                <w:szCs w:val="18"/>
                <w:color w:val="auto"/>
              </w:rPr>
              <w:t>Standby letters of credit and guarantees</w:t>
            </w:r>
          </w:p>
        </w:tc>
        <w:tc>
          <w:tcPr>
            <w:tcW w:w="1680" w:type="dxa"/>
            <w:vAlign w:val="bottom"/>
          </w:tcPr>
          <w:p>
            <w:pPr>
              <w:jc w:val="right"/>
              <w:spacing w:after="0"/>
              <w:rPr>
                <w:sz w:val="20"/>
                <w:szCs w:val="20"/>
                <w:color w:val="auto"/>
              </w:rPr>
            </w:pPr>
            <w:r>
              <w:rPr>
                <w:rFonts w:ascii="Arial" w:cs="Arial" w:eastAsia="Arial" w:hAnsi="Arial"/>
                <w:sz w:val="18"/>
                <w:szCs w:val="18"/>
                <w:color w:val="auto"/>
              </w:rPr>
              <w:t>579,857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110,777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690,634</w:t>
            </w: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Commercial</w:t>
            </w:r>
          </w:p>
        </w:tc>
        <w:tc>
          <w:tcPr>
            <w:tcW w:w="1680" w:type="dxa"/>
            <w:vAlign w:val="bottom"/>
          </w:tcPr>
          <w:p>
            <w:pPr>
              <w:jc w:val="right"/>
              <w:spacing w:after="0"/>
              <w:rPr>
                <w:sz w:val="20"/>
                <w:szCs w:val="20"/>
                <w:color w:val="auto"/>
              </w:rPr>
            </w:pPr>
            <w:r>
              <w:rPr>
                <w:rFonts w:ascii="Arial" w:cs="Arial" w:eastAsia="Arial" w:hAnsi="Arial"/>
                <w:sz w:val="18"/>
                <w:szCs w:val="18"/>
                <w:color w:val="auto"/>
              </w:rPr>
              <w:t>148,506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4,436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152,942</w:t>
            </w:r>
          </w:p>
        </w:tc>
      </w:tr>
      <w:tr>
        <w:trPr>
          <w:trHeight w:val="137"/>
        </w:trPr>
        <w:tc>
          <w:tcPr>
            <w:tcW w:w="62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r>
      <w:tr>
        <w:trPr>
          <w:trHeight w:val="356"/>
        </w:trPr>
        <w:tc>
          <w:tcPr>
            <w:tcW w:w="624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728,363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115,213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843,576</w:t>
            </w:r>
          </w:p>
        </w:tc>
      </w:tr>
      <w:tr>
        <w:trPr>
          <w:trHeight w:val="147"/>
        </w:trPr>
        <w:tc>
          <w:tcPr>
            <w:tcW w:w="6240" w:type="dxa"/>
            <w:vAlign w:val="bottom"/>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5034915</wp:posOffset>
            </wp:positionH>
            <wp:positionV relativeFrom="paragraph">
              <wp:posOffset>-356870</wp:posOffset>
            </wp:positionV>
            <wp:extent cx="34290" cy="34290"/>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-356870</wp:posOffset>
            </wp:positionV>
            <wp:extent cx="34290" cy="34290"/>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-356870</wp:posOffset>
            </wp:positionV>
            <wp:extent cx="34290" cy="34290"/>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-14605</wp:posOffset>
            </wp:positionV>
            <wp:extent cx="12700" cy="8890"/>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-14605</wp:posOffset>
            </wp:positionV>
            <wp:extent cx="12700" cy="8890"/>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-14605</wp:posOffset>
            </wp:positionV>
            <wp:extent cx="12700" cy="8890"/>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-14605</wp:posOffset>
            </wp:positionV>
            <wp:extent cx="12700" cy="8890"/>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-14605</wp:posOffset>
            </wp:positionV>
            <wp:extent cx="12700" cy="8890"/>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-14605</wp:posOffset>
            </wp:positionV>
            <wp:extent cx="12700" cy="8890"/>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Fiduciary activities -</w:t>
      </w:r>
    </w:p>
    <w:p>
      <w:pPr>
        <w:spacing w:after="0" w:line="2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Group provides investment management to third parties that involve the Group in allocation, purchase and selling decisions of investments on behalf of these third parties. Those assets that are held in a fiduciary capacity are not included in the consolidated financial statements.</w:t>
      </w:r>
    </w:p>
    <w:p>
      <w:pPr>
        <w:spacing w:after="0" w:line="19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Assets managed on behalf of customers of the Group comprise buildings and future cash flows of collections. As of December 31, 2003, the assigned value of the financial assets under administration amounts to approximately US$634.5 million (US$544.8 million in 2002).</w:t>
      </w:r>
    </w:p>
    <w:p>
      <w:pPr>
        <w:spacing w:after="0" w:line="186"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In addition, as of December 31, 2003 the net equity of the investment mutual funds managed by the subsidiaries of the Group amount to approximately US$1,017.8 million (US$904.8 million in 2002).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(h) Recently U.S. GAAP pronouncements -</w:t>
      </w:r>
    </w:p>
    <w:p>
      <w:pPr>
        <w:spacing w:after="0" w:line="225" w:lineRule="exact"/>
        <w:rPr>
          <w:sz w:val="20"/>
          <w:szCs w:val="20"/>
          <w:color w:val="auto"/>
        </w:rPr>
      </w:pPr>
    </w:p>
    <w:p>
      <w:pPr>
        <w:ind w:left="580" w:hanging="572"/>
        <w:spacing w:after="0"/>
        <w:tabs>
          <w:tab w:leader="none" w:pos="5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Costs Associated with Exit or Disposal Activities</w:t>
      </w:r>
    </w:p>
    <w:p>
      <w:pPr>
        <w:spacing w:after="0" w:line="15" w:lineRule="exact"/>
        <w:rPr>
          <w:rFonts w:ascii="Arial" w:cs="Arial" w:eastAsia="Arial" w:hAnsi="Arial"/>
          <w:sz w:val="18"/>
          <w:szCs w:val="18"/>
          <w:color w:val="auto"/>
        </w:rPr>
      </w:pPr>
    </w:p>
    <w:p>
      <w:pPr>
        <w:ind w:left="580" w:right="60"/>
        <w:spacing w:after="0" w:line="290" w:lineRule="auto"/>
        <w:rPr>
          <w:rFonts w:ascii="Arial" w:cs="Arial" w:eastAsia="Arial" w:hAnsi="Arial"/>
          <w:sz w:val="18"/>
          <w:szCs w:val="18"/>
          <w:color w:val="auto"/>
        </w:rPr>
      </w:pPr>
      <w:r>
        <w:rPr>
          <w:rFonts w:ascii="Arial" w:cs="Arial" w:eastAsia="Arial" w:hAnsi="Arial"/>
          <w:sz w:val="16"/>
          <w:szCs w:val="16"/>
          <w:color w:val="auto"/>
        </w:rPr>
        <w:t>SFAS 146, “Accounting for Costs Associated with Exit or Disposal Activities” (SFAS 146) requires that a liability for costs associated with exit or disposal activities, other than in a business combination, be recognized when the liability is incurred. Previous generally accepted accounting principles provided for the recognition of such costs at the date of management’s commitment to an exit plan. In addition, SFAS 146 requires that the liability be measured at fair value and be adjusted for changes in estimated cash flows. The provisions of the new standard are effective for exit or disposal activities initiated after December 31, 2002. Credicorp has assessed the impact in its financial statements as of December 31, 2003 of applying the SFAS 146 since January 1, 2003 (the effective date for its application) and conclude that there are not material effects for its consolidated financial statements.</w:t>
      </w:r>
    </w:p>
    <w:p>
      <w:pPr>
        <w:spacing w:after="0" w:line="199" w:lineRule="exact"/>
        <w:rPr>
          <w:rFonts w:ascii="Arial" w:cs="Arial" w:eastAsia="Arial" w:hAnsi="Arial"/>
          <w:sz w:val="18"/>
          <w:szCs w:val="18"/>
          <w:color w:val="auto"/>
        </w:rPr>
      </w:pPr>
    </w:p>
    <w:p>
      <w:pPr>
        <w:ind w:left="580" w:hanging="572"/>
        <w:spacing w:after="0"/>
        <w:tabs>
          <w:tab w:leader="none" w:pos="5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Derivative Instruments and Hedging Activities</w:t>
      </w:r>
    </w:p>
    <w:p>
      <w:pPr>
        <w:spacing w:after="0" w:line="15" w:lineRule="exact"/>
        <w:rPr>
          <w:rFonts w:ascii="Arial" w:cs="Arial" w:eastAsia="Arial" w:hAnsi="Arial"/>
          <w:sz w:val="18"/>
          <w:szCs w:val="18"/>
          <w:color w:val="auto"/>
        </w:rPr>
      </w:pPr>
    </w:p>
    <w:p>
      <w:pPr>
        <w:ind w:left="580" w:right="20"/>
        <w:spacing w:after="0" w:line="292" w:lineRule="auto"/>
        <w:rPr>
          <w:rFonts w:ascii="Arial" w:cs="Arial" w:eastAsia="Arial" w:hAnsi="Arial"/>
          <w:sz w:val="18"/>
          <w:szCs w:val="18"/>
          <w:color w:val="auto"/>
        </w:rPr>
      </w:pPr>
      <w:r>
        <w:rPr>
          <w:rFonts w:ascii="Arial" w:cs="Arial" w:eastAsia="Arial" w:hAnsi="Arial"/>
          <w:sz w:val="16"/>
          <w:szCs w:val="16"/>
          <w:color w:val="auto"/>
        </w:rPr>
        <w:t>SFAS 149, “Amendment of Statement 133 on Derivative Instruments and Hedging Activities” (SFAS 149) amends and clarifies accounting for derivative instruments, including certain derivative instruments embedded in other contracts, and for hedging activities under SFAS No. 133, “Accounting for Derivative Instruments and Hedging Activities” (SFAS 133). In particular, this SFAS 149 clarifies under what circumstances a contract with an initial net investment meets the characteristic of a derivative and when a derivative contains a financing component that warrants special reporting in the statement of cash flows. This Statement is generally effective for contracts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59320" cy="34290"/>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3">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ectPr>
          <w:pgSz w:w="11900" w:h="16838" w:orient="portrait"/>
          <w:cols w:equalWidth="0" w:num="1">
            <w:col w:w="11400"/>
          </w:cols>
          <w:pgMar w:left="240" w:top="152" w:right="259" w:bottom="1440" w:gutter="0" w:footer="0" w:header="0"/>
        </w:sectPr>
      </w:pPr>
    </w:p>
    <w:bookmarkStart w:id="189" w:name="page190"/>
    <w:bookmarkEnd w:id="189"/>
    <w:p>
      <w:pPr>
        <w:ind w:left="580"/>
        <w:spacing w:after="0"/>
        <w:rPr>
          <w:sz w:val="20"/>
          <w:szCs w:val="20"/>
          <w:color w:val="auto"/>
        </w:rPr>
      </w:pPr>
      <w:r>
        <w:rPr>
          <w:rFonts w:ascii="Arial" w:cs="Arial" w:eastAsia="Arial" w:hAnsi="Arial"/>
          <w:sz w:val="18"/>
          <w:szCs w:val="18"/>
          <w:color w:val="auto"/>
        </w:rPr>
        <w:t>entered into or modified after June 30, 2003 and did not have a material impact on the Credicorp’s Consolidated Financial Statements.</w:t>
      </w:r>
    </w:p>
    <w:p>
      <w:pPr>
        <w:spacing w:after="0" w:line="252" w:lineRule="exact"/>
        <w:rPr>
          <w:sz w:val="20"/>
          <w:szCs w:val="20"/>
          <w:color w:val="auto"/>
        </w:rPr>
      </w:pPr>
    </w:p>
    <w:p>
      <w:pPr>
        <w:ind w:left="580" w:hanging="572"/>
        <w:spacing w:after="0"/>
        <w:tabs>
          <w:tab w:leader="none" w:pos="5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Liabilities and Equity</w:t>
      </w:r>
    </w:p>
    <w:p>
      <w:pPr>
        <w:spacing w:after="0" w:line="15" w:lineRule="exact"/>
        <w:rPr>
          <w:rFonts w:ascii="Arial" w:cs="Arial" w:eastAsia="Arial" w:hAnsi="Arial"/>
          <w:sz w:val="18"/>
          <w:szCs w:val="18"/>
          <w:color w:val="auto"/>
        </w:rPr>
      </w:pPr>
    </w:p>
    <w:p>
      <w:pPr>
        <w:ind w:left="580" w:right="20"/>
        <w:spacing w:after="0" w:line="292" w:lineRule="auto"/>
        <w:rPr>
          <w:rFonts w:ascii="Arial" w:cs="Arial" w:eastAsia="Arial" w:hAnsi="Arial"/>
          <w:sz w:val="18"/>
          <w:szCs w:val="18"/>
          <w:color w:val="auto"/>
        </w:rPr>
      </w:pPr>
      <w:r>
        <w:rPr>
          <w:rFonts w:ascii="Arial" w:cs="Arial" w:eastAsia="Arial" w:hAnsi="Arial"/>
          <w:sz w:val="16"/>
          <w:szCs w:val="16"/>
          <w:color w:val="auto"/>
        </w:rPr>
        <w:t>SFAS 150, “Accounting for Certain Financial Instruments with Characteristics of both Liabilities and Equity” (SFAS 150) establishes standards for how an issuer measures certain financial instruments with characteristics of both liabilities and equity and classifies them in its statement of financial position. It requires that an issuer classify a financial instrument that is within its scope as a liability (or an asset in some circumstances) when that financial instrument embodies an obligation of the issuer. SFAS 150 is effective for financial instruments entered into or modified after May 31, 2003, and otherwise is effective July 1, 2003, and did not have a material impact on the Credicorp’s Consolidated Financial Statements.</w:t>
      </w:r>
    </w:p>
    <w:p>
      <w:pPr>
        <w:spacing w:after="0" w:line="197" w:lineRule="exact"/>
        <w:rPr>
          <w:rFonts w:ascii="Arial" w:cs="Arial" w:eastAsia="Arial" w:hAnsi="Arial"/>
          <w:sz w:val="18"/>
          <w:szCs w:val="18"/>
          <w:color w:val="auto"/>
        </w:rPr>
      </w:pPr>
    </w:p>
    <w:p>
      <w:pPr>
        <w:ind w:left="580" w:hanging="572"/>
        <w:spacing w:after="0"/>
        <w:tabs>
          <w:tab w:leader="none" w:pos="5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Consolidation of Variable Interest Entities</w:t>
      </w:r>
    </w:p>
    <w:p>
      <w:pPr>
        <w:spacing w:after="0" w:line="15" w:lineRule="exact"/>
        <w:rPr>
          <w:rFonts w:ascii="Arial" w:cs="Arial" w:eastAsia="Arial" w:hAnsi="Arial"/>
          <w:sz w:val="18"/>
          <w:szCs w:val="18"/>
          <w:color w:val="auto"/>
        </w:rPr>
      </w:pPr>
    </w:p>
    <w:p>
      <w:pPr>
        <w:ind w:left="580" w:right="80"/>
        <w:spacing w:after="0" w:line="290" w:lineRule="auto"/>
        <w:rPr>
          <w:rFonts w:ascii="Arial" w:cs="Arial" w:eastAsia="Arial" w:hAnsi="Arial"/>
          <w:sz w:val="18"/>
          <w:szCs w:val="18"/>
          <w:color w:val="auto"/>
        </w:rPr>
      </w:pPr>
      <w:r>
        <w:rPr>
          <w:rFonts w:ascii="Arial" w:cs="Arial" w:eastAsia="Arial" w:hAnsi="Arial"/>
          <w:sz w:val="16"/>
          <w:szCs w:val="16"/>
          <w:color w:val="auto"/>
        </w:rPr>
        <w:t>In January 2003, the Financial Accounting Standards Board (FASB) issued FASB Interpretation No. 46, Consolidation of Variable Interest Entities, an Interpretation of ARB No. 51 (FIN 46). In December 2003, the FASB modified FIN 46 to make certain technical corrections and address certain implementation issues that had arisen. FIN 46 provides a new framework for identifying variable interest entities (VIEs) and determining when a company should include the assets, liabilities, non-controlling interests and results of activities of a VIE in its consolidated financial statements. The provisions of FIN 46 are effective for the year ending December 31, 2004. The Company believes that the adoption of FIN 46 will not have a significant impact on the Company’s operating results or financial condition.</w:t>
      </w:r>
    </w:p>
    <w:p>
      <w:pPr>
        <w:spacing w:after="0" w:line="199" w:lineRule="exact"/>
        <w:rPr>
          <w:rFonts w:ascii="Arial" w:cs="Arial" w:eastAsia="Arial" w:hAnsi="Arial"/>
          <w:sz w:val="18"/>
          <w:szCs w:val="18"/>
          <w:color w:val="auto"/>
        </w:rPr>
      </w:pPr>
    </w:p>
    <w:p>
      <w:pPr>
        <w:ind w:left="580" w:hanging="572"/>
        <w:spacing w:after="0"/>
        <w:tabs>
          <w:tab w:leader="none" w:pos="5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Guarantees and Indemnifications</w:t>
      </w:r>
    </w:p>
    <w:p>
      <w:pPr>
        <w:spacing w:after="0" w:line="15" w:lineRule="exact"/>
        <w:rPr>
          <w:rFonts w:ascii="Arial" w:cs="Arial" w:eastAsia="Arial" w:hAnsi="Arial"/>
          <w:sz w:val="18"/>
          <w:szCs w:val="18"/>
          <w:color w:val="auto"/>
        </w:rPr>
      </w:pPr>
    </w:p>
    <w:p>
      <w:pPr>
        <w:ind w:left="580"/>
        <w:spacing w:after="0" w:line="292" w:lineRule="auto"/>
        <w:rPr>
          <w:rFonts w:ascii="Arial" w:cs="Arial" w:eastAsia="Arial" w:hAnsi="Arial"/>
          <w:sz w:val="18"/>
          <w:szCs w:val="18"/>
          <w:color w:val="auto"/>
        </w:rPr>
      </w:pPr>
      <w:r>
        <w:rPr>
          <w:rFonts w:ascii="Arial" w:cs="Arial" w:eastAsia="Arial" w:hAnsi="Arial"/>
          <w:sz w:val="16"/>
          <w:szCs w:val="16"/>
          <w:color w:val="auto"/>
        </w:rPr>
        <w:t>In November 2002, FASB issued FASB Interpretation No. 45, “Guarantor’s Accounting and Disclosure Requirements for Guarantees, Including Indirect Guarantees of Indebtedness of Others” (FIN 45), which requires that, for guarantees within the scope of FIN 45 issued or amended after December 31, 2002, a liability for the fair value of the obligation undertaken in issuing the guarantee be recognized. The impact of adopting FIN 45 as of December 31,2003 was not material for Credicorp’s consolidated financial statements. FIN 45 also requires additional disclosures in financial statements for periods ending after December 15, 2002, which are included in paragraph (g) above.</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 Recently issued IFRS -</w:t>
      </w:r>
    </w:p>
    <w:p>
      <w:pPr>
        <w:spacing w:after="0" w:line="1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Over the past year and until the date of the issuance of this report, the IASB has been in the process of revising previously issued International Accounting Standards known as the “Improvements Project” and issuing new standards existing guidance did not exist such as IFRSs 2, 3, 4 and 5. None of the revisions to existing IAS or the newly issued IFRSs were required to be adopted for the year-ended December 31, 2003. The Group is currently in the process of assessing the impact of adopting the revised IASs and newly issued IFRSs although, at this time, it is not expected that their adoption will have a material impact on the financial condition of the Group.</w:t>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59320" cy="34290"/>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4">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90" w:name="page191"/>
    <w:bookmarkEnd w:id="190"/>
    <w:p>
      <w:pPr>
        <w:ind w:left="1018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-661670</wp:posOffset>
            </wp:positionV>
            <wp:extent cx="2324100" cy="403225"/>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5">
                      <a:extLst>
                        <a:ext uri="{28A0092B-C50C-407E-A947-70E740481C1C}"/>
                      </a:extLst>
                    </a:blip>
                    <a:srcRect/>
                    <a:stretch>
                      <a:fillRect/>
                    </a:stretch>
                  </pic:blipFill>
                  <pic:spPr bwMode="auto">
                    <a:xfrm>
                      <a:off x="0" y="0"/>
                      <a:ext cx="2324100" cy="40322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12, 2003</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To the Board of Directors and Shareholders Credicorp Ltd.</w:t>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Dongo-Soria Gaveglio y Asociados</w:t>
      </w:r>
    </w:p>
    <w:p>
      <w:pPr>
        <w:spacing w:after="0" w:line="223" w:lineRule="auto"/>
        <w:rPr>
          <w:sz w:val="20"/>
          <w:szCs w:val="20"/>
          <w:color w:val="auto"/>
        </w:rPr>
      </w:pPr>
      <w:r>
        <w:rPr>
          <w:rFonts w:ascii="Arial" w:cs="Arial" w:eastAsia="Arial" w:hAnsi="Arial"/>
          <w:sz w:val="14"/>
          <w:szCs w:val="14"/>
          <w:b w:val="1"/>
          <w:bCs w:val="1"/>
          <w:color w:val="auto"/>
        </w:rPr>
        <w:t>Sociedad Civil</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Firma Miembro de PricewaterhouseCoopers</w:t>
      </w:r>
    </w:p>
    <w:p>
      <w:pPr>
        <w:spacing w:after="0" w:line="237" w:lineRule="auto"/>
        <w:rPr>
          <w:sz w:val="20"/>
          <w:szCs w:val="20"/>
          <w:color w:val="auto"/>
        </w:rPr>
      </w:pPr>
      <w:r>
        <w:rPr>
          <w:rFonts w:ascii="Arial" w:cs="Arial" w:eastAsia="Arial" w:hAnsi="Arial"/>
          <w:sz w:val="14"/>
          <w:szCs w:val="14"/>
          <w:color w:val="auto"/>
        </w:rPr>
        <w:t>Av. Canaval y Moreyra 380</w:t>
      </w:r>
    </w:p>
    <w:p>
      <w:pPr>
        <w:spacing w:after="0" w:line="221" w:lineRule="auto"/>
        <w:rPr>
          <w:sz w:val="20"/>
          <w:szCs w:val="20"/>
          <w:color w:val="auto"/>
        </w:rPr>
      </w:pPr>
      <w:r>
        <w:rPr>
          <w:rFonts w:ascii="Arial" w:cs="Arial" w:eastAsia="Arial" w:hAnsi="Arial"/>
          <w:sz w:val="14"/>
          <w:szCs w:val="14"/>
          <w:color w:val="auto"/>
        </w:rPr>
        <w:t>Lima 27, Peru</w:t>
      </w:r>
    </w:p>
    <w:p>
      <w:pPr>
        <w:spacing w:after="0" w:line="222" w:lineRule="auto"/>
        <w:rPr>
          <w:sz w:val="20"/>
          <w:szCs w:val="20"/>
          <w:color w:val="auto"/>
        </w:rPr>
      </w:pPr>
      <w:r>
        <w:rPr>
          <w:rFonts w:ascii="Arial" w:cs="Arial" w:eastAsia="Arial" w:hAnsi="Arial"/>
          <w:sz w:val="14"/>
          <w:szCs w:val="14"/>
          <w:color w:val="auto"/>
        </w:rPr>
        <w:t>Apartado 1434-2869</w:t>
      </w:r>
    </w:p>
    <w:p>
      <w:pPr>
        <w:spacing w:after="0" w:line="221" w:lineRule="auto"/>
        <w:rPr>
          <w:sz w:val="20"/>
          <w:szCs w:val="20"/>
          <w:color w:val="auto"/>
        </w:rPr>
      </w:pPr>
      <w:r>
        <w:rPr>
          <w:rFonts w:ascii="Arial" w:cs="Arial" w:eastAsia="Arial" w:hAnsi="Arial"/>
          <w:sz w:val="14"/>
          <w:szCs w:val="14"/>
          <w:color w:val="auto"/>
        </w:rPr>
        <w:t>Telfs.: (51 1) 211-6500 411-5800</w:t>
      </w:r>
    </w:p>
    <w:p>
      <w:pPr>
        <w:spacing w:after="0"/>
        <w:rPr>
          <w:sz w:val="20"/>
          <w:szCs w:val="20"/>
          <w:color w:val="auto"/>
        </w:rPr>
      </w:pPr>
      <w:r>
        <w:rPr>
          <w:rFonts w:ascii="Arial" w:cs="Arial" w:eastAsia="Arial" w:hAnsi="Arial"/>
          <w:sz w:val="14"/>
          <w:szCs w:val="14"/>
          <w:color w:val="auto"/>
        </w:rPr>
        <w:t>Fax  : (51 1) 442-6522 211-6565</w:t>
      </w:r>
    </w:p>
    <w:p>
      <w:pPr>
        <w:spacing w:after="0" w:line="1093" w:lineRule="exact"/>
        <w:rPr>
          <w:sz w:val="20"/>
          <w:szCs w:val="20"/>
          <w:color w:val="auto"/>
        </w:rPr>
      </w:pPr>
    </w:p>
    <w:p>
      <w:pPr>
        <w:sectPr>
          <w:pgSz w:w="11900" w:h="16838" w:orient="portrait"/>
          <w:cols w:equalWidth="0" w:num="2">
            <w:col w:w="7280" w:space="720"/>
            <w:col w:w="3420"/>
          </w:cols>
          <w:pgMar w:left="240" w:top="131" w:right="239" w:bottom="1440" w:gutter="0" w:footer="0" w:header="0"/>
          <w:type w:val="continuous"/>
        </w:sectPr>
      </w:pPr>
    </w:p>
    <w:p>
      <w:pPr>
        <w:spacing w:after="0" w:line="6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audited the accompanying consolidated balance sheets of Credicorp Ltd. (a Bermuda limited liability company) and subsidiaries as of December 31, 2002 and the related consolidated statements of income, of changes in shareholders' equity and of cash flows for each of the two years in the period ended December 31, 2002. These financial statements are the responsibility of the management of Credicorp Ltd.; our responsibility is to express an opinion on these financial statements based on our audits.</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conducted our audits in accordance with both generally accepted auditing standards in Peru and generally accepted auditing standards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Credicorp Ltd.' s management, as well as evaluating the overall financial statement presentation. We believe that our audits provide a reasonable basis for our opinion.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our opinion, the consolidated financial statements audited by us present fairly, in all material respects, the financial position of Credicorp Ltd. and subsidiaries at December 31, 2002 and the results of their operations and their cash flows for each of the two years in the period ended December 31, 2002, in conformity with International Accounting Standards.</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Accounting principles used by Credicorp Ltd. and its subsidiaries in preparing the accompanying consolidated financial statements conform with International Accounting Standards, which vary in certain significant respects from accounting principles generally accepted in the United States of America and as allowed by Item 18 to Form 20-F. The application of the latter would have affected the determination of consolidated net income for each of the two years in the period ended December 31, 2002 and the determination of consolidated shareholders' equity at December 31, 2002 and 2001 to the extent summarized in Note 24 to the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Countersigned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-125730</wp:posOffset>
            </wp:positionV>
            <wp:extent cx="3353435" cy="677545"/>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6">
                      <a:extLst>
                        <a:ext uri="{28A0092B-C50C-407E-A947-70E740481C1C}"/>
                      </a:extLst>
                    </a:blip>
                    <a:srcRect/>
                    <a:stretch>
                      <a:fillRect/>
                    </a:stretch>
                  </pic:blipFill>
                  <pic:spPr bwMode="auto">
                    <a:xfrm>
                      <a:off x="0" y="0"/>
                      <a:ext cx="3353435" cy="6775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sz w:val="1"/>
          <w:szCs w:val="1"/>
          <w:color w:val="auto"/>
        </w:rPr>
        <w:drawing>
          <wp:inline distT="0" distB="0" distL="0" distR="0">
            <wp:extent cx="1320800" cy="531495"/>
            <wp:effectExtent l="0" t="0" r="0" b="0"/>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797">
                      <a:extLst>
                        <a:ext uri="{28A0092B-C50C-407E-A947-70E740481C1C}"/>
                      </a:extLst>
                    </a:blip>
                    <a:srcRect/>
                    <a:stretch>
                      <a:fillRect/>
                    </a:stretch>
                  </pic:blipFill>
                  <pic:spPr bwMode="auto">
                    <a:xfrm>
                      <a:off x="0" y="0"/>
                      <a:ext cx="1320800" cy="531495"/>
                    </a:xfrm>
                    <a:prstGeom prst="rect">
                      <a:avLst/>
                    </a:prstGeom>
                    <a:noFill/>
                    <a:ln>
                      <a:noFill/>
                    </a:ln>
                  </pic:spPr>
                </pic:pic>
              </a:graphicData>
            </a:graphic>
          </wp:inline>
        </w:drawing>
      </w:r>
      <w:r>
        <w:rPr>
          <w:rFonts w:ascii="Arial" w:cs="Arial" w:eastAsia="Arial" w:hAnsi="Arial"/>
          <w:sz w:val="18"/>
          <w:szCs w:val="18"/>
          <w:color w:val="auto"/>
        </w:rPr>
        <w:t>(partner)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Arnaldo Alvarado 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Peruvian Public Accountant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Registration No. 7576</w:t>
      </w:r>
    </w:p>
    <w:p>
      <w:pPr>
        <w:sectPr>
          <w:pgSz w:w="11900" w:h="16838" w:orient="portrait"/>
          <w:cols w:equalWidth="0" w:num="1">
            <w:col w:w="11420"/>
          </w:cols>
          <w:pgMar w:left="240" w:top="131" w:right="239" w:bottom="1440" w:gutter="0" w:footer="0" w:header="0"/>
          <w:type w:val="continuous"/>
        </w:sectPr>
      </w:pPr>
    </w:p>
    <w:bookmarkStart w:id="191" w:name="page192"/>
    <w:bookmarkEnd w:id="191"/>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31" w:lineRule="exact"/>
        <w:rPr>
          <w:sz w:val="20"/>
          <w:szCs w:val="20"/>
          <w:color w:val="auto"/>
        </w:rPr>
      </w:pPr>
    </w:p>
    <w:p>
      <w:pPr>
        <w:ind w:left="620" w:hanging="607"/>
        <w:spacing w:after="0" w:line="268" w:lineRule="auto"/>
        <w:tabs>
          <w:tab w:leader="none" w:pos="6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Bye-Laws of Credicorp Ltd., as amended February 28, 2002, incorporated herein by reference to Exhibit 1.1 to Credicorp’s Annual Report on Form 20-F dated June 27, 2003</w:t>
      </w:r>
    </w:p>
    <w:p>
      <w:pPr>
        <w:spacing w:after="0" w:line="21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Memorandum of Association of Credicorp Ltd., incorporated herein by reference to Exhibit 1.2 to Credicorp’s Annual Report on Form 20-F dated June</w:t>
      </w:r>
    </w:p>
    <w:p>
      <w:pPr>
        <w:spacing w:after="0" w:line="1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27, 2003</w:t>
      </w:r>
    </w:p>
    <w:p>
      <w:pPr>
        <w:spacing w:after="0" w:line="246" w:lineRule="exact"/>
        <w:rPr>
          <w:sz w:val="20"/>
          <w:szCs w:val="20"/>
          <w:color w:val="auto"/>
        </w:rPr>
      </w:pPr>
    </w:p>
    <w:p>
      <w:pPr>
        <w:ind w:right="1600" w:firstLine="8"/>
        <w:spacing w:after="0" w:line="532" w:lineRule="auto"/>
        <w:tabs>
          <w:tab w:leader="none" w:pos="608" w:val="left"/>
        </w:tabs>
        <w:numPr>
          <w:ilvl w:val="0"/>
          <w:numId w:val="70"/>
        </w:numPr>
        <w:rPr>
          <w:rFonts w:ascii="Arial" w:cs="Arial" w:eastAsia="Arial" w:hAnsi="Arial"/>
          <w:sz w:val="18"/>
          <w:szCs w:val="18"/>
          <w:u w:val="single" w:color="auto"/>
          <w:color w:val="0000EE"/>
        </w:rPr>
      </w:pPr>
      <w:r>
        <w:rPr>
          <w:rFonts w:ascii="Arial" w:cs="Arial" w:eastAsia="Arial" w:hAnsi="Arial"/>
          <w:sz w:val="18"/>
          <w:szCs w:val="18"/>
          <w:color w:val="auto"/>
        </w:rPr>
        <w:t xml:space="preserve">List of Subsidiaries, incorporated herein by reference to Exhibit 8 to Credicorp’s Annual Report on Form 20-F dated June 27, 2003 </w:t>
      </w:r>
      <w:hyperlink w:anchor="page193">
        <w:r>
          <w:rPr>
            <w:rFonts w:ascii="Arial" w:cs="Arial" w:eastAsia="Arial" w:hAnsi="Arial"/>
            <w:sz w:val="18"/>
            <w:szCs w:val="18"/>
            <w:u w:val="single" w:color="auto"/>
            <w:color w:val="0000EE"/>
          </w:rPr>
          <w:t>99.1 Certifications Pursuant to Section 302 of the U.S. Sarbanes-Oxley Act of 2002</w:t>
        </w:r>
      </w:hyperlink>
    </w:p>
    <w:p>
      <w:pPr>
        <w:spacing w:after="0"/>
        <w:rPr>
          <w:rFonts w:ascii="Arial" w:cs="Arial" w:eastAsia="Arial" w:hAnsi="Arial"/>
          <w:sz w:val="18"/>
          <w:szCs w:val="18"/>
          <w:u w:val="single" w:color="auto"/>
          <w:color w:val="0000EE"/>
        </w:rPr>
      </w:pPr>
      <w:hyperlink w:anchor="page194">
        <w:r>
          <w:rPr>
            <w:rFonts w:ascii="Arial" w:cs="Arial" w:eastAsia="Arial" w:hAnsi="Arial"/>
            <w:sz w:val="18"/>
            <w:szCs w:val="18"/>
            <w:u w:val="single" w:color="auto"/>
            <w:color w:val="0000EE"/>
          </w:rPr>
          <w:t>99.2    Certifications Pursuant to Section 906 of the U.S. Sarbanes-Oxley Act of 2002</w:t>
        </w:r>
      </w:hyperlink>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341" w:right="239" w:bottom="1440" w:gutter="0" w:footer="0" w:header="0"/>
        </w:sectPr>
      </w:pPr>
    </w:p>
    <w:bookmarkStart w:id="192" w:name="page193"/>
    <w:bookmarkEnd w:id="192"/>
    <w:p>
      <w:pPr>
        <w:jc w:val="right"/>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Exhibit 99.1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SECTION 302 OF THE U.S. SARBANES-OXLEY ACT OF 2002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Certification on Form 20-F</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Dionisio Romero, certify that:</w:t>
      </w:r>
    </w:p>
    <w:p>
      <w:pPr>
        <w:spacing w:after="0" w:line="225" w:lineRule="exact"/>
        <w:rPr>
          <w:sz w:val="20"/>
          <w:szCs w:val="20"/>
          <w:color w:val="auto"/>
        </w:rPr>
      </w:pPr>
    </w:p>
    <w:p>
      <w:pPr>
        <w:ind w:left="180" w:hanging="172"/>
        <w:spacing w:after="0"/>
        <w:tabs>
          <w:tab w:leader="none" w:pos="1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Credicorp Ltd.;</w:t>
      </w:r>
    </w:p>
    <w:p>
      <w:pPr>
        <w:spacing w:after="0" w:line="225"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7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85" w:lineRule="exact"/>
        <w:rPr>
          <w:rFonts w:ascii="Arial" w:cs="Arial" w:eastAsia="Arial" w:hAnsi="Arial"/>
          <w:sz w:val="18"/>
          <w:szCs w:val="18"/>
          <w:color w:val="auto"/>
        </w:rPr>
      </w:pPr>
    </w:p>
    <w:p>
      <w:pPr>
        <w:ind w:right="20" w:firstLine="8"/>
        <w:spacing w:after="0" w:line="268" w:lineRule="auto"/>
        <w:tabs>
          <w:tab w:leader="none" w:pos="176"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186" w:lineRule="exact"/>
        <w:rPr>
          <w:sz w:val="20"/>
          <w:szCs w:val="20"/>
          <w:color w:val="auto"/>
        </w:rPr>
      </w:pPr>
    </w:p>
    <w:p>
      <w:pPr>
        <w:ind w:right="160" w:firstLine="8"/>
        <w:spacing w:after="0" w:line="259" w:lineRule="auto"/>
        <w:tabs>
          <w:tab w:leader="none" w:pos="1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ind w:right="400" w:firstLine="8"/>
        <w:spacing w:after="0" w:line="268" w:lineRule="auto"/>
        <w:tabs>
          <w:tab w:leader="none" w:pos="19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85" w:lineRule="exact"/>
        <w:rPr>
          <w:rFonts w:ascii="Arial" w:cs="Arial" w:eastAsia="Arial" w:hAnsi="Arial"/>
          <w:sz w:val="18"/>
          <w:szCs w:val="18"/>
          <w:color w:val="auto"/>
        </w:rPr>
      </w:pPr>
    </w:p>
    <w:p>
      <w:pPr>
        <w:ind w:right="160" w:firstLine="8"/>
        <w:spacing w:after="0" w:line="332" w:lineRule="auto"/>
        <w:tabs>
          <w:tab w:leader="none" w:pos="1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39" w:lineRule="exact"/>
        <w:rPr>
          <w:sz w:val="20"/>
          <w:szCs w:val="20"/>
          <w:color w:val="auto"/>
        </w:rPr>
      </w:pPr>
    </w:p>
    <w:p>
      <w:pPr>
        <w:ind w:right="740" w:firstLine="8"/>
        <w:spacing w:after="0" w:line="332" w:lineRule="auto"/>
        <w:tabs>
          <w:tab w:leader="none" w:pos="176"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39" w:lineRule="exact"/>
        <w:rPr>
          <w:sz w:val="20"/>
          <w:szCs w:val="20"/>
          <w:color w:val="auto"/>
        </w:rPr>
      </w:pPr>
    </w:p>
    <w:p>
      <w:pPr>
        <w:ind w:right="600" w:firstLine="8"/>
        <w:spacing w:after="0" w:line="268" w:lineRule="auto"/>
        <w:tabs>
          <w:tab w:leader="none" w:pos="1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85" w:lineRule="exact"/>
        <w:rPr>
          <w:rFonts w:ascii="Arial" w:cs="Arial" w:eastAsia="Arial" w:hAnsi="Arial"/>
          <w:sz w:val="18"/>
          <w:szCs w:val="18"/>
          <w:color w:val="auto"/>
        </w:rPr>
      </w:pPr>
    </w:p>
    <w:p>
      <w:pPr>
        <w:ind w:right="180" w:firstLine="8"/>
        <w:spacing w:after="0" w:line="268" w:lineRule="auto"/>
        <w:tabs>
          <w:tab w:leader="none" w:pos="19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Dated: June 28, 2004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DIONISIO ROMERO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 Dionisio Romero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131" w:right="239" w:bottom="1440" w:gutter="0" w:footer="0" w:header="0"/>
        </w:sectPr>
      </w:pPr>
    </w:p>
    <w:bookmarkStart w:id="193" w:name="page194"/>
    <w:bookmarkEnd w:id="193"/>
    <w:p>
      <w:pPr>
        <w:jc w:val="center"/>
        <w:spacing w:after="0"/>
        <w:rPr>
          <w:sz w:val="20"/>
          <w:szCs w:val="20"/>
          <w:color w:val="auto"/>
        </w:rPr>
      </w:pPr>
      <w:r>
        <w:rPr>
          <w:rFonts w:ascii="Arial" w:cs="Arial" w:eastAsia="Arial" w:hAnsi="Arial"/>
          <w:sz w:val="18"/>
          <w:szCs w:val="18"/>
          <w:b w:val="1"/>
          <w:bCs w:val="1"/>
          <w:color w:val="auto"/>
        </w:rPr>
        <w:t>Form of Certification on Form 20-F</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Walter Bayly, certify that:</w:t>
      </w:r>
    </w:p>
    <w:p>
      <w:pPr>
        <w:spacing w:after="0" w:line="225" w:lineRule="exact"/>
        <w:rPr>
          <w:sz w:val="20"/>
          <w:szCs w:val="20"/>
          <w:color w:val="auto"/>
        </w:rPr>
      </w:pPr>
    </w:p>
    <w:p>
      <w:pPr>
        <w:ind w:left="180" w:hanging="172"/>
        <w:spacing w:after="0"/>
        <w:tabs>
          <w:tab w:leader="none" w:pos="1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Credicorp Ltd.;</w:t>
      </w:r>
    </w:p>
    <w:p>
      <w:pPr>
        <w:spacing w:after="0" w:line="225"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7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85" w:lineRule="exact"/>
        <w:rPr>
          <w:rFonts w:ascii="Arial" w:cs="Arial" w:eastAsia="Arial" w:hAnsi="Arial"/>
          <w:sz w:val="18"/>
          <w:szCs w:val="18"/>
          <w:color w:val="auto"/>
        </w:rPr>
      </w:pPr>
    </w:p>
    <w:p>
      <w:pPr>
        <w:ind w:right="20" w:firstLine="8"/>
        <w:spacing w:after="0" w:line="268" w:lineRule="auto"/>
        <w:tabs>
          <w:tab w:leader="none" w:pos="176"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186" w:lineRule="exact"/>
        <w:rPr>
          <w:sz w:val="20"/>
          <w:szCs w:val="20"/>
          <w:color w:val="auto"/>
        </w:rPr>
      </w:pPr>
    </w:p>
    <w:p>
      <w:pPr>
        <w:ind w:right="160" w:firstLine="8"/>
        <w:spacing w:after="0" w:line="259" w:lineRule="auto"/>
        <w:tabs>
          <w:tab w:leader="none" w:pos="1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ind w:right="400" w:firstLine="8"/>
        <w:spacing w:after="0" w:line="268" w:lineRule="auto"/>
        <w:tabs>
          <w:tab w:leader="none" w:pos="19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85" w:lineRule="exact"/>
        <w:rPr>
          <w:rFonts w:ascii="Arial" w:cs="Arial" w:eastAsia="Arial" w:hAnsi="Arial"/>
          <w:sz w:val="18"/>
          <w:szCs w:val="18"/>
          <w:color w:val="auto"/>
        </w:rPr>
      </w:pPr>
    </w:p>
    <w:p>
      <w:pPr>
        <w:ind w:right="160" w:firstLine="8"/>
        <w:spacing w:after="0" w:line="332" w:lineRule="auto"/>
        <w:tabs>
          <w:tab w:leader="none" w:pos="1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39" w:lineRule="exact"/>
        <w:rPr>
          <w:sz w:val="20"/>
          <w:szCs w:val="20"/>
          <w:color w:val="auto"/>
        </w:rPr>
      </w:pPr>
    </w:p>
    <w:p>
      <w:pPr>
        <w:ind w:right="740" w:firstLine="8"/>
        <w:spacing w:after="0" w:line="332" w:lineRule="auto"/>
        <w:tabs>
          <w:tab w:leader="none" w:pos="176"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39" w:lineRule="exact"/>
        <w:rPr>
          <w:sz w:val="20"/>
          <w:szCs w:val="20"/>
          <w:color w:val="auto"/>
        </w:rPr>
      </w:pPr>
    </w:p>
    <w:p>
      <w:pPr>
        <w:ind w:right="600" w:firstLine="8"/>
        <w:spacing w:after="0" w:line="268" w:lineRule="auto"/>
        <w:tabs>
          <w:tab w:leader="none" w:pos="1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85" w:lineRule="exact"/>
        <w:rPr>
          <w:rFonts w:ascii="Arial" w:cs="Arial" w:eastAsia="Arial" w:hAnsi="Arial"/>
          <w:sz w:val="18"/>
          <w:szCs w:val="18"/>
          <w:color w:val="auto"/>
        </w:rPr>
      </w:pPr>
    </w:p>
    <w:p>
      <w:pPr>
        <w:ind w:right="180" w:firstLine="8"/>
        <w:spacing w:after="0" w:line="268" w:lineRule="auto"/>
        <w:tabs>
          <w:tab w:leader="none" w:pos="19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Dated: June 28, 2004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WALTER BAYLY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 Walter Bayly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and Accounting Officer</w:t>
      </w:r>
    </w:p>
    <w:p>
      <w:pPr>
        <w:spacing w:after="0" w:line="200" w:lineRule="exact"/>
        <w:rPr>
          <w:sz w:val="20"/>
          <w:szCs w:val="20"/>
          <w:color w:val="auto"/>
        </w:rPr>
      </w:pPr>
    </w:p>
    <w:p>
      <w:pPr>
        <w:spacing w:after="0" w:line="262" w:lineRule="exact"/>
        <w:rPr>
          <w:sz w:val="20"/>
          <w:szCs w:val="20"/>
          <w:color w:val="auto"/>
        </w:rPr>
      </w:pPr>
    </w:p>
    <w:p>
      <w:pPr>
        <w:jc w:val="right"/>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Exhibit 99.2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Section 906 of the 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 U.S.C. Section 1350)</w:t>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auto"/>
        </w:rPr>
        <w:t>Pursuant to the requirements of Section 906 of the Sarbanes-Oxley Act of 2002 (18 U.S.C. Sections 1350(a) and (b)), the undersigned hereby certifies as follows:</w:t>
      </w:r>
    </w:p>
    <w:p>
      <w:pPr>
        <w:spacing w:after="0" w:line="260" w:lineRule="exact"/>
        <w:rPr>
          <w:sz w:val="20"/>
          <w:szCs w:val="20"/>
          <w:color w:val="auto"/>
        </w:rPr>
      </w:pPr>
    </w:p>
    <w:p>
      <w:pPr>
        <w:ind w:left="180" w:hanging="172"/>
        <w:spacing w:after="0"/>
        <w:tabs>
          <w:tab w:leader="none" w:pos="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 am the Chairman Executive Officer of Credicorp Ltd. (the “Company”).</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my knowledge:</w:t>
      </w:r>
    </w:p>
    <w:p>
      <w:pPr>
        <w:spacing w:after="0" w:line="225" w:lineRule="exact"/>
        <w:rPr>
          <w:sz w:val="20"/>
          <w:szCs w:val="20"/>
          <w:color w:val="auto"/>
        </w:rPr>
      </w:pPr>
    </w:p>
    <w:p>
      <w:pPr>
        <w:ind w:firstLine="8"/>
        <w:spacing w:after="0" w:line="332" w:lineRule="auto"/>
        <w:tabs>
          <w:tab w:leader="none" w:pos="287"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Company’s Annual Report on Form 20-F for the year ended December 31, 2003 accompanying this Certification, in the form filed with the Securities and Exchange Commission (the “Report”), fully complies with the requirements of Section 13(a) or 15(d) of the Securities Exchange Act of 1934; and</w:t>
      </w:r>
    </w:p>
    <w:p>
      <w:pPr>
        <w:spacing w:after="0" w:line="139" w:lineRule="exact"/>
        <w:rPr>
          <w:rFonts w:ascii="Arial" w:cs="Arial" w:eastAsia="Arial" w:hAnsi="Arial"/>
          <w:sz w:val="16"/>
          <w:szCs w:val="16"/>
          <w:color w:val="auto"/>
        </w:rPr>
      </w:pPr>
    </w:p>
    <w:p>
      <w:pPr>
        <w:ind w:left="280" w:hanging="272"/>
        <w:spacing w:after="0"/>
        <w:tabs>
          <w:tab w:leader="none" w:pos="2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information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June 28, 2004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DIONISIO ROMERO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 Dionisio Romero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342" w:right="239" w:bottom="1440" w:gutter="0" w:footer="0" w:header="0"/>
        </w:sectPr>
      </w:pPr>
    </w:p>
    <w:bookmarkStart w:id="194" w:name="page195"/>
    <w:bookmarkEnd w:id="194"/>
    <w:p>
      <w:pPr>
        <w:spacing w:after="0"/>
        <w:rPr>
          <w:sz w:val="20"/>
          <w:szCs w:val="20"/>
          <w:color w:val="auto"/>
        </w:rPr>
      </w:pPr>
      <w:r>
        <w:rPr>
          <w:rFonts w:ascii="Arial" w:cs="Arial" w:eastAsia="Arial" w:hAnsi="Arial"/>
          <w:sz w:val="18"/>
          <w:szCs w:val="18"/>
          <w:color w:val="auto"/>
        </w:rPr>
        <w:t>Credicorp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Section 906 of the 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 U.S.C. Section 1350)</w:t>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auto"/>
        </w:rPr>
        <w:t>Pursuant to the requirements of Section 906 of the Sarbanes-Oxley Act of 2002 (18 U.S.C. Sections 1350(a) and (b)), the undersigned hereby certifies as follows:</w:t>
      </w:r>
    </w:p>
    <w:p>
      <w:pPr>
        <w:spacing w:after="0" w:line="260" w:lineRule="exact"/>
        <w:rPr>
          <w:sz w:val="20"/>
          <w:szCs w:val="20"/>
          <w:color w:val="auto"/>
        </w:rPr>
      </w:pPr>
    </w:p>
    <w:p>
      <w:pPr>
        <w:ind w:left="180" w:hanging="172"/>
        <w:spacing w:after="0"/>
        <w:tabs>
          <w:tab w:leader="none" w:pos="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am the Chief Financial and Accounting Officer of Credicorp Ltd. (the “Company”).</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my knowledge:</w:t>
      </w:r>
    </w:p>
    <w:p>
      <w:pPr>
        <w:spacing w:after="0" w:line="225" w:lineRule="exact"/>
        <w:rPr>
          <w:sz w:val="20"/>
          <w:szCs w:val="20"/>
          <w:color w:val="auto"/>
        </w:rPr>
      </w:pPr>
    </w:p>
    <w:p>
      <w:pPr>
        <w:ind w:firstLine="8"/>
        <w:spacing w:after="0" w:line="332" w:lineRule="auto"/>
        <w:tabs>
          <w:tab w:leader="none" w:pos="287"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Company’s Annual Report on Form 20-F for the year ended December 31, 2003 accompanying this Certification, in the form filed with the Securities and Exchange Commission (the “Report”), fully complies with the requirements of Section 13(a) or 15(d) of the Securities Exchange Act of 1934; and</w:t>
      </w:r>
    </w:p>
    <w:p>
      <w:pPr>
        <w:spacing w:after="0" w:line="139" w:lineRule="exact"/>
        <w:rPr>
          <w:rFonts w:ascii="Arial" w:cs="Arial" w:eastAsia="Arial" w:hAnsi="Arial"/>
          <w:sz w:val="16"/>
          <w:szCs w:val="16"/>
          <w:color w:val="auto"/>
        </w:rPr>
      </w:pPr>
    </w:p>
    <w:p>
      <w:pPr>
        <w:ind w:left="280" w:hanging="272"/>
        <w:spacing w:after="0"/>
        <w:tabs>
          <w:tab w:leader="none" w:pos="2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information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June 28, 2004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WALTER BAYLY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 Walter Bayly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and Accounting Officer</w:t>
      </w:r>
    </w:p>
    <w:sectPr>
      <w:pgSz w:w="11900" w:h="16838" w:orient="portrait"/>
      <w:cols w:equalWidth="0" w:num="1">
        <w:col w:w="11420"/>
      </w:cols>
      <w:pgMar w:left="240" w:top="34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55585C"/>
    <w:multiLevelType w:val="hybridMultilevel"/>
    <w:lvl w:ilvl="0">
      <w:lvlJc w:val="left"/>
      <w:lvlText w:val="(%1)"/>
      <w:numFmt w:val="decimal"/>
      <w:start w:val="1"/>
    </w:lvl>
  </w:abstractNum>
  <w:abstractNum w:abstractNumId="1">
    <w:nsid w:val="70A64E2A"/>
    <w:multiLevelType w:val="hybridMultilevel"/>
    <w:lvl w:ilvl="0">
      <w:lvlJc w:val="left"/>
      <w:lvlText w:val="(%1)"/>
      <w:numFmt w:val="decimal"/>
      <w:start w:val="3"/>
    </w:lvl>
  </w:abstractNum>
  <w:abstractNum w:abstractNumId="2">
    <w:nsid w:val="6A2342EC"/>
    <w:multiLevelType w:val="hybridMultilevel"/>
    <w:lvl w:ilvl="0">
      <w:lvlJc w:val="left"/>
      <w:lvlText w:val="(%1)"/>
      <w:numFmt w:val="decimal"/>
      <w:start w:val="1"/>
    </w:lvl>
  </w:abstractNum>
  <w:abstractNum w:abstractNumId="3">
    <w:nsid w:val="2A487CB0"/>
    <w:multiLevelType w:val="hybridMultilevel"/>
    <w:lvl w:ilvl="0">
      <w:lvlJc w:val="left"/>
      <w:lvlText w:val="(%1)"/>
      <w:numFmt w:val="decimal"/>
      <w:start w:val="1"/>
    </w:lvl>
  </w:abstractNum>
  <w:abstractNum w:abstractNumId="4">
    <w:nsid w:val="1D4ED43B"/>
    <w:multiLevelType w:val="hybridMultilevel"/>
    <w:lvl w:ilvl="0">
      <w:lvlJc w:val="left"/>
      <w:lvlText w:val="(%1)"/>
      <w:numFmt w:val="decimal"/>
      <w:start w:val="1"/>
    </w:lvl>
  </w:abstractNum>
  <w:abstractNum w:abstractNumId="5">
    <w:nsid w:val="725A06FB"/>
    <w:multiLevelType w:val="hybridMultilevel"/>
    <w:lvl w:ilvl="0">
      <w:lvlJc w:val="left"/>
      <w:lvlText w:val="(%1)"/>
      <w:numFmt w:val="decimal"/>
      <w:start w:val="1"/>
    </w:lvl>
  </w:abstractNum>
  <w:abstractNum w:abstractNumId="6">
    <w:nsid w:val="2CD89A32"/>
    <w:multiLevelType w:val="hybridMultilevel"/>
    <w:lvl w:ilvl="0">
      <w:lvlJc w:val="left"/>
      <w:lvlText w:val="(%1)"/>
      <w:numFmt w:val="upperLetter"/>
      <w:start w:val="2"/>
    </w:lvl>
    <w:lvl w:ilvl="1">
      <w:lvlJc w:val="left"/>
      <w:lvlText w:val="(%2)"/>
      <w:numFmt w:val="decimal"/>
      <w:start w:val="1"/>
    </w:lvl>
  </w:abstractNum>
  <w:abstractNum w:abstractNumId="7">
    <w:nsid w:val="57E4CCAF"/>
    <w:multiLevelType w:val="hybridMultilevel"/>
    <w:lvl w:ilvl="0">
      <w:lvlJc w:val="left"/>
      <w:lvlText w:val="(%1)"/>
      <w:numFmt w:val="lowerRoman"/>
      <w:start w:val="3"/>
    </w:lvl>
  </w:abstractNum>
  <w:abstractNum w:abstractNumId="8">
    <w:nsid w:val="7A6D8D3C"/>
    <w:multiLevelType w:val="hybridMultilevel"/>
    <w:lvl w:ilvl="0">
      <w:lvlJc w:val="left"/>
      <w:lvlText w:val="(%1)"/>
      <w:numFmt w:val="decimal"/>
      <w:start w:val="1"/>
    </w:lvl>
  </w:abstractNum>
  <w:abstractNum w:abstractNumId="9">
    <w:nsid w:val="4B588F54"/>
    <w:multiLevelType w:val="hybridMultilevel"/>
    <w:lvl w:ilvl="0">
      <w:lvlJc w:val="left"/>
      <w:lvlText w:val="(%1)"/>
      <w:numFmt w:val="lowerRoman"/>
      <w:start w:val="3"/>
    </w:lvl>
  </w:abstractNum>
  <w:abstractNum w:abstractNumId="10">
    <w:nsid w:val="542289EC"/>
    <w:multiLevelType w:val="hybridMultilevel"/>
    <w:lvl w:ilvl="0">
      <w:lvlJc w:val="left"/>
      <w:lvlText w:val="(%1)"/>
      <w:numFmt w:val="lowerRoman"/>
      <w:start w:val="4"/>
    </w:lvl>
  </w:abstractNum>
  <w:abstractNum w:abstractNumId="11">
    <w:nsid w:val="6DE91B18"/>
    <w:multiLevelType w:val="hybridMultilevel"/>
    <w:lvl w:ilvl="0">
      <w:lvlJc w:val="left"/>
      <w:lvlText w:val="(%1)"/>
      <w:numFmt w:val="decimal"/>
      <w:start w:val="1"/>
    </w:lvl>
  </w:abstractNum>
  <w:abstractNum w:abstractNumId="12">
    <w:nsid w:val="38437FDB"/>
    <w:multiLevelType w:val="hybridMultilevel"/>
    <w:lvl w:ilvl="0">
      <w:lvlJc w:val="left"/>
      <w:lvlText w:val="(%1)"/>
      <w:numFmt w:val="decimal"/>
      <w:start w:val="1"/>
    </w:lvl>
  </w:abstractNum>
  <w:abstractNum w:abstractNumId="13">
    <w:nsid w:val="7644A45C"/>
    <w:multiLevelType w:val="hybridMultilevel"/>
    <w:lvl w:ilvl="0">
      <w:lvlJc w:val="left"/>
      <w:lvlText w:val="(%1)"/>
      <w:numFmt w:val="decimal"/>
      <w:start w:val="1"/>
    </w:lvl>
  </w:abstractNum>
  <w:abstractNum w:abstractNumId="14">
    <w:nsid w:val="32FFF902"/>
    <w:multiLevelType w:val="hybridMultilevel"/>
    <w:lvl w:ilvl="0">
      <w:lvlJc w:val="left"/>
      <w:lvlText w:val="(%1)"/>
      <w:numFmt w:val="decimal"/>
      <w:start w:val="1"/>
    </w:lvl>
  </w:abstractNum>
  <w:abstractNum w:abstractNumId="15">
    <w:nsid w:val="684A481A"/>
    <w:multiLevelType w:val="hybridMultilevel"/>
    <w:lvl w:ilvl="0">
      <w:lvlJc w:val="left"/>
      <w:lvlText w:val="(%1)"/>
      <w:numFmt w:val="decimal"/>
      <w:start w:val="1"/>
    </w:lvl>
  </w:abstractNum>
  <w:abstractNum w:abstractNumId="16">
    <w:nsid w:val="579478FE"/>
    <w:multiLevelType w:val="hybridMultilevel"/>
    <w:lvl w:ilvl="0">
      <w:lvlJc w:val="left"/>
      <w:lvlText w:val="(%1)"/>
      <w:numFmt w:val="decimal"/>
      <w:start w:val="1"/>
    </w:lvl>
  </w:abstractNum>
  <w:abstractNum w:abstractNumId="17">
    <w:nsid w:val="749ABB43"/>
    <w:multiLevelType w:val="hybridMultilevel"/>
    <w:lvl w:ilvl="0">
      <w:lvlJc w:val="left"/>
      <w:lvlText w:val="(%1)"/>
      <w:numFmt w:val="decimal"/>
      <w:start w:val="1"/>
    </w:lvl>
  </w:abstractNum>
  <w:abstractNum w:abstractNumId="18">
    <w:nsid w:val="3DC240FB"/>
    <w:multiLevelType w:val="hybridMultilevel"/>
    <w:lvl w:ilvl="0">
      <w:lvlJc w:val="left"/>
      <w:lvlText w:val="(%1)"/>
      <w:numFmt w:val="decimal"/>
      <w:start w:val="1"/>
    </w:lvl>
  </w:abstractNum>
  <w:abstractNum w:abstractNumId="19">
    <w:nsid w:val="1BA026FA"/>
    <w:multiLevelType w:val="hybridMultilevel"/>
    <w:lvl w:ilvl="0">
      <w:lvlJc w:val="left"/>
      <w:lvlText w:val="(%1)"/>
      <w:numFmt w:val="decimal"/>
      <w:start w:val="11"/>
    </w:lvl>
  </w:abstractNum>
  <w:abstractNum w:abstractNumId="20">
    <w:nsid w:val="79A1DEAA"/>
    <w:multiLevelType w:val="hybridMultilevel"/>
    <w:lvl w:ilvl="0">
      <w:lvlJc w:val="left"/>
      <w:lvlText w:val="(%1)"/>
      <w:numFmt w:val="decimal"/>
      <w:start w:val="1"/>
    </w:lvl>
  </w:abstractNum>
  <w:abstractNum w:abstractNumId="21">
    <w:nsid w:val="75C6C33A"/>
    <w:multiLevelType w:val="hybridMultilevel"/>
    <w:lvl w:ilvl="0">
      <w:lvlJc w:val="left"/>
      <w:lvlText w:val="(%1)"/>
      <w:numFmt w:val="decimal"/>
      <w:start w:val="1"/>
    </w:lvl>
    <w:lvl w:ilvl="1">
      <w:lvlJc w:val="left"/>
      <w:lvlText w:val="(%2)"/>
      <w:numFmt w:val="lowerRoman"/>
      <w:start w:val="6"/>
    </w:lvl>
  </w:abstractNum>
  <w:abstractNum w:abstractNumId="22">
    <w:nsid w:val="12E685FB"/>
    <w:multiLevelType w:val="hybridMultilevel"/>
    <w:lvl w:ilvl="0">
      <w:lvlJc w:val="left"/>
      <w:lvlText w:val="(%1)"/>
      <w:numFmt w:val="upperLetter"/>
      <w:start w:val="1"/>
    </w:lvl>
    <w:lvl w:ilvl="1">
      <w:lvlJc w:val="left"/>
      <w:lvlText w:val="(%2)"/>
      <w:numFmt w:val="decimal"/>
      <w:start w:val="1"/>
    </w:lvl>
  </w:abstractNum>
  <w:abstractNum w:abstractNumId="23">
    <w:nsid w:val="70C6A529"/>
    <w:multiLevelType w:val="hybridMultilevel"/>
    <w:lvl w:ilvl="0">
      <w:lvlJc w:val="left"/>
      <w:lvlText w:val="(%1)"/>
      <w:numFmt w:val="decimal"/>
      <w:start w:val="1"/>
    </w:lvl>
  </w:abstractNum>
  <w:abstractNum w:abstractNumId="24">
    <w:nsid w:val="520EEDD1"/>
    <w:multiLevelType w:val="hybridMultilevel"/>
    <w:lvl w:ilvl="0">
      <w:lvlJc w:val="left"/>
      <w:lvlText w:val="(%1)"/>
      <w:numFmt w:val="decimal"/>
      <w:start w:val="1"/>
    </w:lvl>
  </w:abstractNum>
  <w:abstractNum w:abstractNumId="25">
    <w:nsid w:val="374A3FE6"/>
    <w:multiLevelType w:val="hybridMultilevel"/>
    <w:lvl w:ilvl="0">
      <w:lvlJc w:val="left"/>
      <w:lvlText w:val="(%1)"/>
      <w:numFmt w:val="upperLetter"/>
      <w:start w:val="3"/>
    </w:lvl>
  </w:abstractNum>
  <w:abstractNum w:abstractNumId="26">
    <w:nsid w:val="4F4EF005"/>
    <w:multiLevelType w:val="hybridMultilevel"/>
    <w:lvl w:ilvl="0">
      <w:lvlJc w:val="left"/>
      <w:lvlText w:val="(%1)"/>
      <w:numFmt w:val="decimal"/>
      <w:start w:val="1"/>
    </w:lvl>
  </w:abstractNum>
  <w:abstractNum w:abstractNumId="27">
    <w:nsid w:val="23F9C13C"/>
    <w:multiLevelType w:val="hybridMultilevel"/>
    <w:lvl w:ilvl="0">
      <w:lvlJc w:val="left"/>
      <w:lvlText w:val="(%1)"/>
      <w:numFmt w:val="decimal"/>
      <w:start w:val="1"/>
    </w:lvl>
  </w:abstractNum>
  <w:abstractNum w:abstractNumId="28">
    <w:nsid w:val="649BB77C"/>
    <w:multiLevelType w:val="hybridMultilevel"/>
    <w:lvl w:ilvl="0">
      <w:lvlJc w:val="left"/>
      <w:lvlText w:val="(%1)"/>
      <w:numFmt w:val="decimal"/>
      <w:start w:val="1"/>
    </w:lvl>
  </w:abstractNum>
  <w:abstractNum w:abstractNumId="29">
    <w:nsid w:val="275AC794"/>
    <w:multiLevelType w:val="hybridMultilevel"/>
    <w:lvl w:ilvl="0">
      <w:lvlJc w:val="left"/>
      <w:lvlText w:val="(%1)"/>
      <w:numFmt w:val="upperLetter"/>
      <w:start w:val="2"/>
    </w:lvl>
    <w:lvl w:ilvl="1">
      <w:lvlJc w:val="left"/>
      <w:lvlText w:val="(%2)"/>
      <w:numFmt w:val="lowerRoman"/>
      <w:start w:val="1"/>
    </w:lvl>
  </w:abstractNum>
  <w:abstractNum w:abstractNumId="30">
    <w:nsid w:val="39386575"/>
    <w:multiLevelType w:val="hybridMultilevel"/>
    <w:lvl w:ilvl="0">
      <w:lvlJc w:val="left"/>
      <w:lvlText w:val="(%1)"/>
      <w:numFmt w:val="decimal"/>
      <w:start w:val="1"/>
    </w:lvl>
  </w:abstractNum>
  <w:abstractNum w:abstractNumId="31">
    <w:nsid w:val="1CF10FD8"/>
    <w:multiLevelType w:val="hybridMultilevel"/>
    <w:lvl w:ilvl="0">
      <w:lvlJc w:val="left"/>
      <w:lvlText w:val="(%1)"/>
      <w:numFmt w:val="decimal"/>
      <w:start w:val="1"/>
    </w:lvl>
  </w:abstractNum>
  <w:abstractNum w:abstractNumId="32">
    <w:nsid w:val="180115BE"/>
    <w:multiLevelType w:val="hybridMultilevel"/>
    <w:lvl w:ilvl="0">
      <w:lvlJc w:val="left"/>
      <w:lvlText w:val="(%1)"/>
      <w:numFmt w:val="decimal"/>
      <w:start w:val="1"/>
    </w:lvl>
  </w:abstractNum>
  <w:abstractNum w:abstractNumId="33">
    <w:nsid w:val="235BA861"/>
    <w:multiLevelType w:val="hybridMultilevel"/>
    <w:lvl w:ilvl="0">
      <w:lvlJc w:val="left"/>
      <w:lvlText w:val="(%1)"/>
      <w:numFmt w:val="decimal"/>
      <w:start w:val="1"/>
    </w:lvl>
  </w:abstractNum>
  <w:abstractNum w:abstractNumId="34">
    <w:nsid w:val="47398C89"/>
    <w:multiLevelType w:val="hybridMultilevel"/>
    <w:lvl w:ilvl="0">
      <w:lvlJc w:val="left"/>
      <w:lvlText w:val="8"/>
      <w:numFmt w:val="bullet"/>
      <w:start w:val="1"/>
    </w:lvl>
  </w:abstractNum>
  <w:abstractNum w:abstractNumId="35">
    <w:nsid w:val="354FE9F9"/>
    <w:multiLevelType w:val="hybridMultilevel"/>
    <w:lvl w:ilvl="0">
      <w:lvlJc w:val="left"/>
      <w:lvlText w:val="(%1)"/>
      <w:numFmt w:val="lowerLetter"/>
      <w:start w:val="1"/>
    </w:lvl>
  </w:abstractNum>
  <w:abstractNum w:abstractNumId="36">
    <w:nsid w:val="15B5AF5C"/>
    <w:multiLevelType w:val="hybridMultilevel"/>
    <w:lvl w:ilvl="0">
      <w:lvlJc w:val="left"/>
      <w:lvlText w:val="(%1)"/>
      <w:numFmt w:val="lowerLetter"/>
      <w:start w:val="2"/>
    </w:lvl>
  </w:abstractNum>
  <w:abstractNum w:abstractNumId="37">
    <w:nsid w:val="741226BB"/>
    <w:multiLevelType w:val="hybridMultilevel"/>
    <w:lvl w:ilvl="0">
      <w:lvlJc w:val="left"/>
      <w:lvlText w:val="(%1)"/>
      <w:numFmt w:val="lowerRoman"/>
      <w:start w:val="1"/>
    </w:lvl>
  </w:abstractNum>
  <w:abstractNum w:abstractNumId="38">
    <w:nsid w:val="D34B6A8"/>
    <w:multiLevelType w:val="hybridMultilevel"/>
    <w:lvl w:ilvl="0">
      <w:lvlJc w:val="left"/>
      <w:lvlText w:val="-"/>
      <w:numFmt w:val="bullet"/>
      <w:start w:val="1"/>
    </w:lvl>
  </w:abstractNum>
  <w:abstractNum w:abstractNumId="39">
    <w:nsid w:val="10233C99"/>
    <w:multiLevelType w:val="hybridMultilevel"/>
    <w:lvl w:ilvl="0">
      <w:lvlJc w:val="left"/>
      <w:lvlText w:val="(%1)"/>
      <w:numFmt w:val="lowerLetter"/>
      <w:start w:val="2"/>
    </w:lvl>
  </w:abstractNum>
  <w:abstractNum w:abstractNumId="40">
    <w:nsid w:val="3F6AB60F"/>
    <w:multiLevelType w:val="hybridMultilevel"/>
    <w:lvl w:ilvl="0">
      <w:lvlJc w:val="left"/>
      <w:lvlText w:val="(%1)"/>
      <w:numFmt w:val="lowerLetter"/>
      <w:start w:val="2"/>
    </w:lvl>
  </w:abstractNum>
  <w:abstractNum w:abstractNumId="41">
    <w:nsid w:val="61574095"/>
    <w:multiLevelType w:val="hybridMultilevel"/>
    <w:lvl w:ilvl="0">
      <w:lvlJc w:val="left"/>
      <w:lvlText w:val="(%1)"/>
      <w:numFmt w:val="lowerLetter"/>
      <w:start w:val="4"/>
    </w:lvl>
  </w:abstractNum>
  <w:abstractNum w:abstractNumId="42">
    <w:nsid w:val="7E0C57B1"/>
    <w:multiLevelType w:val="hybridMultilevel"/>
    <w:lvl w:ilvl="0">
      <w:lvlJc w:val="left"/>
      <w:lvlText w:val="(%1)"/>
      <w:numFmt w:val="lowerLetter"/>
      <w:start w:val="2"/>
    </w:lvl>
  </w:abstractNum>
  <w:abstractNum w:abstractNumId="43">
    <w:nsid w:val="77AE35EB"/>
    <w:multiLevelType w:val="hybridMultilevel"/>
    <w:lvl w:ilvl="0">
      <w:lvlJc w:val="left"/>
      <w:lvlText w:val="(%1)"/>
      <w:numFmt w:val="lowerLetter"/>
      <w:start w:val="7"/>
    </w:lvl>
  </w:abstractNum>
  <w:abstractNum w:abstractNumId="44">
    <w:nsid w:val="579BE4F1"/>
    <w:multiLevelType w:val="hybridMultilevel"/>
    <w:lvl w:ilvl="0">
      <w:lvlJc w:val="left"/>
      <w:lvlText w:val="(%1)"/>
      <w:numFmt w:val="lowerLetter"/>
      <w:start w:val="8"/>
    </w:lvl>
  </w:abstractNum>
  <w:abstractNum w:abstractNumId="45">
    <w:nsid w:val="310C50B3"/>
    <w:multiLevelType w:val="hybridMultilevel"/>
    <w:lvl w:ilvl="0">
      <w:lvlJc w:val="left"/>
      <w:lvlText w:val="(%1)"/>
      <w:numFmt w:val="lowerLetter"/>
      <w:start w:val="2"/>
    </w:lvl>
  </w:abstractNum>
  <w:abstractNum w:abstractNumId="46">
    <w:nsid w:val="5FF87E05"/>
    <w:multiLevelType w:val="hybridMultilevel"/>
    <w:lvl w:ilvl="0">
      <w:lvlJc w:val="left"/>
      <w:lvlText w:val="(%1)"/>
      <w:numFmt w:val="lowerLetter"/>
      <w:start w:val="1"/>
    </w:lvl>
  </w:abstractNum>
  <w:abstractNum w:abstractNumId="47">
    <w:nsid w:val="2F305DEF"/>
    <w:multiLevelType w:val="hybridMultilevel"/>
    <w:lvl w:ilvl="0">
      <w:lvlJc w:val="left"/>
      <w:lvlText w:val="(%1)"/>
      <w:numFmt w:val="lowerLetter"/>
      <w:start w:val="2"/>
    </w:lvl>
  </w:abstractNum>
  <w:abstractNum w:abstractNumId="48">
    <w:nsid w:val="25A70BF7"/>
    <w:multiLevelType w:val="hybridMultilevel"/>
    <w:lvl w:ilvl="0">
      <w:lvlJc w:val="left"/>
      <w:lvlText w:val="(%1)"/>
      <w:numFmt w:val="lowerLetter"/>
      <w:start w:val="4"/>
    </w:lvl>
  </w:abstractNum>
  <w:abstractNum w:abstractNumId="49">
    <w:nsid w:val="1DBABF00"/>
    <w:multiLevelType w:val="hybridMultilevel"/>
    <w:lvl w:ilvl="0">
      <w:lvlJc w:val="left"/>
      <w:lvlText w:val="(%1)"/>
      <w:numFmt w:val="lowerLetter"/>
      <w:start w:val="3"/>
    </w:lvl>
  </w:abstractNum>
  <w:abstractNum w:abstractNumId="50">
    <w:nsid w:val="4AD084E9"/>
    <w:multiLevelType w:val="hybridMultilevel"/>
    <w:lvl w:ilvl="0">
      <w:lvlJc w:val="left"/>
      <w:lvlText w:val="(%1)"/>
      <w:numFmt w:val="lowerLetter"/>
      <w:start w:val="4"/>
    </w:lvl>
  </w:abstractNum>
  <w:abstractNum w:abstractNumId="51">
    <w:nsid w:val="1F48EAA1"/>
    <w:multiLevelType w:val="hybridMultilevel"/>
    <w:lvl w:ilvl="0">
      <w:lvlJc w:val="left"/>
      <w:lvlText w:val="-"/>
      <w:numFmt w:val="bullet"/>
      <w:start w:val="1"/>
    </w:lvl>
  </w:abstractNum>
  <w:abstractNum w:abstractNumId="52">
    <w:nsid w:val="1381823A"/>
    <w:multiLevelType w:val="hybridMultilevel"/>
    <w:lvl w:ilvl="0">
      <w:lvlJc w:val="left"/>
      <w:lvlText w:val="-"/>
      <w:numFmt w:val="bullet"/>
      <w:start w:val="1"/>
    </w:lvl>
  </w:abstractNum>
  <w:abstractNum w:abstractNumId="53">
    <w:nsid w:val="5DB70AE5"/>
    <w:multiLevelType w:val="hybridMultilevel"/>
    <w:lvl w:ilvl="0">
      <w:lvlJc w:val="left"/>
      <w:lvlText w:val="(%1)"/>
      <w:numFmt w:val="lowerLetter"/>
      <w:start w:val="3"/>
    </w:lvl>
  </w:abstractNum>
  <w:abstractNum w:abstractNumId="54">
    <w:nsid w:val="100F8FCA"/>
    <w:multiLevelType w:val="hybridMultilevel"/>
    <w:lvl w:ilvl="0">
      <w:lvlJc w:val="left"/>
      <w:lvlText w:val="(%1)"/>
      <w:numFmt w:val="lowerLetter"/>
      <w:start w:val="2"/>
    </w:lvl>
  </w:abstractNum>
  <w:abstractNum w:abstractNumId="55">
    <w:nsid w:val="6590700B"/>
    <w:multiLevelType w:val="hybridMultilevel"/>
    <w:lvl w:ilvl="0">
      <w:lvlJc w:val="left"/>
      <w:lvlText w:val="(%1)"/>
      <w:numFmt w:val="lowerLetter"/>
      <w:start w:val="1"/>
    </w:lvl>
  </w:abstractNum>
  <w:abstractNum w:abstractNumId="56">
    <w:nsid w:val="15014ACB"/>
    <w:multiLevelType w:val="hybridMultilevel"/>
    <w:lvl w:ilvl="0">
      <w:lvlJc w:val="left"/>
      <w:lvlText w:val="(%1)"/>
      <w:numFmt w:val="lowerLetter"/>
      <w:start w:val="2"/>
    </w:lvl>
  </w:abstractNum>
  <w:abstractNum w:abstractNumId="57">
    <w:nsid w:val="5F5E7FD0"/>
    <w:multiLevelType w:val="hybridMultilevel"/>
    <w:lvl w:ilvl="0">
      <w:lvlJc w:val="left"/>
      <w:lvlText w:val="(%1)"/>
      <w:numFmt w:val="lowerLetter"/>
      <w:start w:val="3"/>
    </w:lvl>
  </w:abstractNum>
  <w:abstractNum w:abstractNumId="58">
    <w:nsid w:val="98A3148"/>
    <w:multiLevelType w:val="hybridMultilevel"/>
    <w:lvl w:ilvl="0">
      <w:lvlJc w:val="left"/>
      <w:lvlText w:val="(%1)"/>
      <w:numFmt w:val="lowerLetter"/>
      <w:start w:val="2"/>
    </w:lvl>
  </w:abstractNum>
  <w:abstractNum w:abstractNumId="59">
    <w:nsid w:val="799D0247"/>
    <w:multiLevelType w:val="hybridMultilevel"/>
    <w:lvl w:ilvl="0">
      <w:lvlJc w:val="left"/>
      <w:lvlText w:val="(%1)"/>
      <w:numFmt w:val="lowerLetter"/>
      <w:start w:val="3"/>
    </w:lvl>
  </w:abstractNum>
  <w:abstractNum w:abstractNumId="60">
    <w:nsid w:val="6B94764"/>
    <w:multiLevelType w:val="hybridMultilevel"/>
    <w:lvl w:ilvl="0">
      <w:lvlJc w:val="left"/>
      <w:lvlText w:val="(%1)"/>
      <w:numFmt w:val="lowerLetter"/>
      <w:start w:val="5"/>
    </w:lvl>
  </w:abstractNum>
  <w:abstractNum w:abstractNumId="61">
    <w:nsid w:val="42C296BD"/>
    <w:multiLevelType w:val="hybridMultilevel"/>
    <w:lvl w:ilvl="0">
      <w:lvlJc w:val="left"/>
      <w:lvlText w:val="(*)"/>
      <w:numFmt w:val="bullet"/>
      <w:start w:val="1"/>
    </w:lvl>
  </w:abstractNum>
  <w:abstractNum w:abstractNumId="62">
    <w:nsid w:val="168E121F"/>
    <w:multiLevelType w:val="hybridMultilevel"/>
    <w:lvl w:ilvl="0">
      <w:lvlJc w:val="left"/>
      <w:lvlText w:val="(**)"/>
      <w:numFmt w:val="bullet"/>
      <w:start w:val="1"/>
    </w:lvl>
  </w:abstractNum>
  <w:abstractNum w:abstractNumId="63">
    <w:nsid w:val="1EBA5D23"/>
    <w:multiLevelType w:val="hybridMultilevel"/>
    <w:lvl w:ilvl="0">
      <w:lvlJc w:val="left"/>
      <w:lvlText w:val="(*)"/>
      <w:numFmt w:val="bullet"/>
      <w:start w:val="1"/>
    </w:lvl>
  </w:abstractNum>
  <w:abstractNum w:abstractNumId="64">
    <w:nsid w:val="661E3F1E"/>
    <w:multiLevelType w:val="hybridMultilevel"/>
    <w:lvl w:ilvl="0">
      <w:lvlJc w:val="left"/>
      <w:lvlText w:val="-"/>
      <w:numFmt w:val="bullet"/>
      <w:start w:val="1"/>
    </w:lvl>
  </w:abstractNum>
  <w:abstractNum w:abstractNumId="65">
    <w:nsid w:val="5DC79EA8"/>
    <w:multiLevelType w:val="hybridMultilevel"/>
    <w:lvl w:ilvl="0">
      <w:lvlJc w:val="left"/>
      <w:lvlText w:val="-"/>
      <w:numFmt w:val="bullet"/>
      <w:start w:val="1"/>
    </w:lvl>
  </w:abstractNum>
  <w:abstractNum w:abstractNumId="66">
    <w:nsid w:val="540A471C"/>
    <w:multiLevelType w:val="hybridMultilevel"/>
    <w:lvl w:ilvl="0">
      <w:lvlJc w:val="left"/>
      <w:lvlText w:val="-"/>
      <w:numFmt w:val="bullet"/>
      <w:start w:val="1"/>
    </w:lvl>
  </w:abstractNum>
  <w:abstractNum w:abstractNumId="67">
    <w:nsid w:val="7BD3EE7B"/>
    <w:multiLevelType w:val="hybridMultilevel"/>
    <w:lvl w:ilvl="0">
      <w:lvlJc w:val="left"/>
      <w:lvlText w:val="-"/>
      <w:numFmt w:val="bullet"/>
      <w:start w:val="1"/>
    </w:lvl>
  </w:abstractNum>
  <w:abstractNum w:abstractNumId="68">
    <w:nsid w:val="51D9C564"/>
    <w:multiLevelType w:val="hybridMultilevel"/>
    <w:lvl w:ilvl="0">
      <w:lvlJc w:val="left"/>
      <w:lvlText w:val="-"/>
      <w:numFmt w:val="bullet"/>
      <w:start w:val="1"/>
    </w:lvl>
  </w:abstractNum>
  <w:abstractNum w:abstractNumId="69">
    <w:nsid w:val="613EFDC5"/>
    <w:multiLevelType w:val="hybridMultilevel"/>
    <w:lvl w:ilvl="0">
      <w:lvlJc w:val="left"/>
      <w:lvlText w:val="8"/>
      <w:numFmt w:val="bullet"/>
      <w:start w:val="1"/>
    </w:lvl>
  </w:abstractNum>
  <w:abstractNum w:abstractNumId="70">
    <w:nsid w:val="BF72B14"/>
    <w:multiLevelType w:val="hybridMultilevel"/>
    <w:lvl w:ilvl="0">
      <w:lvlJc w:val="left"/>
      <w:lvlText w:val="%1."/>
      <w:numFmt w:val="decimal"/>
      <w:start w:val="1"/>
    </w:lvl>
  </w:abstractNum>
  <w:abstractNum w:abstractNumId="71">
    <w:nsid w:val="11447B73"/>
    <w:multiLevelType w:val="hybridMultilevel"/>
    <w:lvl w:ilvl="0">
      <w:lvlJc w:val="left"/>
      <w:lvlText w:val="%1)"/>
      <w:numFmt w:val="lowerLetter"/>
      <w:start w:val="1"/>
    </w:lvl>
  </w:abstractNum>
  <w:abstractNum w:abstractNumId="72">
    <w:nsid w:val="42963E5A"/>
    <w:multiLevelType w:val="hybridMultilevel"/>
    <w:lvl w:ilvl="0">
      <w:lvlJc w:val="left"/>
      <w:lvlText w:val="%1."/>
      <w:numFmt w:val="decimal"/>
      <w:start w:val="5"/>
    </w:lvl>
  </w:abstractNum>
  <w:abstractNum w:abstractNumId="73">
    <w:nsid w:val="A0382C5"/>
    <w:multiLevelType w:val="hybridMultilevel"/>
    <w:lvl w:ilvl="0">
      <w:lvlJc w:val="left"/>
      <w:lvlText w:val="%1)"/>
      <w:numFmt w:val="lowerLetter"/>
      <w:start w:val="1"/>
    </w:lvl>
  </w:abstractNum>
  <w:abstractNum w:abstractNumId="74">
    <w:nsid w:val="8F2B15E"/>
    <w:multiLevelType w:val="hybridMultilevel"/>
    <w:lvl w:ilvl="0">
      <w:lvlJc w:val="left"/>
      <w:lvlText w:val="%1."/>
      <w:numFmt w:val="decimal"/>
      <w:start w:val="1"/>
    </w:lvl>
  </w:abstractNum>
  <w:abstractNum w:abstractNumId="75">
    <w:nsid w:val="1A32234B"/>
    <w:multiLevelType w:val="hybridMultilevel"/>
    <w:lvl w:ilvl="0">
      <w:lvlJc w:val="left"/>
      <w:lvlText w:val="%1)"/>
      <w:numFmt w:val="lowerLetter"/>
      <w:start w:val="1"/>
    </w:lvl>
  </w:abstractNum>
  <w:abstractNum w:abstractNumId="76">
    <w:nsid w:val="3B0FD379"/>
    <w:multiLevelType w:val="hybridMultilevel"/>
    <w:lvl w:ilvl="0">
      <w:lvlJc w:val="left"/>
      <w:lvlText w:val="%1."/>
      <w:numFmt w:val="decimal"/>
      <w:start w:val="5"/>
    </w:lvl>
  </w:abstractNum>
  <w:abstractNum w:abstractNumId="77">
    <w:nsid w:val="68EB2F63"/>
    <w:multiLevelType w:val="hybridMultilevel"/>
    <w:lvl w:ilvl="0">
      <w:lvlJc w:val="left"/>
      <w:lvlText w:val="%1)"/>
      <w:numFmt w:val="lowerLetter"/>
      <w:start w:val="1"/>
    </w:lvl>
  </w:abstractNum>
  <w:abstractNum w:abstractNumId="78">
    <w:nsid w:val="4962813B"/>
    <w:multiLevelType w:val="hybridMultilevel"/>
    <w:lvl w:ilvl="0">
      <w:lvlJc w:val="left"/>
      <w:lvlText w:val="%1."/>
      <w:numFmt w:val="decimal"/>
      <w:start w:val="1"/>
    </w:lvl>
  </w:abstractNum>
  <w:abstractNum w:abstractNumId="79">
    <w:nsid w:val="60B6DF70"/>
    <w:multiLevelType w:val="hybridMultilevel"/>
    <w:lvl w:ilvl="0">
      <w:lvlJc w:val="left"/>
      <w:lvlText w:val="(%1)"/>
      <w:numFmt w:val="upperLetter"/>
      <w:start w:val="1"/>
    </w:lvl>
  </w:abstractNum>
  <w:abstractNum w:abstractNumId="80">
    <w:nsid w:val="6A5EE64"/>
    <w:multiLevelType w:val="hybridMultilevel"/>
    <w:lvl w:ilvl="0">
      <w:lvlJc w:val="left"/>
      <w:lvlText w:val="%1."/>
      <w:numFmt w:val="decimal"/>
      <w:start w:val="1"/>
    </w:lvl>
  </w:abstractNum>
  <w:abstractNum w:abstractNumId="81">
    <w:nsid w:val="14330624"/>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jpeg"/><Relationship Id="rId862" Type="http://schemas.openxmlformats.org/officeDocument/2006/relationships/image" Target="media/image855.jpe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png"/><Relationship Id="rId1595" Type="http://schemas.openxmlformats.org/officeDocument/2006/relationships/image" Target="media/image1588.pn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png"/><Relationship Id="rId1611" Type="http://schemas.openxmlformats.org/officeDocument/2006/relationships/image" Target="media/image1604.png"/><Relationship Id="rId1612" Type="http://schemas.openxmlformats.org/officeDocument/2006/relationships/image" Target="media/image1605.png"/><Relationship Id="rId1613" Type="http://schemas.openxmlformats.org/officeDocument/2006/relationships/image" Target="media/image1606.png"/><Relationship Id="rId1614" Type="http://schemas.openxmlformats.org/officeDocument/2006/relationships/image" Target="media/image1607.png"/><Relationship Id="rId1615" Type="http://schemas.openxmlformats.org/officeDocument/2006/relationships/image" Target="media/image1608.png"/><Relationship Id="rId1616" Type="http://schemas.openxmlformats.org/officeDocument/2006/relationships/image" Target="media/image1609.png"/><Relationship Id="rId1617" Type="http://schemas.openxmlformats.org/officeDocument/2006/relationships/image" Target="media/image1610.png"/><Relationship Id="rId1618" Type="http://schemas.openxmlformats.org/officeDocument/2006/relationships/image" Target="media/image1611.png"/><Relationship Id="rId1619" Type="http://schemas.openxmlformats.org/officeDocument/2006/relationships/image" Target="media/image1612.png"/><Relationship Id="rId1620" Type="http://schemas.openxmlformats.org/officeDocument/2006/relationships/image" Target="media/image1613.png"/><Relationship Id="rId1621" Type="http://schemas.openxmlformats.org/officeDocument/2006/relationships/image" Target="media/image1614.png"/><Relationship Id="rId1622" Type="http://schemas.openxmlformats.org/officeDocument/2006/relationships/image" Target="media/image1615.png"/><Relationship Id="rId1623" Type="http://schemas.openxmlformats.org/officeDocument/2006/relationships/image" Target="media/image1616.png"/><Relationship Id="rId1624" Type="http://schemas.openxmlformats.org/officeDocument/2006/relationships/image" Target="media/image1617.png"/><Relationship Id="rId1625" Type="http://schemas.openxmlformats.org/officeDocument/2006/relationships/image" Target="media/image1618.png"/><Relationship Id="rId1626" Type="http://schemas.openxmlformats.org/officeDocument/2006/relationships/image" Target="media/image1619.png"/><Relationship Id="rId1627" Type="http://schemas.openxmlformats.org/officeDocument/2006/relationships/image" Target="media/image1620.png"/><Relationship Id="rId1628" Type="http://schemas.openxmlformats.org/officeDocument/2006/relationships/image" Target="media/image1621.png"/><Relationship Id="rId1629" Type="http://schemas.openxmlformats.org/officeDocument/2006/relationships/image" Target="media/image1622.png"/><Relationship Id="rId1630" Type="http://schemas.openxmlformats.org/officeDocument/2006/relationships/image" Target="media/image1623.png"/><Relationship Id="rId1631" Type="http://schemas.openxmlformats.org/officeDocument/2006/relationships/image" Target="media/image1624.png"/><Relationship Id="rId1632" Type="http://schemas.openxmlformats.org/officeDocument/2006/relationships/image" Target="media/image1625.png"/><Relationship Id="rId1633" Type="http://schemas.openxmlformats.org/officeDocument/2006/relationships/image" Target="media/image1626.png"/><Relationship Id="rId1634" Type="http://schemas.openxmlformats.org/officeDocument/2006/relationships/image" Target="media/image1627.png"/><Relationship Id="rId1635" Type="http://schemas.openxmlformats.org/officeDocument/2006/relationships/image" Target="media/image1628.png"/><Relationship Id="rId1636" Type="http://schemas.openxmlformats.org/officeDocument/2006/relationships/image" Target="media/image1629.png"/><Relationship Id="rId1637" Type="http://schemas.openxmlformats.org/officeDocument/2006/relationships/image" Target="media/image1630.png"/><Relationship Id="rId1638" Type="http://schemas.openxmlformats.org/officeDocument/2006/relationships/image" Target="media/image1631.png"/><Relationship Id="rId1639" Type="http://schemas.openxmlformats.org/officeDocument/2006/relationships/image" Target="media/image1632.png"/><Relationship Id="rId1640" Type="http://schemas.openxmlformats.org/officeDocument/2006/relationships/image" Target="media/image1633.png"/><Relationship Id="rId1641" Type="http://schemas.openxmlformats.org/officeDocument/2006/relationships/image" Target="media/image1634.png"/><Relationship Id="rId1642" Type="http://schemas.openxmlformats.org/officeDocument/2006/relationships/image" Target="media/image1635.png"/><Relationship Id="rId1643" Type="http://schemas.openxmlformats.org/officeDocument/2006/relationships/image" Target="media/image1636.png"/><Relationship Id="rId1644" Type="http://schemas.openxmlformats.org/officeDocument/2006/relationships/image" Target="media/image1637.png"/><Relationship Id="rId1645" Type="http://schemas.openxmlformats.org/officeDocument/2006/relationships/image" Target="media/image1638.png"/><Relationship Id="rId1646" Type="http://schemas.openxmlformats.org/officeDocument/2006/relationships/image" Target="media/image1639.png"/><Relationship Id="rId1647" Type="http://schemas.openxmlformats.org/officeDocument/2006/relationships/image" Target="media/image1640.png"/><Relationship Id="rId1648" Type="http://schemas.openxmlformats.org/officeDocument/2006/relationships/image" Target="media/image1641.png"/><Relationship Id="rId1649" Type="http://schemas.openxmlformats.org/officeDocument/2006/relationships/image" Target="media/image1642.png"/><Relationship Id="rId1650" Type="http://schemas.openxmlformats.org/officeDocument/2006/relationships/image" Target="media/image1643.png"/><Relationship Id="rId1651" Type="http://schemas.openxmlformats.org/officeDocument/2006/relationships/image" Target="media/image1644.png"/><Relationship Id="rId1652" Type="http://schemas.openxmlformats.org/officeDocument/2006/relationships/image" Target="media/image1645.png"/><Relationship Id="rId1653" Type="http://schemas.openxmlformats.org/officeDocument/2006/relationships/image" Target="media/image1646.png"/><Relationship Id="rId1654" Type="http://schemas.openxmlformats.org/officeDocument/2006/relationships/image" Target="media/image1647.png"/><Relationship Id="rId1655" Type="http://schemas.openxmlformats.org/officeDocument/2006/relationships/image" Target="media/image1648.png"/><Relationship Id="rId1656" Type="http://schemas.openxmlformats.org/officeDocument/2006/relationships/image" Target="media/image1649.png"/><Relationship Id="rId1657" Type="http://schemas.openxmlformats.org/officeDocument/2006/relationships/image" Target="media/image1650.png"/><Relationship Id="rId1658" Type="http://schemas.openxmlformats.org/officeDocument/2006/relationships/image" Target="media/image1651.png"/><Relationship Id="rId1659" Type="http://schemas.openxmlformats.org/officeDocument/2006/relationships/image" Target="media/image1652.png"/><Relationship Id="rId1660" Type="http://schemas.openxmlformats.org/officeDocument/2006/relationships/image" Target="media/image1653.png"/><Relationship Id="rId1661" Type="http://schemas.openxmlformats.org/officeDocument/2006/relationships/image" Target="media/image1654.png"/><Relationship Id="rId1662" Type="http://schemas.openxmlformats.org/officeDocument/2006/relationships/image" Target="media/image1655.png"/><Relationship Id="rId1663" Type="http://schemas.openxmlformats.org/officeDocument/2006/relationships/image" Target="media/image1656.png"/><Relationship Id="rId1664" Type="http://schemas.openxmlformats.org/officeDocument/2006/relationships/image" Target="media/image1657.png"/><Relationship Id="rId1665" Type="http://schemas.openxmlformats.org/officeDocument/2006/relationships/image" Target="media/image1658.png"/><Relationship Id="rId1666" Type="http://schemas.openxmlformats.org/officeDocument/2006/relationships/image" Target="media/image1659.png"/><Relationship Id="rId1667" Type="http://schemas.openxmlformats.org/officeDocument/2006/relationships/image" Target="media/image1660.png"/><Relationship Id="rId1668" Type="http://schemas.openxmlformats.org/officeDocument/2006/relationships/image" Target="media/image1661.png"/><Relationship Id="rId1669" Type="http://schemas.openxmlformats.org/officeDocument/2006/relationships/image" Target="media/image1662.png"/><Relationship Id="rId1670" Type="http://schemas.openxmlformats.org/officeDocument/2006/relationships/image" Target="media/image1663.png"/><Relationship Id="rId1671" Type="http://schemas.openxmlformats.org/officeDocument/2006/relationships/image" Target="media/image1664.png"/><Relationship Id="rId1672" Type="http://schemas.openxmlformats.org/officeDocument/2006/relationships/image" Target="media/image1665.png"/><Relationship Id="rId1673" Type="http://schemas.openxmlformats.org/officeDocument/2006/relationships/image" Target="media/image1666.png"/><Relationship Id="rId1674" Type="http://schemas.openxmlformats.org/officeDocument/2006/relationships/image" Target="media/image1667.png"/><Relationship Id="rId1675" Type="http://schemas.openxmlformats.org/officeDocument/2006/relationships/image" Target="media/image1668.png"/><Relationship Id="rId1676" Type="http://schemas.openxmlformats.org/officeDocument/2006/relationships/image" Target="media/image1669.png"/><Relationship Id="rId1677" Type="http://schemas.openxmlformats.org/officeDocument/2006/relationships/image" Target="media/image1670.png"/><Relationship Id="rId1678" Type="http://schemas.openxmlformats.org/officeDocument/2006/relationships/image" Target="media/image1671.png"/><Relationship Id="rId1679" Type="http://schemas.openxmlformats.org/officeDocument/2006/relationships/image" Target="media/image1672.png"/><Relationship Id="rId1680" Type="http://schemas.openxmlformats.org/officeDocument/2006/relationships/image" Target="media/image1673.png"/><Relationship Id="rId1681" Type="http://schemas.openxmlformats.org/officeDocument/2006/relationships/image" Target="media/image1674.png"/><Relationship Id="rId1682" Type="http://schemas.openxmlformats.org/officeDocument/2006/relationships/image" Target="media/image1675.png"/><Relationship Id="rId1683" Type="http://schemas.openxmlformats.org/officeDocument/2006/relationships/image" Target="media/image1676.png"/><Relationship Id="rId1684" Type="http://schemas.openxmlformats.org/officeDocument/2006/relationships/image" Target="media/image1677.png"/><Relationship Id="rId1685" Type="http://schemas.openxmlformats.org/officeDocument/2006/relationships/image" Target="media/image1678.png"/><Relationship Id="rId1686" Type="http://schemas.openxmlformats.org/officeDocument/2006/relationships/image" Target="media/image1679.png"/><Relationship Id="rId1687" Type="http://schemas.openxmlformats.org/officeDocument/2006/relationships/image" Target="media/image1680.png"/><Relationship Id="rId1688" Type="http://schemas.openxmlformats.org/officeDocument/2006/relationships/image" Target="media/image1681.png"/><Relationship Id="rId1689" Type="http://schemas.openxmlformats.org/officeDocument/2006/relationships/image" Target="media/image1682.png"/><Relationship Id="rId1690" Type="http://schemas.openxmlformats.org/officeDocument/2006/relationships/image" Target="media/image1683.png"/><Relationship Id="rId1691" Type="http://schemas.openxmlformats.org/officeDocument/2006/relationships/image" Target="media/image1684.png"/><Relationship Id="rId1692" Type="http://schemas.openxmlformats.org/officeDocument/2006/relationships/image" Target="media/image1685.png"/><Relationship Id="rId1693" Type="http://schemas.openxmlformats.org/officeDocument/2006/relationships/image" Target="media/image1686.png"/><Relationship Id="rId1694" Type="http://schemas.openxmlformats.org/officeDocument/2006/relationships/image" Target="media/image1687.png"/><Relationship Id="rId1695" Type="http://schemas.openxmlformats.org/officeDocument/2006/relationships/image" Target="media/image1688.png"/><Relationship Id="rId1696" Type="http://schemas.openxmlformats.org/officeDocument/2006/relationships/image" Target="media/image1689.png"/><Relationship Id="rId1697" Type="http://schemas.openxmlformats.org/officeDocument/2006/relationships/image" Target="media/image1690.png"/><Relationship Id="rId1698" Type="http://schemas.openxmlformats.org/officeDocument/2006/relationships/image" Target="media/image1691.png"/><Relationship Id="rId1699" Type="http://schemas.openxmlformats.org/officeDocument/2006/relationships/image" Target="media/image1692.png"/><Relationship Id="rId1700" Type="http://schemas.openxmlformats.org/officeDocument/2006/relationships/image" Target="media/image1693.png"/><Relationship Id="rId1701" Type="http://schemas.openxmlformats.org/officeDocument/2006/relationships/image" Target="media/image1694.png"/><Relationship Id="rId1702" Type="http://schemas.openxmlformats.org/officeDocument/2006/relationships/image" Target="media/image1695.png"/><Relationship Id="rId1703" Type="http://schemas.openxmlformats.org/officeDocument/2006/relationships/image" Target="media/image1696.png"/><Relationship Id="rId1704" Type="http://schemas.openxmlformats.org/officeDocument/2006/relationships/image" Target="media/image1697.png"/><Relationship Id="rId1705" Type="http://schemas.openxmlformats.org/officeDocument/2006/relationships/image" Target="media/image1698.png"/><Relationship Id="rId1706" Type="http://schemas.openxmlformats.org/officeDocument/2006/relationships/image" Target="media/image1699.png"/><Relationship Id="rId1707" Type="http://schemas.openxmlformats.org/officeDocument/2006/relationships/image" Target="media/image1700.png"/><Relationship Id="rId1708" Type="http://schemas.openxmlformats.org/officeDocument/2006/relationships/image" Target="media/image1701.png"/><Relationship Id="rId1709" Type="http://schemas.openxmlformats.org/officeDocument/2006/relationships/image" Target="media/image1702.png"/><Relationship Id="rId1710" Type="http://schemas.openxmlformats.org/officeDocument/2006/relationships/image" Target="media/image1703.png"/><Relationship Id="rId1711" Type="http://schemas.openxmlformats.org/officeDocument/2006/relationships/image" Target="media/image1704.png"/><Relationship Id="rId1712" Type="http://schemas.openxmlformats.org/officeDocument/2006/relationships/image" Target="media/image1705.png"/><Relationship Id="rId1713" Type="http://schemas.openxmlformats.org/officeDocument/2006/relationships/image" Target="media/image1706.png"/><Relationship Id="rId1714" Type="http://schemas.openxmlformats.org/officeDocument/2006/relationships/image" Target="media/image1707.png"/><Relationship Id="rId1715" Type="http://schemas.openxmlformats.org/officeDocument/2006/relationships/image" Target="media/image1708.png"/><Relationship Id="rId1716" Type="http://schemas.openxmlformats.org/officeDocument/2006/relationships/image" Target="media/image1709.png"/><Relationship Id="rId1717" Type="http://schemas.openxmlformats.org/officeDocument/2006/relationships/image" Target="media/image1710.png"/><Relationship Id="rId1718" Type="http://schemas.openxmlformats.org/officeDocument/2006/relationships/image" Target="media/image1711.png"/><Relationship Id="rId1719" Type="http://schemas.openxmlformats.org/officeDocument/2006/relationships/image" Target="media/image1712.png"/><Relationship Id="rId1720" Type="http://schemas.openxmlformats.org/officeDocument/2006/relationships/image" Target="media/image1713.png"/><Relationship Id="rId1721" Type="http://schemas.openxmlformats.org/officeDocument/2006/relationships/image" Target="media/image1714.png"/><Relationship Id="rId1722" Type="http://schemas.openxmlformats.org/officeDocument/2006/relationships/image" Target="media/image1715.png"/><Relationship Id="rId1723" Type="http://schemas.openxmlformats.org/officeDocument/2006/relationships/image" Target="media/image1716.png"/><Relationship Id="rId1724" Type="http://schemas.openxmlformats.org/officeDocument/2006/relationships/image" Target="media/image1717.png"/><Relationship Id="rId1725" Type="http://schemas.openxmlformats.org/officeDocument/2006/relationships/image" Target="media/image1718.png"/><Relationship Id="rId1726" Type="http://schemas.openxmlformats.org/officeDocument/2006/relationships/image" Target="media/image1719.png"/><Relationship Id="rId1727" Type="http://schemas.openxmlformats.org/officeDocument/2006/relationships/image" Target="media/image1720.png"/><Relationship Id="rId1728" Type="http://schemas.openxmlformats.org/officeDocument/2006/relationships/image" Target="media/image1721.png"/><Relationship Id="rId1729" Type="http://schemas.openxmlformats.org/officeDocument/2006/relationships/image" Target="media/image1722.png"/><Relationship Id="rId1730" Type="http://schemas.openxmlformats.org/officeDocument/2006/relationships/image" Target="media/image1723.png"/><Relationship Id="rId1731" Type="http://schemas.openxmlformats.org/officeDocument/2006/relationships/image" Target="media/image1724.png"/><Relationship Id="rId1732" Type="http://schemas.openxmlformats.org/officeDocument/2006/relationships/image" Target="media/image1725.png"/><Relationship Id="rId1733" Type="http://schemas.openxmlformats.org/officeDocument/2006/relationships/image" Target="media/image1726.png"/><Relationship Id="rId1734" Type="http://schemas.openxmlformats.org/officeDocument/2006/relationships/image" Target="media/image1727.png"/><Relationship Id="rId1735" Type="http://schemas.openxmlformats.org/officeDocument/2006/relationships/image" Target="media/image1728.png"/><Relationship Id="rId1736" Type="http://schemas.openxmlformats.org/officeDocument/2006/relationships/image" Target="media/image1729.png"/><Relationship Id="rId1737" Type="http://schemas.openxmlformats.org/officeDocument/2006/relationships/image" Target="media/image1730.png"/><Relationship Id="rId1738" Type="http://schemas.openxmlformats.org/officeDocument/2006/relationships/image" Target="media/image1731.png"/><Relationship Id="rId1739" Type="http://schemas.openxmlformats.org/officeDocument/2006/relationships/image" Target="media/image1732.png"/><Relationship Id="rId1740" Type="http://schemas.openxmlformats.org/officeDocument/2006/relationships/image" Target="media/image1733.png"/><Relationship Id="rId1741" Type="http://schemas.openxmlformats.org/officeDocument/2006/relationships/image" Target="media/image1734.png"/><Relationship Id="rId1742" Type="http://schemas.openxmlformats.org/officeDocument/2006/relationships/image" Target="media/image1735.png"/><Relationship Id="rId1743" Type="http://schemas.openxmlformats.org/officeDocument/2006/relationships/image" Target="media/image1736.png"/><Relationship Id="rId1744" Type="http://schemas.openxmlformats.org/officeDocument/2006/relationships/image" Target="media/image1737.png"/><Relationship Id="rId1745" Type="http://schemas.openxmlformats.org/officeDocument/2006/relationships/image" Target="media/image1738.png"/><Relationship Id="rId1746" Type="http://schemas.openxmlformats.org/officeDocument/2006/relationships/image" Target="media/image1739.png"/><Relationship Id="rId1747" Type="http://schemas.openxmlformats.org/officeDocument/2006/relationships/image" Target="media/image1740.png"/><Relationship Id="rId1748" Type="http://schemas.openxmlformats.org/officeDocument/2006/relationships/image" Target="media/image1741.png"/><Relationship Id="rId1749" Type="http://schemas.openxmlformats.org/officeDocument/2006/relationships/image" Target="media/image1742.png"/><Relationship Id="rId1750" Type="http://schemas.openxmlformats.org/officeDocument/2006/relationships/image" Target="media/image1743.png"/><Relationship Id="rId1751" Type="http://schemas.openxmlformats.org/officeDocument/2006/relationships/image" Target="media/image1744.png"/><Relationship Id="rId1752" Type="http://schemas.openxmlformats.org/officeDocument/2006/relationships/image" Target="media/image1745.png"/><Relationship Id="rId1753" Type="http://schemas.openxmlformats.org/officeDocument/2006/relationships/image" Target="media/image1746.png"/><Relationship Id="rId1754" Type="http://schemas.openxmlformats.org/officeDocument/2006/relationships/image" Target="media/image1747.png"/><Relationship Id="rId1755" Type="http://schemas.openxmlformats.org/officeDocument/2006/relationships/image" Target="media/image1748.png"/><Relationship Id="rId1756" Type="http://schemas.openxmlformats.org/officeDocument/2006/relationships/image" Target="media/image1749.png"/><Relationship Id="rId1757" Type="http://schemas.openxmlformats.org/officeDocument/2006/relationships/image" Target="media/image1750.png"/><Relationship Id="rId1758" Type="http://schemas.openxmlformats.org/officeDocument/2006/relationships/image" Target="media/image1751.png"/><Relationship Id="rId1759" Type="http://schemas.openxmlformats.org/officeDocument/2006/relationships/image" Target="media/image1752.png"/><Relationship Id="rId1760" Type="http://schemas.openxmlformats.org/officeDocument/2006/relationships/image" Target="media/image1753.png"/><Relationship Id="rId1761" Type="http://schemas.openxmlformats.org/officeDocument/2006/relationships/image" Target="media/image1754.png"/><Relationship Id="rId1762" Type="http://schemas.openxmlformats.org/officeDocument/2006/relationships/image" Target="media/image1755.png"/><Relationship Id="rId1763" Type="http://schemas.openxmlformats.org/officeDocument/2006/relationships/image" Target="media/image1756.png"/><Relationship Id="rId1764" Type="http://schemas.openxmlformats.org/officeDocument/2006/relationships/image" Target="media/image1757.png"/><Relationship Id="rId1765" Type="http://schemas.openxmlformats.org/officeDocument/2006/relationships/image" Target="media/image1758.png"/><Relationship Id="rId1766" Type="http://schemas.openxmlformats.org/officeDocument/2006/relationships/image" Target="media/image1759.png"/><Relationship Id="rId1767" Type="http://schemas.openxmlformats.org/officeDocument/2006/relationships/image" Target="media/image1760.png"/><Relationship Id="rId1768" Type="http://schemas.openxmlformats.org/officeDocument/2006/relationships/image" Target="media/image1761.png"/><Relationship Id="rId1769" Type="http://schemas.openxmlformats.org/officeDocument/2006/relationships/image" Target="media/image1762.png"/><Relationship Id="rId1770" Type="http://schemas.openxmlformats.org/officeDocument/2006/relationships/image" Target="media/image1763.png"/><Relationship Id="rId1771" Type="http://schemas.openxmlformats.org/officeDocument/2006/relationships/image" Target="media/image1764.png"/><Relationship Id="rId1772" Type="http://schemas.openxmlformats.org/officeDocument/2006/relationships/image" Target="media/image1765.png"/><Relationship Id="rId1773" Type="http://schemas.openxmlformats.org/officeDocument/2006/relationships/image" Target="media/image1766.png"/><Relationship Id="rId1774" Type="http://schemas.openxmlformats.org/officeDocument/2006/relationships/image" Target="media/image1767.png"/><Relationship Id="rId1775" Type="http://schemas.openxmlformats.org/officeDocument/2006/relationships/image" Target="media/image1768.png"/><Relationship Id="rId1776" Type="http://schemas.openxmlformats.org/officeDocument/2006/relationships/image" Target="media/image1769.png"/><Relationship Id="rId1777" Type="http://schemas.openxmlformats.org/officeDocument/2006/relationships/image" Target="media/image1770.png"/><Relationship Id="rId1778" Type="http://schemas.openxmlformats.org/officeDocument/2006/relationships/image" Target="media/image1771.png"/><Relationship Id="rId1779" Type="http://schemas.openxmlformats.org/officeDocument/2006/relationships/image" Target="media/image1772.png"/><Relationship Id="rId1780" Type="http://schemas.openxmlformats.org/officeDocument/2006/relationships/image" Target="media/image1773.png"/><Relationship Id="rId1781" Type="http://schemas.openxmlformats.org/officeDocument/2006/relationships/image" Target="media/image1774.png"/><Relationship Id="rId1782" Type="http://schemas.openxmlformats.org/officeDocument/2006/relationships/image" Target="media/image1775.png"/><Relationship Id="rId1783" Type="http://schemas.openxmlformats.org/officeDocument/2006/relationships/image" Target="media/image1776.png"/><Relationship Id="rId1784" Type="http://schemas.openxmlformats.org/officeDocument/2006/relationships/image" Target="media/image1777.png"/><Relationship Id="rId1785" Type="http://schemas.openxmlformats.org/officeDocument/2006/relationships/image" Target="media/image1778.png"/><Relationship Id="rId1786" Type="http://schemas.openxmlformats.org/officeDocument/2006/relationships/image" Target="media/image1779.png"/><Relationship Id="rId1787" Type="http://schemas.openxmlformats.org/officeDocument/2006/relationships/image" Target="media/image1780.png"/><Relationship Id="rId1788" Type="http://schemas.openxmlformats.org/officeDocument/2006/relationships/image" Target="media/image1781.png"/><Relationship Id="rId1789" Type="http://schemas.openxmlformats.org/officeDocument/2006/relationships/image" Target="media/image1782.png"/><Relationship Id="rId1790" Type="http://schemas.openxmlformats.org/officeDocument/2006/relationships/image" Target="media/image1783.png"/><Relationship Id="rId1791" Type="http://schemas.openxmlformats.org/officeDocument/2006/relationships/image" Target="media/image1784.png"/><Relationship Id="rId1792" Type="http://schemas.openxmlformats.org/officeDocument/2006/relationships/image" Target="media/image1785.png"/><Relationship Id="rId1793" Type="http://schemas.openxmlformats.org/officeDocument/2006/relationships/image" Target="media/image1786.png"/><Relationship Id="rId1794" Type="http://schemas.openxmlformats.org/officeDocument/2006/relationships/image" Target="media/image1787.png"/><Relationship Id="rId1795" Type="http://schemas.openxmlformats.org/officeDocument/2006/relationships/image" Target="media/image1788.jpeg"/><Relationship Id="rId1796" Type="http://schemas.openxmlformats.org/officeDocument/2006/relationships/image" Target="media/image1789.jpeg"/><Relationship Id="rId1797" Type="http://schemas.openxmlformats.org/officeDocument/2006/relationships/image" Target="media/image179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2019-12-14T06:52:14Z</dcterms:created>
  <dcterms:modified xsi:type="dcterms:W3CDTF">2019-12-14T06:52:14Z</dcterms:modified>
</cp:coreProperties>
</file>