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 the month of August 2014</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0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-438785</wp:posOffset>
            </wp:positionH>
            <wp:positionV relativeFrom="paragraph">
              <wp:posOffset>578485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19"/>
          </w:cols>
          <w:pgMar w:left="940" w:top="112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5320030</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Lima, August 20,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the rules of the Regulation for Material Events and Restricted Information approved by SMV Resolution N° 005-2014-SMV/01 and with respect to the agreements adopted by the Executive Committee of Credicorp’s Board of Directors in its meeting held on Wednesday, August 20, 2014, Credicorp hereby notifies you that: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approved the transfer of shares held by Credicorp Ltd. in Credicorp Capital Peru S.A.A., which represent approximately 12.3% of its capital stock, to its subsidiary Credicorp Capital Ltd.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Such transfer is part of a business regrouping strategy for Credicorp Capital Ltd. to become the holder of the subsidiaries and investments in companies related to the securities markets in Latin America and other countries, to facilitate its business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 is expected that this internal Credicorp Ltd. business regrouping will be completed in the coming months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Mario Ferrari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594995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August 20, 2014</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Mario Ferrari</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3926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72"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2019-12-06T13:36:48Z</dcterms:created>
  <dcterms:modified xsi:type="dcterms:W3CDTF">2019-12-06T13:36:48Z</dcterms:modified>
</cp:coreProperties>
</file>