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130810</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392"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Rule 13a-16 or 15d-16 of the</w:t>
      </w:r>
    </w:p>
    <w:p>
      <w:pPr>
        <w:jc w:val="center"/>
        <w:ind w:right="-139"/>
        <w:spacing w:after="0"/>
        <w:rPr>
          <w:sz w:val="20"/>
          <w:szCs w:val="20"/>
          <w:color w:val="auto"/>
        </w:rPr>
      </w:pPr>
      <w:r>
        <w:rPr>
          <w:rFonts w:ascii="Arial" w:cs="Arial" w:eastAsia="Arial" w:hAnsi="Arial"/>
          <w:sz w:val="22"/>
          <w:szCs w:val="22"/>
          <w:b w:val="1"/>
          <w:bCs w:val="1"/>
          <w:color w:val="auto"/>
        </w:rPr>
        <w:t>Securities Exchange Act of 1934</w:t>
      </w:r>
    </w:p>
    <w:p>
      <w:pPr>
        <w:spacing w:after="0" w:line="19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 the month of July,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149860</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311"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CREDICORP LTD.</w:t>
      </w:r>
    </w:p>
    <w:p>
      <w:pPr>
        <w:spacing w:after="0" w:line="54" w:lineRule="exact"/>
        <w:rPr>
          <w:sz w:val="24"/>
          <w:szCs w:val="24"/>
          <w:color w:val="auto"/>
        </w:rPr>
      </w:pPr>
    </w:p>
    <w:p>
      <w:pPr>
        <w:jc w:val="center"/>
        <w:ind w:right="-13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Clarendon House</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i w:val="1"/>
          <w:iCs w:val="1"/>
          <w:color w:val="auto"/>
        </w:rPr>
        <w:t>(Address of principal executive office)</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25" w:lineRule="exact"/>
        <w:rPr>
          <w:sz w:val="24"/>
          <w:szCs w:val="24"/>
          <w:color w:val="auto"/>
        </w:rPr>
      </w:pPr>
    </w:p>
    <w:p>
      <w:pPr>
        <w:ind w:left="3660"/>
        <w:spacing w:after="0"/>
        <w:tabs>
          <w:tab w:leader="none" w:pos="5100" w:val="left"/>
          <w:tab w:leader="none" w:pos="5940" w:val="left"/>
          <w:tab w:leader="none" w:pos="738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Form 40-F</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86" w:lineRule="exact"/>
        <w:rPr>
          <w:sz w:val="24"/>
          <w:szCs w:val="24"/>
          <w:color w:val="auto"/>
        </w:rPr>
      </w:pPr>
    </w:p>
    <w:p>
      <w:pPr>
        <w:ind w:left="3660"/>
        <w:spacing w:after="0"/>
        <w:tabs>
          <w:tab w:leader="none" w:pos="5100" w:val="left"/>
          <w:tab w:leader="none" w:pos="5940" w:val="left"/>
          <w:tab w:leader="none" w:pos="73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476" w:right="359" w:bottom="1440" w:gutter="0" w:footer="0" w:header="0"/>
        </w:sectPr>
      </w:pPr>
    </w:p>
    <w:bookmarkStart w:id="1" w:name="page2"/>
    <w:bookmarkEnd w:id="1"/>
    <w:p>
      <w:pPr>
        <w:spacing w:after="0" w:line="2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380365</wp:posOffset>
            </wp:positionV>
            <wp:extent cx="2058035" cy="574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July 24,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Messrs.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COMISIÓN NACIONAL SUPERVISORA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 EMPRESAS Y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CONASEV</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Notice to Shareholders: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CREDICORP LTD., in accordance with article 28° of the Capital Markets Law, approved by Supreme Decree N° 093-2002-EF and CONASEV Resolution of Material Events and Reserved Information and Other Communications N° 107-2002-EF/94.10.0 modified by CONASEV Resolution N° 009-2003-EF/94.10 (the “Regulation”), complies with notifying the following Material Event:</w:t>
      </w:r>
    </w:p>
    <w:p>
      <w:pPr>
        <w:spacing w:after="0" w:line="19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address you, regarding our previous reserved communication, in which we informed you that PRIMA AFP, a company owned by Grupo Crédito S.A., subsidiary of our company, has reached an agreement with Grupo Santander Perú S.A. to acquire 100% of the stock it owns in AFP Unión Vida, representing 99.9704%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At this point we report that such agreement will be subscribed today as it has been approved by both companies.</w:t>
      </w:r>
    </w:p>
    <w:p>
      <w:pPr>
        <w:spacing w:after="0" w:line="225"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The sale price initially agreed upon was of US$ 142,00,000.00 (One hundred and forty two million and 00/100 U.S. Dollars), which will be paid once PRIMA AFP obtains the purchase authorization from the Superintendence of Banks, Insurance and Pension Fund Administrators (SBS), and all the previously agreed conditions are fulfilled by both parties. This price is subject to change, upon review of AFP Union Vida’s assets, which is expected to begin shortly.</w:t>
      </w:r>
    </w:p>
    <w:p>
      <w:pPr>
        <w:spacing w:after="0" w:line="16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It is AFP PRIMA’s intention to acquire 100% of AFP Unión Vida’s stock, for which, after acquiring Grupo Santander Perú S.A. stock in the company, which represents 99.9704% of AFP Unión Vida, will present a public stock offering to acquire the remaining 0.0296% of the stock, which is the property of minority shareholders, according to the rules regulating the Peruvian stock market.</w:t>
      </w:r>
    </w:p>
    <w:p>
      <w:pPr>
        <w:spacing w:after="0" w:line="194"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After the acquisition is complete, it is AFP PRIMA’s intention to proceed to merge both companies to create a pension fund administrator to expand the companies’ capabilities.</w:t>
      </w:r>
    </w:p>
    <w:p>
      <w:pPr>
        <w:spacing w:after="0" w:line="18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As a result, AFP PRIMA will proceed to file before the Superintendence of Banks, Insurance and the Pension Fund Administrators (SBS), the authorization request for the formalization of this acquisition.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Fernando Palao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4872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Fernando Palao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2" w:name="page3"/>
    <w:bookmarkEnd w:id="2"/>
    <w:p>
      <w:pPr>
        <w:spacing w:after="0" w:line="2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380365</wp:posOffset>
            </wp:positionV>
            <wp:extent cx="2058035" cy="5746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CREDICORP Ltd. ACQUIRES AFP UNION PENSION FUND</w:t>
      </w:r>
    </w:p>
    <w:p>
      <w:pPr>
        <w:spacing w:after="0" w:line="225" w:lineRule="exact"/>
        <w:rPr>
          <w:sz w:val="20"/>
          <w:szCs w:val="20"/>
          <w:color w:val="auto"/>
        </w:rPr>
      </w:pPr>
    </w:p>
    <w:p>
      <w:pPr>
        <w:ind w:right="320"/>
        <w:spacing w:after="0" w:line="339" w:lineRule="auto"/>
        <w:rPr>
          <w:sz w:val="20"/>
          <w:szCs w:val="20"/>
          <w:color w:val="auto"/>
        </w:rPr>
      </w:pPr>
      <w:r>
        <w:rPr>
          <w:rFonts w:ascii="Arial" w:cs="Arial" w:eastAsia="Arial" w:hAnsi="Arial"/>
          <w:sz w:val="16"/>
          <w:szCs w:val="16"/>
          <w:b w:val="1"/>
          <w:bCs w:val="1"/>
          <w:color w:val="auto"/>
        </w:rPr>
        <w:t xml:space="preserve">Lima, Peru, July 24, 2006 - </w:t>
      </w:r>
      <w:r>
        <w:rPr>
          <w:rFonts w:ascii="Arial" w:cs="Arial" w:eastAsia="Arial" w:hAnsi="Arial"/>
          <w:sz w:val="16"/>
          <w:szCs w:val="16"/>
          <w:color w:val="auto"/>
        </w:rPr>
        <w:t>Credicorp (NYSE:BAP) announced today that it has reached a preliminary agreement with the Santander Group, to acquire AFP</w:t>
      </w:r>
      <w:r>
        <w:rPr>
          <w:rFonts w:ascii="Arial" w:cs="Arial" w:eastAsia="Arial" w:hAnsi="Arial"/>
          <w:sz w:val="16"/>
          <w:szCs w:val="16"/>
          <w:b w:val="1"/>
          <w:bCs w:val="1"/>
          <w:color w:val="auto"/>
        </w:rPr>
        <w:t xml:space="preserve"> </w:t>
      </w:r>
      <w:r>
        <w:rPr>
          <w:rFonts w:ascii="Arial" w:cs="Arial" w:eastAsia="Arial" w:hAnsi="Arial"/>
          <w:sz w:val="16"/>
          <w:szCs w:val="16"/>
          <w:color w:val="auto"/>
        </w:rPr>
        <w:t>UNION VIDA, the third-largest Peruvian pension fund owned and managed by Santander, for a cash payment of US$ 142 million.</w:t>
      </w:r>
    </w:p>
    <w:p>
      <w:pPr>
        <w:spacing w:after="0" w:line="134"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The transaction, which has yet to undergo a due-diligence process, is expected to be concluded by the end of August 2006, and will be carried out as an acquisition of AFP PRIMA, which is held by Grupo Credito, one of the subsidiaries of Credicorp.</w:t>
      </w:r>
    </w:p>
    <w:p>
      <w:pPr>
        <w:spacing w:after="0" w:line="18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conclusion of this transaction is expected to have a favorable effect on Credicorp’s results, since it will accelerate the process of consolidating the start-up operation at AFP PRIMA and is expected to lead to an immediate positive contribution to Credicorp’s bottom line results. AFP UNION VIDA has a market share of 22.1% (see source and date below) in terms of funds under management, which added to AFP PRIMA’s 6.3% market share will result in the second-largest pension fund administrator in Peru with an important 28.5% of the market’s managed funds. This transaction also represents an efficient use of excess capital at the holding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can give an indication of the size and effects of this transaction in the market: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Unión Vida</w:t>
            </w: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Prima</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Resulting AFP</w:t>
            </w:r>
          </w:p>
        </w:tc>
        <w:tc>
          <w:tcPr>
            <w:tcW w:w="12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Horizonte</w:t>
            </w: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Integra</w:t>
            </w:r>
          </w:p>
        </w:tc>
        <w:tc>
          <w:tcPr>
            <w:tcW w:w="12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Profuturo</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Affiliates</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828,286</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97,068</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925,354</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1,015,457</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972,206</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862,213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i w:val="1"/>
                <w:iCs w:val="1"/>
                <w:color w:val="auto"/>
              </w:rPr>
              <w:t>Market share</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i w:val="1"/>
                <w:iCs w:val="1"/>
                <w:color w:val="auto"/>
              </w:rPr>
              <w:t>21.9%</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i w:val="1"/>
                <w:iCs w:val="1"/>
                <w:color w:val="auto"/>
              </w:rPr>
              <w:t>2.6%</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24.5%</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i w:val="1"/>
                <w:iCs w:val="1"/>
                <w:color w:val="auto"/>
              </w:rPr>
              <w:t>26.9%</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i w:val="1"/>
                <w:iCs w:val="1"/>
                <w:color w:val="auto"/>
              </w:rPr>
              <w:t>25.8%</w:t>
            </w:r>
          </w:p>
        </w:tc>
        <w:tc>
          <w:tcPr>
            <w:tcW w:w="1200" w:type="dxa"/>
            <w:vAlign w:val="bottom"/>
            <w:gridSpan w:val="2"/>
          </w:tcPr>
          <w:p>
            <w:pPr>
              <w:jc w:val="right"/>
              <w:ind w:right="20"/>
              <w:spacing w:after="0" w:line="149" w:lineRule="exact"/>
              <w:rPr>
                <w:sz w:val="20"/>
                <w:szCs w:val="20"/>
                <w:color w:val="auto"/>
              </w:rPr>
            </w:pPr>
            <w:r>
              <w:rPr>
                <w:rFonts w:ascii="Arial" w:cs="Arial" w:eastAsia="Arial" w:hAnsi="Arial"/>
                <w:sz w:val="14"/>
                <w:szCs w:val="14"/>
                <w:i w:val="1"/>
                <w:iCs w:val="1"/>
                <w:color w:val="auto"/>
              </w:rPr>
              <w:t>22.8%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4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Contributors</w:t>
            </w:r>
            <w:r>
              <w:rPr>
                <w:rFonts w:ascii="Arial" w:cs="Arial" w:eastAsia="Arial" w:hAnsi="Arial"/>
                <w:sz w:val="20"/>
                <w:szCs w:val="20"/>
                <w:color w:val="auto"/>
                <w:vertAlign w:val="superscript"/>
              </w:rPr>
              <w:t>1</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261,088</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67,523</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328,611</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376,269</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422,971</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268,445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i w:val="1"/>
                <w:iCs w:val="1"/>
                <w:color w:val="auto"/>
              </w:rPr>
              <w:t>Market share</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i w:val="1"/>
                <w:iCs w:val="1"/>
                <w:color w:val="auto"/>
              </w:rPr>
              <w:t>18.7%</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i w:val="1"/>
                <w:iCs w:val="1"/>
                <w:color w:val="auto"/>
              </w:rPr>
              <w:t>4.8%</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23.5%</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i w:val="1"/>
                <w:iCs w:val="1"/>
                <w:color w:val="auto"/>
              </w:rPr>
              <w:t>26.9%</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i w:val="1"/>
                <w:iCs w:val="1"/>
                <w:color w:val="auto"/>
              </w:rPr>
              <w:t>30.3%</w:t>
            </w:r>
          </w:p>
        </w:tc>
        <w:tc>
          <w:tcPr>
            <w:tcW w:w="1200" w:type="dxa"/>
            <w:vAlign w:val="bottom"/>
            <w:gridSpan w:val="2"/>
          </w:tcPr>
          <w:p>
            <w:pPr>
              <w:jc w:val="right"/>
              <w:ind w:right="20"/>
              <w:spacing w:after="0" w:line="149" w:lineRule="exact"/>
              <w:rPr>
                <w:sz w:val="20"/>
                <w:szCs w:val="20"/>
                <w:color w:val="auto"/>
              </w:rPr>
            </w:pPr>
            <w:r>
              <w:rPr>
                <w:rFonts w:ascii="Arial" w:cs="Arial" w:eastAsia="Arial" w:hAnsi="Arial"/>
                <w:sz w:val="14"/>
                <w:szCs w:val="14"/>
                <w:i w:val="1"/>
                <w:iCs w:val="1"/>
                <w:color w:val="auto"/>
              </w:rPr>
              <w:t>19.2%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4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Average wage</w:t>
            </w:r>
            <w:r>
              <w:rPr>
                <w:rFonts w:ascii="Arial" w:cs="Arial" w:eastAsia="Arial" w:hAnsi="Arial"/>
                <w:sz w:val="20"/>
                <w:szCs w:val="20"/>
                <w:color w:val="auto"/>
                <w:vertAlign w:val="superscript"/>
              </w:rPr>
              <w:t>2</w:t>
            </w:r>
            <w:r>
              <w:rPr>
                <w:rFonts w:ascii="Arial" w:cs="Arial" w:eastAsia="Arial" w:hAnsi="Arial"/>
                <w:sz w:val="13"/>
                <w:szCs w:val="13"/>
                <w:color w:val="auto"/>
              </w:rPr>
              <w:t xml:space="preserve"> (US$)</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Managed Fund (US$thousands)</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2,431,191</w:t>
            </w: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694,161</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3,125,352</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2,684,169</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3,487,744</w:t>
            </w: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1,680,557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Market share</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i w:val="1"/>
                <w:iCs w:val="1"/>
                <w:color w:val="auto"/>
              </w:rPr>
              <w:t>22.1%</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i w:val="1"/>
                <w:iCs w:val="1"/>
                <w:color w:val="auto"/>
              </w:rPr>
              <w:t>6.3%</w:t>
            </w:r>
          </w:p>
        </w:tc>
        <w:tc>
          <w:tcPr>
            <w:tcW w:w="1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i w:val="1"/>
                <w:iCs w:val="1"/>
                <w:color w:val="auto"/>
              </w:rPr>
              <w:t>28.5%</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i w:val="1"/>
                <w:iCs w:val="1"/>
                <w:color w:val="auto"/>
              </w:rPr>
              <w:t>24.5%</w:t>
            </w:r>
          </w:p>
        </w:tc>
        <w:tc>
          <w:tcPr>
            <w:tcW w:w="1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i w:val="1"/>
                <w:iCs w:val="1"/>
                <w:color w:val="auto"/>
              </w:rPr>
              <w:t>31.8%</w:t>
            </w:r>
          </w:p>
        </w:tc>
        <w:tc>
          <w:tcPr>
            <w:tcW w:w="1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i w:val="1"/>
                <w:iCs w:val="1"/>
                <w:color w:val="auto"/>
              </w:rPr>
              <w:t>15.3%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Reserve requirement (US$thousand)</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29,184</w:t>
            </w: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7,294</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36,479</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27,448</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36,613</w:t>
            </w: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17,848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Commissions</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1.94%</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1.50%</w:t>
            </w:r>
          </w:p>
        </w:tc>
        <w:tc>
          <w:tcPr>
            <w:tcW w:w="1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1.50%</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1.95%</w:t>
            </w:r>
          </w:p>
        </w:tc>
        <w:tc>
          <w:tcPr>
            <w:tcW w:w="1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1.80%</w:t>
            </w:r>
          </w:p>
        </w:tc>
        <w:tc>
          <w:tcPr>
            <w:tcW w:w="1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Sales people</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993</w:t>
            </w: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805</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1,798</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877</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1,100</w:t>
            </w: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993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Offices</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1/. Figures as of April 2006.</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 Figures as of December 2005.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Source: SBS (As of June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 Peru</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Aida G. Kleffmann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Officer</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Calle Centenario 156</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 Molina, Lima - 12, PERU</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Phone: </w:t>
      </w:r>
      <w:r>
        <w:rPr>
          <w:rFonts w:ascii="Arial" w:cs="Arial" w:eastAsia="Arial" w:hAnsi="Arial"/>
          <w:sz w:val="18"/>
          <w:szCs w:val="18"/>
          <w:color w:val="auto"/>
        </w:rPr>
        <w:t>(+51 1) 313-2123</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akleffmann@bcp.com.pe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spacing w:after="0" w:line="2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380365</wp:posOffset>
            </wp:positionV>
            <wp:extent cx="2058035" cy="5746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Guillermo Castillo / Antonella Monteverde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Calle Centenario 156</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 Molina, Lima - 12, PERU</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Phone: </w:t>
      </w:r>
      <w:r>
        <w:rPr>
          <w:rFonts w:ascii="Arial" w:cs="Arial" w:eastAsia="Arial" w:hAnsi="Arial"/>
          <w:sz w:val="18"/>
          <w:szCs w:val="18"/>
          <w:color w:val="auto"/>
        </w:rPr>
        <w:t>(+51 1) 313 2170</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E-mail: </w:t>
      </w:r>
      <w:r>
        <w:rPr>
          <w:rFonts w:ascii="Arial" w:cs="Arial" w:eastAsia="Arial" w:hAnsi="Arial"/>
          <w:sz w:val="16"/>
          <w:szCs w:val="16"/>
          <w:color w:val="auto"/>
        </w:rPr>
        <w:t>guillermocastillol@bcp.com.pe</w:t>
      </w:r>
    </w:p>
    <w:p>
      <w:pPr>
        <w:spacing w:after="0" w:line="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amonteverde@bcp.com.pe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 the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Maria Barona / Peter Majeski</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i-advize Corporate Communications,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82 Wall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805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Phone: (212) 406-3690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E-mail: credicorp@i-advize.com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firstLine="439"/>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July 24, 2006</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CREDICORP LTD.</w:t>
      </w:r>
    </w:p>
    <w:p>
      <w:pPr>
        <w:spacing w:after="0" w:line="300"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80010</wp:posOffset>
            </wp:positionV>
            <wp:extent cx="25469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13"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Guillermo Castillo</w:t>
      </w:r>
    </w:p>
    <w:p>
      <w:pPr>
        <w:spacing w:after="0" w:line="2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 w:name="page6"/>
    <w:bookmarkEnd w:id="5"/>
    <w:p>
      <w:pPr>
        <w:jc w:val="center"/>
        <w:ind w:right="-119"/>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 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637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sectPr>
      <w:pgSz w:w="11900" w:h="16838" w:orient="portrait"/>
      <w:cols w:equalWidth="0" w:num="1">
        <w:col w:w="11300"/>
      </w:cols>
      <w:pgMar w:left="240" w:top="58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2019-12-14T06:55:58Z</dcterms:created>
  <dcterms:modified xsi:type="dcterms:W3CDTF">2019-12-14T06:55:58Z</dcterms:modified>
</cp:coreProperties>
</file>