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May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424180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5371465</wp:posOffset>
            </wp:positionH>
            <wp:positionV relativeFrom="page">
              <wp:posOffset>337820</wp:posOffset>
            </wp:positionV>
            <wp:extent cx="2032635" cy="60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Lima, May 25,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4 of the Material Events, Reserved Information and Others Communications Law approved by CONASEV Resolution N° 107-2002-EF/94.10, Credicorp Ltd. complies with notifying you of the following Material Event.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Credicorp’s Board of Directors, in its session held on May 15, 2011, agreed to: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 w:right="40" w:hanging="486"/>
        <w:spacing w:after="0" w:line="277" w:lineRule="auto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Replace Mr. Reynaldo Llosa Barber, member of the Audit Committee of Credicorp, who has hold office for the period for which he was elected; and</w:t>
      </w:r>
    </w:p>
    <w:p>
      <w:pPr>
        <w:spacing w:after="0" w:line="19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80" w:hanging="486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Appoint Mr. Juan Carlos Verme Giannoni as a new member of this committee.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Hence, this Corporate Committee, of Credicorp’s subsidiaries is composed by Mr. German Suarez Chavez, Mr. Raimundo Morales Dasso, and Mr. Juan Carlos Verme Giannoni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552450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25,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513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2019-12-10T13:47:26Z</dcterms:created>
  <dcterms:modified xsi:type="dcterms:W3CDTF">2019-12-10T13:47:26Z</dcterms:modified>
</cp:coreProperties>
</file>