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52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448945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notify you as a Material Event that the Board of Directors of Credicorp Ltd. (“Credicorp”), in its session held on December 17, 2020, has approved the following matters:</w:t>
      </w:r>
    </w:p>
    <w:p>
      <w:pPr>
        <w:spacing w:after="0" w:line="170" w:lineRule="exact"/>
        <w:rPr>
          <w:sz w:val="20"/>
          <w:szCs w:val="20"/>
          <w:color w:val="auto"/>
        </w:rPr>
      </w:pPr>
    </w:p>
    <w:p>
      <w:pPr>
        <w:jc w:val="both"/>
        <w:ind w:left="380" w:hanging="372"/>
        <w:spacing w:after="0" w:line="263"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change the name of its Corporate Governance Committee to “Sustainability Committee.” This committee will, alongside its current Corporate Governance roles, assume functions related to Credicorp’s Sustainability program, which the Board believes is key to ensuring business success and long-term stakeholder value.</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designate Mr. Leslie Pierce Diez Canseco, who has ample experience with Corporate Responsibility matters, as member of the Sustainability Committee. Therefore, the committee will be conformed by the following directors: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Maite Aranzábal Harreguy (Chair)</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Leslie Pierce Diez Canseco</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Barbara Bruce Ventura (member of the Board of Directors of Banco de Credito del Peru)</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17, 2020</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68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2020-12-18T06:19:55Z</dcterms:created>
  <dcterms:modified xsi:type="dcterms:W3CDTF">2020-12-18T06:19:55Z</dcterms:modified>
</cp:coreProperties>
</file>