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20"/>
        <w:spacing w:after="0"/>
        <w:rPr>
          <w:sz w:val="20"/>
          <w:szCs w:val="20"/>
          <w:color w:val="auto"/>
        </w:rPr>
      </w:pPr>
      <w:r>
        <w:rPr>
          <w:rFonts w:ascii="Courier New" w:cs="Courier New" w:eastAsia="Courier New" w:hAnsi="Courier New"/>
          <w:sz w:val="17"/>
          <w:szCs w:val="17"/>
          <w:color w:val="auto"/>
        </w:rPr>
        <w:t>UNITED STATES</w:t>
      </w:r>
    </w:p>
    <w:p>
      <w:pPr>
        <w:spacing w:after="0" w:line="3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Washington, D.C. 20549</w:t>
      </w:r>
    </w:p>
    <w:p>
      <w:pPr>
        <w:spacing w:after="0" w:line="361"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SCHEDULE 13G</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32"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(Amendment No. 6)</w:t>
      </w:r>
    </w:p>
    <w:p>
      <w:pPr>
        <w:spacing w:after="0" w:line="166"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Credicorp Ltd.</w:t>
      </w:r>
    </w:p>
    <w:p>
      <w:pPr>
        <w:spacing w:after="0" w:line="3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(Name of Issuer)</w:t>
      </w:r>
    </w:p>
    <w:p>
      <w:pPr>
        <w:spacing w:after="0" w:line="16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Common Shares</w:t>
      </w:r>
    </w:p>
    <w:p>
      <w:pPr>
        <w:spacing w:after="0" w:line="3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(Title of Class of Securities)</w:t>
      </w:r>
    </w:p>
    <w:p>
      <w:pPr>
        <w:spacing w:after="0" w:line="16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G2519Y 10 8</w:t>
      </w:r>
    </w:p>
    <w:p>
      <w:pPr>
        <w:spacing w:after="0" w:line="3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(CUSIP Number)</w:t>
      </w:r>
    </w:p>
    <w:p>
      <w:pPr>
        <w:spacing w:after="0" w:line="16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N/A</w:t>
      </w:r>
    </w:p>
    <w:p>
      <w:pPr>
        <w:spacing w:after="0" w:line="3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66" w:lineRule="exact"/>
        <w:rPr>
          <w:sz w:val="24"/>
          <w:szCs w:val="24"/>
          <w:color w:val="auto"/>
        </w:rPr>
      </w:pPr>
    </w:p>
    <w:p>
      <w:pPr>
        <w:ind w:left="1720"/>
        <w:spacing w:after="0"/>
        <w:rPr>
          <w:sz w:val="20"/>
          <w:szCs w:val="20"/>
          <w:color w:val="auto"/>
        </w:rPr>
      </w:pPr>
      <w:r>
        <w:rPr>
          <w:rFonts w:ascii="Courier New" w:cs="Courier New" w:eastAsia="Courier New" w:hAnsi="Courier New"/>
          <w:sz w:val="17"/>
          <w:szCs w:val="17"/>
          <w:color w:val="auto"/>
        </w:rPr>
        <w:t>Check the appropriate box to designate the rule</w:t>
      </w:r>
    </w:p>
    <w:p>
      <w:pPr>
        <w:spacing w:after="0" w:line="32"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pursuant to which this Schedule is filed:</w:t>
      </w:r>
    </w:p>
    <w:p>
      <w:pPr>
        <w:spacing w:after="0" w:line="166" w:lineRule="exact"/>
        <w:rPr>
          <w:sz w:val="24"/>
          <w:szCs w:val="24"/>
          <w:color w:val="auto"/>
        </w:rPr>
      </w:pPr>
    </w:p>
    <w:p>
      <w:pPr>
        <w:ind w:left="3440" w:hanging="201"/>
        <w:spacing w:after="0"/>
        <w:tabs>
          <w:tab w:leader="none" w:pos="344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Rule 13d-1(b)</w:t>
      </w:r>
    </w:p>
    <w:p>
      <w:pPr>
        <w:spacing w:after="0" w:line="196" w:lineRule="exact"/>
        <w:rPr>
          <w:rFonts w:ascii="Courier New" w:cs="Courier New" w:eastAsia="Courier New" w:hAnsi="Courier New"/>
          <w:sz w:val="17"/>
          <w:szCs w:val="17"/>
          <w:color w:val="auto"/>
        </w:rPr>
      </w:pPr>
    </w:p>
    <w:p>
      <w:pPr>
        <w:jc w:val="both"/>
        <w:ind w:left="3240" w:right="6560" w:hanging="1"/>
        <w:spacing w:after="0" w:line="514" w:lineRule="auto"/>
        <w:tabs>
          <w:tab w:leader="none" w:pos="344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1" w:lineRule="exact"/>
        <w:rPr>
          <w:rFonts w:ascii="Courier New" w:cs="Courier New" w:eastAsia="Courier New" w:hAnsi="Courier New"/>
          <w:sz w:val="16"/>
          <w:szCs w:val="16"/>
          <w:color w:val="auto"/>
        </w:rPr>
      </w:pPr>
    </w:p>
    <w:p>
      <w:pPr>
        <w:ind w:right="3520" w:firstLine="505"/>
        <w:spacing w:after="0" w:line="280"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4" w:lineRule="exact"/>
        <w:rPr>
          <w:sz w:val="24"/>
          <w:szCs w:val="24"/>
          <w:color w:val="auto"/>
        </w:rPr>
      </w:pPr>
    </w:p>
    <w:p>
      <w:pPr>
        <w:ind w:right="3620" w:firstLine="505"/>
        <w:spacing w:after="0" w:line="270" w:lineRule="auto"/>
        <w:rPr>
          <w:sz w:val="20"/>
          <w:szCs w:val="20"/>
          <w:color w:val="auto"/>
        </w:rPr>
      </w:pPr>
      <w:r>
        <w:rPr>
          <w:rFonts w:ascii="Courier New" w:cs="Courier New" w:eastAsia="Courier New" w:hAnsi="Courier New"/>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78" w:lineRule="exact"/>
        <w:rPr>
          <w:sz w:val="24"/>
          <w:szCs w:val="24"/>
          <w:color w:val="auto"/>
        </w:rPr>
      </w:pPr>
    </w:p>
    <w:p>
      <w:pPr>
        <w:ind w:left="394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20" w:right="1800" w:hanging="612"/>
        <w:spacing w:after="0" w:line="484" w:lineRule="auto"/>
        <w:tabs>
          <w:tab w:leader="none" w:pos="102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Atlantic Security Holding Corporation</w:t>
      </w:r>
    </w:p>
    <w:p>
      <w:pPr>
        <w:spacing w:after="0" w:line="1"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 w:lineRule="exact"/>
        <w:rPr>
          <w:sz w:val="24"/>
          <w:szCs w:val="24"/>
          <w:color w:val="auto"/>
        </w:rPr>
      </w:pPr>
    </w:p>
    <w:tbl>
      <w:tblPr>
        <w:tblLayout w:type="fixed"/>
        <w:tblInd w:w="400" w:type="dxa"/>
        <w:tblCellMar>
          <w:top w:w="0" w:type="dxa"/>
          <w:left w:w="0" w:type="dxa"/>
          <w:bottom w:w="0" w:type="dxa"/>
          <w:right w:w="0" w:type="dxa"/>
        </w:tblCellMar>
      </w:tblPr>
      <w:tr>
        <w:trPr>
          <w:trHeight w:val="193"/>
        </w:trPr>
        <w:tc>
          <w:tcPr>
            <w:tcW w:w="3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77"/>
              </w:rPr>
              <w:t>2</w:t>
            </w:r>
          </w:p>
        </w:tc>
        <w:tc>
          <w:tcPr>
            <w:tcW w:w="5820" w:type="dxa"/>
            <w:vAlign w:val="bottom"/>
          </w:tcPr>
          <w:p>
            <w:pPr>
              <w:ind w:left="2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[X]</w:t>
            </w:r>
          </w:p>
        </w:tc>
      </w:tr>
      <w:tr>
        <w:trPr>
          <w:trHeight w:val="224"/>
        </w:trPr>
        <w:tc>
          <w:tcPr>
            <w:tcW w:w="3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 ]</w:t>
            </w:r>
          </w:p>
        </w:tc>
      </w:tr>
    </w:tbl>
    <w:p>
      <w:pPr>
        <w:ind w:left="200" w:hanging="196"/>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166"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w:t>
      </w:r>
      <w:r>
        <w:rPr>
          <w:rFonts w:ascii="Courier New" w:cs="Courier New" w:eastAsia="Courier New" w:hAnsi="Courier New"/>
          <w:sz w:val="16"/>
          <w:szCs w:val="16"/>
          <w:color w:val="auto"/>
        </w:rPr>
        <w:t>Citizenship or Place of Organization</w:t>
      </w:r>
    </w:p>
    <w:p>
      <w:pPr>
        <w:spacing w:after="0" w:line="166"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Cayman Islands</w:t>
      </w:r>
    </w:p>
    <w:p>
      <w:pPr>
        <w:spacing w:after="0" w:line="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3" w:lineRule="exact"/>
        <w:rPr>
          <w:sz w:val="24"/>
          <w:szCs w:val="24"/>
          <w:color w:val="auto"/>
        </w:rPr>
      </w:pPr>
    </w:p>
    <w:tbl>
      <w:tblPr>
        <w:tblLayout w:type="fixed"/>
        <w:tblInd w:w="400" w:type="dxa"/>
        <w:tblCellMar>
          <w:top w:w="0" w:type="dxa"/>
          <w:left w:w="0" w:type="dxa"/>
          <w:bottom w:w="0" w:type="dxa"/>
          <w:right w:w="0" w:type="dxa"/>
        </w:tblCellMar>
      </w:tblPr>
      <w:tr>
        <w:trPr>
          <w:trHeight w:val="284"/>
        </w:trPr>
        <w:tc>
          <w:tcPr>
            <w:tcW w:w="1480" w:type="dxa"/>
            <w:vAlign w:val="bottom"/>
            <w:vMerge w:val="restart"/>
          </w:tcPr>
          <w:p>
            <w:pPr>
              <w:ind w:left="22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jc w:val="right"/>
              <w:ind w:right="267"/>
              <w:spacing w:after="0"/>
              <w:rPr>
                <w:sz w:val="20"/>
                <w:szCs w:val="20"/>
                <w:color w:val="auto"/>
              </w:rPr>
            </w:pPr>
            <w:r>
              <w:rPr>
                <w:rFonts w:ascii="Courier New" w:cs="Courier New" w:eastAsia="Courier New" w:hAnsi="Courier New"/>
                <w:sz w:val="17"/>
                <w:szCs w:val="17"/>
                <w:color w:val="auto"/>
              </w:rPr>
              <w:t>5</w:t>
            </w: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0" w:type="dxa"/>
            <w:vAlign w:val="bottom"/>
          </w:tcPr>
          <w:p>
            <w:pPr>
              <w:spacing w:after="0"/>
              <w:rPr>
                <w:sz w:val="1"/>
                <w:szCs w:val="1"/>
                <w:color w:val="auto"/>
              </w:rPr>
            </w:pPr>
          </w:p>
        </w:tc>
      </w:tr>
      <w:tr>
        <w:trPr>
          <w:trHeight w:val="75"/>
        </w:trPr>
        <w:tc>
          <w:tcPr>
            <w:tcW w:w="14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680" w:type="dxa"/>
            <w:vAlign w:val="bottom"/>
            <w:vMerge w:val="restart"/>
          </w:tcPr>
          <w:p>
            <w:pPr>
              <w:spacing w:after="0"/>
              <w:rPr>
                <w:sz w:val="20"/>
                <w:szCs w:val="20"/>
                <w:color w:val="auto"/>
              </w:rPr>
            </w:pPr>
            <w:r>
              <w:rPr>
                <w:rFonts w:ascii="Courier New" w:cs="Courier New" w:eastAsia="Courier New" w:hAnsi="Courier New"/>
                <w:sz w:val="17"/>
                <w:szCs w:val="17"/>
                <w:color w:val="auto"/>
              </w:rPr>
              <w:t>10,330,113*</w:t>
            </w: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SHARES</w:t>
            </w:r>
          </w:p>
        </w:tc>
        <w:tc>
          <w:tcPr>
            <w:tcW w:w="760" w:type="dxa"/>
            <w:vAlign w:val="bottom"/>
          </w:tcPr>
          <w:p>
            <w:pPr>
              <w:spacing w:after="0"/>
              <w:rPr>
                <w:sz w:val="16"/>
                <w:szCs w:val="16"/>
                <w:color w:val="auto"/>
              </w:rPr>
            </w:pPr>
          </w:p>
        </w:tc>
        <w:tc>
          <w:tcPr>
            <w:tcW w:w="8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9"/>
              </w:rPr>
              <w:t>BENEFICIALLY</w:t>
            </w:r>
          </w:p>
        </w:tc>
        <w:tc>
          <w:tcPr>
            <w:tcW w:w="760" w:type="dxa"/>
            <w:vAlign w:val="bottom"/>
            <w:vMerge w:val="restart"/>
          </w:tcPr>
          <w:p>
            <w:pPr>
              <w:ind w:left="240"/>
              <w:spacing w:after="0"/>
              <w:rPr>
                <w:sz w:val="20"/>
                <w:szCs w:val="20"/>
                <w:color w:val="auto"/>
              </w:rPr>
            </w:pPr>
            <w:r>
              <w:rPr>
                <w:rFonts w:ascii="Courier New" w:cs="Courier New" w:eastAsia="Courier New" w:hAnsi="Courier New"/>
                <w:sz w:val="1"/>
                <w:szCs w:val="1"/>
                <w:color w:val="auto"/>
                <w:w w:val="90"/>
              </w:rPr>
              <w:t>-------------------------------------------------------------------------------------------</w:t>
            </w:r>
            <w:r>
              <w:rPr>
                <w:rFonts w:ascii="Courier New" w:cs="Courier New" w:eastAsia="Courier New" w:hAnsi="Courier New"/>
                <w:sz w:val="2"/>
                <w:szCs w:val="2"/>
                <w:color w:val="auto"/>
                <w:w w:val="90"/>
                <w:vertAlign w:val="subscript"/>
              </w:rPr>
              <w:t>6</w:t>
            </w:r>
          </w:p>
        </w:tc>
        <w:tc>
          <w:tcPr>
            <w:tcW w:w="8680" w:type="dxa"/>
            <w:vAlign w:val="bottom"/>
            <w:vMerge w:val="restart"/>
          </w:tcPr>
          <w:p>
            <w:pPr>
              <w:spacing w:after="0"/>
              <w:rPr>
                <w:sz w:val="20"/>
                <w:szCs w:val="20"/>
                <w:color w:val="auto"/>
              </w:rPr>
            </w:pPr>
            <w:r>
              <w:rPr>
                <w:rFonts w:ascii="Courier New" w:cs="Courier New" w:eastAsia="Courier New" w:hAnsi="Courier New"/>
                <w:sz w:val="17"/>
                <w:szCs w:val="17"/>
                <w:color w:val="auto"/>
              </w:rPr>
              <w:t>Shared Voting Power</w:t>
            </w: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OWNED BY</w:t>
            </w:r>
          </w:p>
        </w:tc>
        <w:tc>
          <w:tcPr>
            <w:tcW w:w="760" w:type="dxa"/>
            <w:vAlign w:val="bottom"/>
            <w:vMerge w:val="continue"/>
          </w:tcPr>
          <w:p>
            <w:pPr>
              <w:spacing w:after="0"/>
              <w:rPr>
                <w:sz w:val="16"/>
                <w:szCs w:val="16"/>
                <w:color w:val="auto"/>
              </w:rPr>
            </w:pPr>
          </w:p>
        </w:tc>
        <w:tc>
          <w:tcPr>
            <w:tcW w:w="8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EACH</w:t>
            </w:r>
          </w:p>
        </w:tc>
        <w:tc>
          <w:tcPr>
            <w:tcW w:w="760" w:type="dxa"/>
            <w:vAlign w:val="bottom"/>
          </w:tcPr>
          <w:p>
            <w:pPr>
              <w:spacing w:after="0"/>
              <w:rPr>
                <w:sz w:val="16"/>
                <w:szCs w:val="16"/>
                <w:color w:val="auto"/>
              </w:rPr>
            </w:pPr>
          </w:p>
        </w:tc>
        <w:tc>
          <w:tcPr>
            <w:tcW w:w="868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4"/>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spacing w:after="0"/>
              <w:rPr>
                <w:sz w:val="16"/>
                <w:szCs w:val="16"/>
                <w:color w:val="auto"/>
              </w:rPr>
            </w:pPr>
          </w:p>
        </w:tc>
        <w:tc>
          <w:tcPr>
            <w:tcW w:w="8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PERSON</w:t>
            </w:r>
          </w:p>
        </w:tc>
        <w:tc>
          <w:tcPr>
            <w:tcW w:w="760" w:type="dxa"/>
            <w:vAlign w:val="bottom"/>
            <w:vMerge w:val="restart"/>
          </w:tcPr>
          <w:p>
            <w:pPr>
              <w:ind w:left="240"/>
              <w:spacing w:after="0"/>
              <w:rPr>
                <w:sz w:val="20"/>
                <w:szCs w:val="20"/>
                <w:color w:val="auto"/>
              </w:rPr>
            </w:pPr>
            <w:r>
              <w:rPr>
                <w:rFonts w:ascii="Courier New" w:cs="Courier New" w:eastAsia="Courier New" w:hAnsi="Courier New"/>
                <w:sz w:val="1"/>
                <w:szCs w:val="1"/>
                <w:color w:val="auto"/>
                <w:w w:val="90"/>
              </w:rPr>
              <w:t>-------------------------------------------------------------------------------------------</w:t>
            </w:r>
            <w:r>
              <w:rPr>
                <w:rFonts w:ascii="Courier New" w:cs="Courier New" w:eastAsia="Courier New" w:hAnsi="Courier New"/>
                <w:sz w:val="2"/>
                <w:szCs w:val="2"/>
                <w:color w:val="auto"/>
                <w:w w:val="90"/>
                <w:vertAlign w:val="subscript"/>
              </w:rPr>
              <w:t>7</w:t>
            </w:r>
          </w:p>
        </w:tc>
        <w:tc>
          <w:tcPr>
            <w:tcW w:w="8680" w:type="dxa"/>
            <w:vAlign w:val="bottom"/>
            <w:vMerge w:val="restart"/>
          </w:tcPr>
          <w:p>
            <w:pPr>
              <w:spacing w:after="0"/>
              <w:rPr>
                <w:sz w:val="20"/>
                <w:szCs w:val="20"/>
                <w:color w:val="auto"/>
              </w:rPr>
            </w:pPr>
            <w:r>
              <w:rPr>
                <w:rFonts w:ascii="Courier New" w:cs="Courier New" w:eastAsia="Courier New" w:hAnsi="Courier New"/>
                <w:sz w:val="17"/>
                <w:szCs w:val="17"/>
                <w:color w:val="auto"/>
              </w:rPr>
              <w:t>Sole Dispositive Power</w:t>
            </w:r>
          </w:p>
        </w:tc>
        <w:tc>
          <w:tcPr>
            <w:tcW w:w="0" w:type="dxa"/>
            <w:vAlign w:val="bottom"/>
          </w:tcPr>
          <w:p>
            <w:pPr>
              <w:spacing w:after="0"/>
              <w:rPr>
                <w:sz w:val="1"/>
                <w:szCs w:val="1"/>
                <w:color w:val="auto"/>
              </w:rPr>
            </w:pPr>
          </w:p>
        </w:tc>
      </w:tr>
      <w:tr>
        <w:trPr>
          <w:trHeight w:val="300"/>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WITH</w:t>
            </w:r>
          </w:p>
        </w:tc>
        <w:tc>
          <w:tcPr>
            <w:tcW w:w="760" w:type="dxa"/>
            <w:vAlign w:val="bottom"/>
            <w:vMerge w:val="continue"/>
          </w:tcPr>
          <w:p>
            <w:pPr>
              <w:spacing w:after="0"/>
              <w:rPr>
                <w:sz w:val="24"/>
                <w:szCs w:val="24"/>
                <w:color w:val="auto"/>
              </w:rPr>
            </w:pPr>
          </w:p>
        </w:tc>
        <w:tc>
          <w:tcPr>
            <w:tcW w:w="8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10,330,113*</w:t>
            </w:r>
          </w:p>
        </w:tc>
        <w:tc>
          <w:tcPr>
            <w:tcW w:w="0" w:type="dxa"/>
            <w:vAlign w:val="bottom"/>
          </w:tcPr>
          <w:p>
            <w:pPr>
              <w:spacing w:after="0"/>
              <w:rPr>
                <w:sz w:val="1"/>
                <w:szCs w:val="1"/>
                <w:color w:val="auto"/>
              </w:rPr>
            </w:pPr>
          </w:p>
        </w:tc>
      </w:tr>
      <w:tr>
        <w:trPr>
          <w:trHeight w:val="194"/>
        </w:trPr>
        <w:tc>
          <w:tcPr>
            <w:tcW w:w="1480" w:type="dxa"/>
            <w:vAlign w:val="bottom"/>
          </w:tcPr>
          <w:p>
            <w:pPr>
              <w:spacing w:after="0"/>
              <w:rPr>
                <w:sz w:val="16"/>
                <w:szCs w:val="16"/>
                <w:color w:val="auto"/>
              </w:rPr>
            </w:pPr>
          </w:p>
        </w:tc>
        <w:tc>
          <w:tcPr>
            <w:tcW w:w="944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4"/>
                <w:szCs w:val="24"/>
                <w:color w:val="auto"/>
              </w:rPr>
            </w:pPr>
          </w:p>
        </w:tc>
        <w:tc>
          <w:tcPr>
            <w:tcW w:w="760" w:type="dxa"/>
            <w:vAlign w:val="bottom"/>
          </w:tcPr>
          <w:p>
            <w:pPr>
              <w:jc w:val="right"/>
              <w:ind w:right="267"/>
              <w:spacing w:after="0"/>
              <w:rPr>
                <w:sz w:val="20"/>
                <w:szCs w:val="20"/>
                <w:color w:val="auto"/>
              </w:rPr>
            </w:pPr>
            <w:r>
              <w:rPr>
                <w:rFonts w:ascii="Courier New" w:cs="Courier New" w:eastAsia="Courier New" w:hAnsi="Courier New"/>
                <w:sz w:val="17"/>
                <w:szCs w:val="17"/>
                <w:color w:val="auto"/>
              </w:rPr>
              <w:t>8</w:t>
            </w: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c>
          <w:tcPr>
            <w:tcW w:w="0" w:type="dxa"/>
            <w:vAlign w:val="bottom"/>
          </w:tcPr>
          <w:p>
            <w:pPr>
              <w:spacing w:after="0"/>
              <w:rPr>
                <w:sz w:val="1"/>
                <w:szCs w:val="1"/>
                <w:color w:val="auto"/>
              </w:rPr>
            </w:pPr>
          </w:p>
        </w:tc>
      </w:tr>
    </w:tbl>
    <w:p>
      <w:pPr>
        <w:sectPr>
          <w:pgSz w:w="11900" w:h="16838" w:orient="portrait"/>
          <w:cols w:equalWidth="0" w:num="1">
            <w:col w:w="11520"/>
          </w:cols>
          <w:pgMar w:left="240" w:top="215" w:right="139" w:bottom="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7"/>
          <w:szCs w:val="17"/>
          <w:color w:val="auto"/>
        </w:rPr>
        <w:t>0</w:t>
      </w:r>
    </w:p>
    <w:p>
      <w:pPr>
        <w:spacing w:after="0" w:line="3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9</w:t>
      </w:r>
      <w:r>
        <w:rPr>
          <w:rFonts w:ascii="Courier New" w:cs="Courier New" w:eastAsia="Courier New" w:hAnsi="Courier New"/>
          <w:sz w:val="16"/>
          <w:szCs w:val="16"/>
          <w:color w:val="auto"/>
        </w:rPr>
        <w:t>Aggregate Amount Beneficially Owned by Each Reporting Person</w:t>
      </w:r>
    </w:p>
    <w:p>
      <w:pPr>
        <w:spacing w:after="0" w:line="16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10,330,113* (individually)</w:t>
      </w:r>
    </w:p>
    <w:p>
      <w:pPr>
        <w:spacing w:after="0" w:line="32" w:lineRule="exact"/>
        <w:rPr>
          <w:sz w:val="20"/>
          <w:szCs w:val="20"/>
          <w:color w:val="auto"/>
        </w:rPr>
      </w:pPr>
    </w:p>
    <w:p>
      <w:pPr>
        <w:ind w:left="1020"/>
        <w:spacing w:after="0"/>
        <w:tabs>
          <w:tab w:leader="none" w:pos="2300" w:val="left"/>
        </w:tabs>
        <w:rPr>
          <w:sz w:val="20"/>
          <w:szCs w:val="20"/>
          <w:color w:val="auto"/>
        </w:rPr>
      </w:pPr>
      <w:r>
        <w:rPr>
          <w:rFonts w:ascii="Courier New" w:cs="Courier New" w:eastAsia="Courier New" w:hAnsi="Courier New"/>
          <w:sz w:val="17"/>
          <w:szCs w:val="17"/>
          <w:color w:val="auto"/>
        </w:rPr>
        <w:t>14,574,027</w:t>
        <w:tab/>
        <w:t>(total group shares)</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10</w:t>
      </w:r>
      <w:r>
        <w:rPr>
          <w:rFonts w:ascii="Courier New" w:cs="Courier New" w:eastAsia="Courier New" w:hAnsi="Courier New"/>
          <w:sz w:val="16"/>
          <w:szCs w:val="16"/>
          <w:color w:val="auto"/>
        </w:rPr>
        <w:t>Check if the Aggregate Amount in Row (9) Excludes Certain Shares</w:t>
      </w:r>
    </w:p>
    <w:p>
      <w:pPr>
        <w:spacing w:after="0" w:line="1"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w:t>
      </w:r>
      <w:r>
        <w:rPr>
          <w:rFonts w:ascii="Courier New" w:cs="Courier New" w:eastAsia="Courier New" w:hAnsi="Courier New"/>
          <w:sz w:val="16"/>
          <w:szCs w:val="16"/>
          <w:color w:val="auto"/>
        </w:rPr>
        <w:t>Percent of Class Represented by Amount in Row (9)</w:t>
      </w:r>
    </w:p>
    <w:p>
      <w:pPr>
        <w:spacing w:after="0" w:line="166" w:lineRule="exact"/>
        <w:rPr>
          <w:sz w:val="20"/>
          <w:szCs w:val="20"/>
          <w:color w:val="auto"/>
        </w:rPr>
      </w:pPr>
    </w:p>
    <w:p>
      <w:pPr>
        <w:ind w:left="1020"/>
        <w:spacing w:after="0"/>
        <w:tabs>
          <w:tab w:leader="none" w:pos="1900" w:val="left"/>
        </w:tabs>
        <w:rPr>
          <w:sz w:val="20"/>
          <w:szCs w:val="20"/>
          <w:color w:val="auto"/>
        </w:rPr>
      </w:pPr>
      <w:r>
        <w:rPr>
          <w:rFonts w:ascii="Courier New" w:cs="Courier New" w:eastAsia="Courier New" w:hAnsi="Courier New"/>
          <w:sz w:val="17"/>
          <w:szCs w:val="17"/>
          <w:color w:val="auto"/>
        </w:rPr>
        <w:t>10.94%*</w:t>
      </w:r>
      <w:r>
        <w:rPr>
          <w:sz w:val="20"/>
          <w:szCs w:val="20"/>
          <w:color w:val="auto"/>
        </w:rPr>
        <w:tab/>
      </w:r>
      <w:r>
        <w:rPr>
          <w:rFonts w:ascii="Courier New" w:cs="Courier New" w:eastAsia="Courier New" w:hAnsi="Courier New"/>
          <w:sz w:val="16"/>
          <w:szCs w:val="16"/>
          <w:color w:val="auto"/>
        </w:rPr>
        <w:t>(individually)</w:t>
      </w:r>
    </w:p>
    <w:p>
      <w:pPr>
        <w:spacing w:after="0" w:line="32" w:lineRule="exact"/>
        <w:rPr>
          <w:sz w:val="20"/>
          <w:szCs w:val="20"/>
          <w:color w:val="auto"/>
        </w:rPr>
      </w:pPr>
    </w:p>
    <w:p>
      <w:pPr>
        <w:ind w:left="1020"/>
        <w:spacing w:after="0"/>
        <w:tabs>
          <w:tab w:leader="none" w:pos="2000" w:val="left"/>
        </w:tabs>
        <w:rPr>
          <w:sz w:val="20"/>
          <w:szCs w:val="20"/>
          <w:color w:val="auto"/>
        </w:rPr>
      </w:pPr>
      <w:r>
        <w:rPr>
          <w:rFonts w:ascii="Courier New" w:cs="Courier New" w:eastAsia="Courier New" w:hAnsi="Courier New"/>
          <w:sz w:val="17"/>
          <w:szCs w:val="17"/>
          <w:color w:val="auto"/>
        </w:rPr>
        <w:t>15.44%</w:t>
      </w:r>
      <w:r>
        <w:rPr>
          <w:sz w:val="20"/>
          <w:szCs w:val="20"/>
          <w:color w:val="auto"/>
        </w:rPr>
        <w:tab/>
      </w:r>
      <w:r>
        <w:rPr>
          <w:rFonts w:ascii="Courier New" w:cs="Courier New" w:eastAsia="Courier New" w:hAnsi="Courier New"/>
          <w:sz w:val="16"/>
          <w:szCs w:val="16"/>
          <w:color w:val="auto"/>
        </w:rPr>
        <w:t>(total group shares)</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12</w:t>
      </w:r>
      <w:r>
        <w:rPr>
          <w:rFonts w:ascii="Courier New" w:cs="Courier New" w:eastAsia="Courier New" w:hAnsi="Courier New"/>
          <w:sz w:val="16"/>
          <w:szCs w:val="16"/>
          <w:color w:val="auto"/>
        </w:rPr>
        <w:t>Type of Reporting Person (See Instructions)</w:t>
      </w:r>
    </w:p>
    <w:p>
      <w:pPr>
        <w:spacing w:after="0" w:line="166" w:lineRule="exact"/>
        <w:rPr>
          <w:sz w:val="20"/>
          <w:szCs w:val="20"/>
          <w:color w:val="auto"/>
        </w:rPr>
      </w:pPr>
    </w:p>
    <w:p>
      <w:pPr>
        <w:ind w:left="6080"/>
        <w:spacing w:after="0"/>
        <w:rPr>
          <w:sz w:val="20"/>
          <w:szCs w:val="20"/>
          <w:color w:val="auto"/>
        </w:rPr>
      </w:pPr>
      <w:r>
        <w:rPr>
          <w:rFonts w:ascii="Courier New" w:cs="Courier New" w:eastAsia="Courier New" w:hAnsi="Courier New"/>
          <w:sz w:val="17"/>
          <w:szCs w:val="17"/>
          <w:color w:val="auto"/>
        </w:rPr>
        <w:t>HC</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left="3940" w:right="4440" w:hanging="3936"/>
        <w:spacing w:after="0" w:line="599" w:lineRule="auto"/>
        <w:tabs>
          <w:tab w:leader="none" w:pos="5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171,909 shares held of record by Atlantic Security Bank, 2</w:t>
      </w:r>
    </w:p>
    <w:p>
      <w:pPr>
        <w:sectPr>
          <w:pgSz w:w="11900" w:h="16838" w:orient="portrait"/>
          <w:cols w:equalWidth="0" w:num="1">
            <w:col w:w="11520"/>
          </w:cols>
          <w:pgMar w:left="240" w:top="306" w:right="139" w:bottom="1440"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194"/>
        </w:trPr>
        <w:tc>
          <w:tcPr>
            <w:tcW w:w="1320" w:type="dxa"/>
            <w:vAlign w:val="bottom"/>
          </w:tcPr>
          <w:p>
            <w:pPr>
              <w:ind w:left="320"/>
              <w:spacing w:after="0"/>
              <w:rPr>
                <w:sz w:val="20"/>
                <w:szCs w:val="20"/>
                <w:color w:val="auto"/>
              </w:rPr>
            </w:pPr>
            <w:r>
              <w:rPr>
                <w:rFonts w:ascii="Courier New" w:cs="Courier New" w:eastAsia="Courier New" w:hAnsi="Courier New"/>
                <w:sz w:val="17"/>
                <w:szCs w:val="17"/>
                <w:color w:val="auto"/>
              </w:rPr>
              <w:t>its</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Names</w:t>
            </w:r>
          </w:p>
        </w:tc>
        <w:tc>
          <w:tcPr>
            <w:tcW w:w="8140" w:type="dxa"/>
            <w:vAlign w:val="bottom"/>
          </w:tcPr>
          <w:p>
            <w:pPr>
              <w:ind w:left="40"/>
              <w:spacing w:after="0"/>
              <w:rPr>
                <w:sz w:val="20"/>
                <w:szCs w:val="20"/>
                <w:color w:val="auto"/>
              </w:rPr>
            </w:pPr>
            <w:r>
              <w:rPr>
                <w:rFonts w:ascii="Courier New" w:cs="Courier New" w:eastAsia="Courier New" w:hAnsi="Courier New"/>
                <w:sz w:val="17"/>
                <w:szCs w:val="17"/>
                <w:color w:val="auto"/>
                <w:w w:val="99"/>
              </w:rPr>
              <w:t>of Reporting Persons/I.R.S. Identification Nos. of Above Persons (Entities Only)</w:t>
            </w:r>
          </w:p>
        </w:tc>
        <w:tc>
          <w:tcPr>
            <w:tcW w:w="0" w:type="dxa"/>
            <w:vAlign w:val="bottom"/>
          </w:tcPr>
          <w:p>
            <w:pPr>
              <w:spacing w:after="0"/>
              <w:rPr>
                <w:sz w:val="1"/>
                <w:szCs w:val="1"/>
                <w:color w:val="auto"/>
              </w:rPr>
            </w:pPr>
          </w:p>
        </w:tc>
      </w:tr>
      <w:tr>
        <w:trPr>
          <w:trHeight w:val="194"/>
        </w:trPr>
        <w:tc>
          <w:tcPr>
            <w:tcW w:w="1320" w:type="dxa"/>
            <w:vAlign w:val="bottom"/>
          </w:tcPr>
          <w:p>
            <w:pPr>
              <w:ind w:left="200"/>
              <w:spacing w:after="0"/>
              <w:rPr>
                <w:sz w:val="20"/>
                <w:szCs w:val="20"/>
                <w:color w:val="auto"/>
              </w:rPr>
            </w:pPr>
            <w:r>
              <w:rPr>
                <w:rFonts w:ascii="Courier New" w:cs="Courier New" w:eastAsia="Courier New" w:hAnsi="Courier New"/>
                <w:sz w:val="17"/>
                <w:szCs w:val="17"/>
                <w:color w:val="auto"/>
              </w:rPr>
              <w:t>wholly-</w:t>
            </w:r>
          </w:p>
        </w:tc>
        <w:tc>
          <w:tcPr>
            <w:tcW w:w="66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ind w:left="200"/>
              <w:spacing w:after="0"/>
              <w:rPr>
                <w:sz w:val="20"/>
                <w:szCs w:val="20"/>
                <w:color w:val="auto"/>
              </w:rPr>
            </w:pPr>
            <w:r>
              <w:rPr>
                <w:rFonts w:ascii="Courier New" w:cs="Courier New" w:eastAsia="Courier New" w:hAnsi="Courier New"/>
                <w:sz w:val="17"/>
                <w:szCs w:val="17"/>
                <w:color w:val="auto"/>
              </w:rPr>
              <w:t>owned</w:t>
            </w:r>
          </w:p>
        </w:tc>
        <w:tc>
          <w:tcPr>
            <w:tcW w:w="66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Banco</w:t>
            </w:r>
          </w:p>
        </w:tc>
        <w:tc>
          <w:tcPr>
            <w:tcW w:w="814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de Credito del Peru</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20"/>
                <w:szCs w:val="20"/>
                <w:color w:val="auto"/>
              </w:rPr>
            </w:pPr>
            <w:r>
              <w:rPr>
                <w:rFonts w:ascii="Courier New" w:cs="Courier New" w:eastAsia="Courier New" w:hAnsi="Courier New"/>
                <w:sz w:val="17"/>
                <w:szCs w:val="17"/>
                <w:color w:val="auto"/>
              </w:rPr>
              <w:t>subsidiary.1</w:t>
            </w:r>
          </w:p>
        </w:tc>
        <w:tc>
          <w:tcPr>
            <w:tcW w:w="660" w:type="dxa"/>
            <w:vAlign w:val="bottom"/>
            <w:vMerge w:val="continue"/>
          </w:tcPr>
          <w:p>
            <w:pPr>
              <w:spacing w:after="0"/>
              <w:rPr>
                <w:sz w:val="19"/>
                <w:szCs w:val="19"/>
                <w:color w:val="auto"/>
              </w:rPr>
            </w:pPr>
          </w:p>
        </w:tc>
        <w:tc>
          <w:tcPr>
            <w:tcW w:w="8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720" w:type="dxa"/>
        <w:tblCellMar>
          <w:top w:w="0" w:type="dxa"/>
          <w:left w:w="0" w:type="dxa"/>
          <w:bottom w:w="0" w:type="dxa"/>
          <w:right w:w="0" w:type="dxa"/>
        </w:tblCellMar>
      </w:tblPr>
      <w:tr>
        <w:trPr>
          <w:trHeight w:val="178"/>
        </w:trPr>
        <w:tc>
          <w:tcPr>
            <w:tcW w:w="540" w:type="dxa"/>
            <w:vAlign w:val="bottom"/>
          </w:tcPr>
          <w:p>
            <w:pPr>
              <w:jc w:val="right"/>
              <w:ind w:right="356"/>
              <w:spacing w:after="0" w:line="178" w:lineRule="exact"/>
              <w:rPr>
                <w:sz w:val="20"/>
                <w:szCs w:val="20"/>
                <w:color w:val="auto"/>
              </w:rPr>
            </w:pPr>
            <w:r>
              <w:rPr>
                <w:rFonts w:ascii="Courier New" w:cs="Courier New" w:eastAsia="Courier New" w:hAnsi="Courier New"/>
                <w:sz w:val="17"/>
                <w:szCs w:val="17"/>
                <w:color w:val="auto"/>
                <w:w w:val="77"/>
              </w:rPr>
              <w:t>2</w:t>
            </w:r>
          </w:p>
        </w:tc>
        <w:tc>
          <w:tcPr>
            <w:tcW w:w="6020" w:type="dxa"/>
            <w:vAlign w:val="bottom"/>
          </w:tcPr>
          <w:p>
            <w:pPr>
              <w:ind w:left="460"/>
              <w:spacing w:after="0" w:line="178" w:lineRule="exact"/>
              <w:rPr>
                <w:sz w:val="20"/>
                <w:szCs w:val="20"/>
                <w:color w:val="auto"/>
              </w:rPr>
            </w:pPr>
            <w:r>
              <w:rPr>
                <w:rFonts w:ascii="Courier New" w:cs="Courier New" w:eastAsia="Courier New" w:hAnsi="Courier New"/>
                <w:sz w:val="17"/>
                <w:szCs w:val="17"/>
                <w:color w:val="auto"/>
              </w:rPr>
              <w:t>Check the Appropriate Box if a Member of a Group</w:t>
            </w:r>
          </w:p>
        </w:tc>
        <w:tc>
          <w:tcPr>
            <w:tcW w:w="1060" w:type="dxa"/>
            <w:vAlign w:val="bottom"/>
          </w:tcPr>
          <w:p>
            <w:pPr>
              <w:ind w:left="720"/>
              <w:spacing w:after="0" w:line="178" w:lineRule="exact"/>
              <w:rPr>
                <w:sz w:val="20"/>
                <w:szCs w:val="20"/>
                <w:color w:val="auto"/>
              </w:rPr>
            </w:pPr>
            <w:r>
              <w:rPr>
                <w:rFonts w:ascii="Courier New" w:cs="Courier New" w:eastAsia="Courier New" w:hAnsi="Courier New"/>
                <w:sz w:val="17"/>
                <w:szCs w:val="17"/>
                <w:color w:val="auto"/>
              </w:rPr>
              <w:t>(a)</w:t>
            </w:r>
          </w:p>
        </w:tc>
        <w:tc>
          <w:tcPr>
            <w:tcW w:w="200" w:type="dxa"/>
            <w:vAlign w:val="bottom"/>
          </w:tcPr>
          <w:p>
            <w:pPr>
              <w:jc w:val="right"/>
              <w:spacing w:after="0" w:line="178"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line="178" w:lineRule="exact"/>
              <w:rPr>
                <w:sz w:val="20"/>
                <w:szCs w:val="20"/>
                <w:color w:val="auto"/>
              </w:rPr>
            </w:pPr>
            <w:r>
              <w:rPr>
                <w:rFonts w:ascii="Courier New" w:cs="Courier New" w:eastAsia="Courier New" w:hAnsi="Courier New"/>
                <w:sz w:val="17"/>
                <w:szCs w:val="17"/>
                <w:color w:val="auto"/>
                <w:w w:val="91"/>
              </w:rPr>
              <w:t>[X]</w:t>
            </w:r>
          </w:p>
        </w:tc>
      </w:tr>
      <w:tr>
        <w:trPr>
          <w:trHeight w:val="224"/>
        </w:trPr>
        <w:tc>
          <w:tcPr>
            <w:tcW w:w="5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60" w:type="dxa"/>
            <w:vAlign w:val="bottom"/>
          </w:tcPr>
          <w:p>
            <w:pPr>
              <w:ind w:left="720"/>
              <w:spacing w:after="0"/>
              <w:rPr>
                <w:sz w:val="20"/>
                <w:szCs w:val="20"/>
                <w:color w:val="auto"/>
              </w:rPr>
            </w:pPr>
            <w:r>
              <w:rPr>
                <w:rFonts w:ascii="Courier New" w:cs="Courier New" w:eastAsia="Courier New" w:hAnsi="Courier New"/>
                <w:sz w:val="17"/>
                <w:szCs w:val="17"/>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 ]</w:t>
            </w:r>
          </w:p>
        </w:tc>
      </w:tr>
    </w:tbl>
    <w:p>
      <w:pPr>
        <w:ind w:left="200" w:hanging="196"/>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166"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3"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w:t>
      </w:r>
      <w:r>
        <w:rPr>
          <w:rFonts w:ascii="Courier New" w:cs="Courier New" w:eastAsia="Courier New" w:hAnsi="Courier New"/>
          <w:sz w:val="16"/>
          <w:szCs w:val="16"/>
          <w:color w:val="auto"/>
        </w:rPr>
        <w:t>Citizenship or Place of Organization</w:t>
      </w:r>
    </w:p>
    <w:p>
      <w:pPr>
        <w:spacing w:after="0" w:line="16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Peru</w:t>
      </w:r>
    </w:p>
    <w:p>
      <w:pPr>
        <w:spacing w:after="0" w:line="3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5   Sole Voting Power</w:t>
      </w:r>
    </w:p>
    <w:tbl>
      <w:tblPr>
        <w:tblLayout w:type="fixed"/>
        <w:tblInd w:w="400" w:type="dxa"/>
        <w:tblCellMar>
          <w:top w:w="0" w:type="dxa"/>
          <w:left w:w="0" w:type="dxa"/>
          <w:bottom w:w="0" w:type="dxa"/>
          <w:right w:w="0" w:type="dxa"/>
        </w:tblCellMar>
      </w:tblPr>
      <w:tr>
        <w:trPr>
          <w:trHeight w:val="166"/>
        </w:trPr>
        <w:tc>
          <w:tcPr>
            <w:tcW w:w="1480" w:type="dxa"/>
            <w:vAlign w:val="bottom"/>
          </w:tcPr>
          <w:p>
            <w:pPr>
              <w:ind w:left="220"/>
              <w:spacing w:after="0" w:line="167" w:lineRule="exact"/>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4"/>
                <w:szCs w:val="14"/>
                <w:color w:val="auto"/>
              </w:rPr>
            </w:pPr>
          </w:p>
        </w:tc>
        <w:tc>
          <w:tcPr>
            <w:tcW w:w="2220" w:type="dxa"/>
            <w:vAlign w:val="bottom"/>
            <w:vMerge w:val="restart"/>
          </w:tcPr>
          <w:p>
            <w:pPr>
              <w:spacing w:after="0"/>
              <w:rPr>
                <w:sz w:val="20"/>
                <w:szCs w:val="20"/>
                <w:color w:val="auto"/>
              </w:rPr>
            </w:pPr>
            <w:r>
              <w:rPr>
                <w:rFonts w:ascii="Courier New" w:cs="Courier New" w:eastAsia="Courier New" w:hAnsi="Courier New"/>
                <w:sz w:val="17"/>
                <w:szCs w:val="17"/>
                <w:color w:val="auto"/>
              </w:rPr>
              <w:t>1,625,315*</w:t>
            </w: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SHARES</w:t>
            </w:r>
          </w:p>
        </w:tc>
        <w:tc>
          <w:tcPr>
            <w:tcW w:w="76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9"/>
              </w:rPr>
              <w:t>BENEFICIALLY</w:t>
            </w:r>
          </w:p>
        </w:tc>
        <w:tc>
          <w:tcPr>
            <w:tcW w:w="760" w:type="dxa"/>
            <w:vAlign w:val="bottom"/>
            <w:vMerge w:val="restart"/>
          </w:tcPr>
          <w:p>
            <w:pPr>
              <w:jc w:val="right"/>
              <w:spacing w:after="0"/>
              <w:rPr>
                <w:sz w:val="20"/>
                <w:szCs w:val="20"/>
                <w:color w:val="auto"/>
              </w:rPr>
            </w:pP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6</w:t>
            </w:r>
          </w:p>
        </w:tc>
        <w:tc>
          <w:tcPr>
            <w:tcW w:w="2220" w:type="dxa"/>
            <w:vAlign w:val="bottom"/>
            <w:vMerge w:val="restart"/>
          </w:tcPr>
          <w:p>
            <w:pPr>
              <w:spacing w:after="0"/>
              <w:rPr>
                <w:sz w:val="20"/>
                <w:szCs w:val="20"/>
                <w:color w:val="auto"/>
              </w:rPr>
            </w:pPr>
            <w:r>
              <w:rPr>
                <w:rFonts w:ascii="Courier New" w:cs="Courier New" w:eastAsia="Courier New" w:hAnsi="Courier New"/>
                <w:sz w:val="17"/>
                <w:szCs w:val="17"/>
                <w:color w:val="auto"/>
              </w:rPr>
              <w:t>Shared Voting Power</w:t>
            </w: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OWNED BY</w:t>
            </w:r>
          </w:p>
        </w:tc>
        <w:tc>
          <w:tcPr>
            <w:tcW w:w="76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EACH</w:t>
            </w:r>
          </w:p>
        </w:tc>
        <w:tc>
          <w:tcPr>
            <w:tcW w:w="760" w:type="dxa"/>
            <w:vAlign w:val="bottom"/>
          </w:tcPr>
          <w:p>
            <w:pPr>
              <w:spacing w:after="0"/>
              <w:rPr>
                <w:sz w:val="16"/>
                <w:szCs w:val="16"/>
                <w:color w:val="auto"/>
              </w:rPr>
            </w:pPr>
          </w:p>
        </w:tc>
        <w:tc>
          <w:tcPr>
            <w:tcW w:w="22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4"/>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PERSON</w:t>
            </w:r>
          </w:p>
        </w:tc>
        <w:tc>
          <w:tcPr>
            <w:tcW w:w="760" w:type="dxa"/>
            <w:vAlign w:val="bottom"/>
            <w:vMerge w:val="restart"/>
          </w:tcPr>
          <w:p>
            <w:pPr>
              <w:jc w:val="right"/>
              <w:spacing w:after="0"/>
              <w:rPr>
                <w:sz w:val="20"/>
                <w:szCs w:val="20"/>
                <w:color w:val="auto"/>
              </w:rPr>
            </w:pP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7</w:t>
            </w:r>
          </w:p>
        </w:tc>
        <w:tc>
          <w:tcPr>
            <w:tcW w:w="2220" w:type="dxa"/>
            <w:vAlign w:val="bottom"/>
            <w:vMerge w:val="restart"/>
          </w:tcPr>
          <w:p>
            <w:pPr>
              <w:spacing w:after="0"/>
              <w:rPr>
                <w:sz w:val="20"/>
                <w:szCs w:val="20"/>
                <w:color w:val="auto"/>
              </w:rPr>
            </w:pPr>
            <w:r>
              <w:rPr>
                <w:rFonts w:ascii="Courier New" w:cs="Courier New" w:eastAsia="Courier New" w:hAnsi="Courier New"/>
                <w:sz w:val="17"/>
                <w:szCs w:val="17"/>
                <w:color w:val="auto"/>
                <w:w w:val="98"/>
              </w:rPr>
              <w:t>Sole Dispositive Power</w:t>
            </w:r>
          </w:p>
        </w:tc>
        <w:tc>
          <w:tcPr>
            <w:tcW w:w="0" w:type="dxa"/>
            <w:vAlign w:val="bottom"/>
          </w:tcPr>
          <w:p>
            <w:pPr>
              <w:spacing w:after="0"/>
              <w:rPr>
                <w:sz w:val="1"/>
                <w:szCs w:val="1"/>
                <w:color w:val="auto"/>
              </w:rPr>
            </w:pPr>
          </w:p>
        </w:tc>
      </w:tr>
      <w:tr>
        <w:trPr>
          <w:trHeight w:val="300"/>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WITH</w:t>
            </w:r>
          </w:p>
        </w:tc>
        <w:tc>
          <w:tcPr>
            <w:tcW w:w="760" w:type="dxa"/>
            <w:vAlign w:val="bottom"/>
            <w:vMerge w:val="continue"/>
          </w:tcPr>
          <w:p>
            <w:pPr>
              <w:spacing w:after="0"/>
              <w:rPr>
                <w:sz w:val="24"/>
                <w:szCs w:val="24"/>
                <w:color w:val="auto"/>
              </w:rPr>
            </w:pPr>
          </w:p>
        </w:tc>
        <w:tc>
          <w:tcPr>
            <w:tcW w:w="2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Courier New" w:cs="Courier New" w:eastAsia="Courier New" w:hAnsi="Courier New"/>
                <w:sz w:val="17"/>
                <w:szCs w:val="17"/>
                <w:color w:val="auto"/>
              </w:rPr>
              <w:t>1,625,315*</w:t>
            </w:r>
          </w:p>
        </w:tc>
        <w:tc>
          <w:tcPr>
            <w:tcW w:w="0" w:type="dxa"/>
            <w:vAlign w:val="bottom"/>
          </w:tcPr>
          <w:p>
            <w:pPr>
              <w:spacing w:after="0"/>
              <w:rPr>
                <w:sz w:val="1"/>
                <w:szCs w:val="1"/>
                <w:color w:val="auto"/>
              </w:rPr>
            </w:pPr>
          </w:p>
        </w:tc>
      </w:tr>
    </w:tbl>
    <w:p>
      <w:pPr>
        <w:ind w:left="21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2640" w:right="6460" w:hanging="412"/>
        <w:spacing w:after="0" w:line="363" w:lineRule="auto"/>
        <w:tabs>
          <w:tab w:leader="none" w:pos="264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0</w:t>
      </w:r>
    </w:p>
    <w:p>
      <w:pPr>
        <w:ind w:left="200" w:hanging="196"/>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9</w:t>
      </w:r>
      <w:r>
        <w:rPr>
          <w:rFonts w:ascii="Courier New" w:cs="Courier New" w:eastAsia="Courier New" w:hAnsi="Courier New"/>
          <w:sz w:val="16"/>
          <w:szCs w:val="16"/>
          <w:color w:val="auto"/>
        </w:rPr>
        <w:t>Aggregate Amount Beneficially Owned by Each Reporting Person</w:t>
      </w:r>
    </w:p>
    <w:p>
      <w:pPr>
        <w:spacing w:after="0" w:line="166" w:lineRule="exact"/>
        <w:rPr>
          <w:sz w:val="20"/>
          <w:szCs w:val="20"/>
          <w:color w:val="auto"/>
        </w:rPr>
      </w:pPr>
    </w:p>
    <w:p>
      <w:pPr>
        <w:ind w:left="1820"/>
        <w:spacing w:after="0"/>
        <w:tabs>
          <w:tab w:leader="none" w:pos="3220" w:val="left"/>
        </w:tabs>
        <w:rPr>
          <w:sz w:val="20"/>
          <w:szCs w:val="20"/>
          <w:color w:val="auto"/>
        </w:rPr>
      </w:pPr>
      <w:r>
        <w:rPr>
          <w:rFonts w:ascii="Courier New" w:cs="Courier New" w:eastAsia="Courier New" w:hAnsi="Courier New"/>
          <w:sz w:val="17"/>
          <w:szCs w:val="17"/>
          <w:color w:val="auto"/>
        </w:rPr>
        <w:t>1,625,315*</w:t>
      </w:r>
      <w:r>
        <w:rPr>
          <w:sz w:val="20"/>
          <w:szCs w:val="20"/>
          <w:color w:val="auto"/>
        </w:rPr>
        <w:tab/>
      </w:r>
      <w:r>
        <w:rPr>
          <w:rFonts w:ascii="Courier New" w:cs="Courier New" w:eastAsia="Courier New" w:hAnsi="Courier New"/>
          <w:sz w:val="17"/>
          <w:szCs w:val="17"/>
          <w:color w:val="auto"/>
        </w:rPr>
        <w:t>(individually)</w:t>
      </w:r>
    </w:p>
    <w:p>
      <w:pPr>
        <w:spacing w:after="0" w:line="32" w:lineRule="exact"/>
        <w:rPr>
          <w:sz w:val="20"/>
          <w:szCs w:val="20"/>
          <w:color w:val="auto"/>
        </w:rPr>
      </w:pPr>
    </w:p>
    <w:p>
      <w:pPr>
        <w:ind w:left="1720"/>
        <w:spacing w:after="0"/>
        <w:tabs>
          <w:tab w:leader="none" w:pos="2920" w:val="left"/>
        </w:tabs>
        <w:rPr>
          <w:sz w:val="20"/>
          <w:szCs w:val="20"/>
          <w:color w:val="auto"/>
        </w:rPr>
      </w:pPr>
      <w:r>
        <w:rPr>
          <w:rFonts w:ascii="Courier New" w:cs="Courier New" w:eastAsia="Courier New" w:hAnsi="Courier New"/>
          <w:sz w:val="17"/>
          <w:szCs w:val="17"/>
          <w:color w:val="auto"/>
        </w:rPr>
        <w:t>14,574,027</w:t>
      </w:r>
      <w:r>
        <w:rPr>
          <w:sz w:val="20"/>
          <w:szCs w:val="20"/>
          <w:color w:val="auto"/>
        </w:rPr>
        <w:tab/>
      </w:r>
      <w:r>
        <w:rPr>
          <w:rFonts w:ascii="Courier New" w:cs="Courier New" w:eastAsia="Courier New" w:hAnsi="Courier New"/>
          <w:sz w:val="16"/>
          <w:szCs w:val="16"/>
          <w:color w:val="auto"/>
        </w:rPr>
        <w:t>(total group shares)</w:t>
      </w:r>
    </w:p>
    <w:p>
      <w:pPr>
        <w:spacing w:after="0" w:line="2"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10</w:t>
      </w:r>
      <w:r>
        <w:rPr>
          <w:rFonts w:ascii="Courier New" w:cs="Courier New" w:eastAsia="Courier New" w:hAnsi="Courier New"/>
          <w:sz w:val="16"/>
          <w:szCs w:val="16"/>
          <w:color w:val="auto"/>
        </w:rPr>
        <w:t>Check if the Aggregate Amount in Row (9) Excludes Certain Shares</w:t>
      </w:r>
    </w:p>
    <w:p>
      <w:pPr>
        <w:spacing w:after="0" w:line="1"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w:t>
      </w:r>
      <w:r>
        <w:rPr>
          <w:rFonts w:ascii="Courier New" w:cs="Courier New" w:eastAsia="Courier New" w:hAnsi="Courier New"/>
          <w:sz w:val="16"/>
          <w:szCs w:val="16"/>
          <w:color w:val="auto"/>
        </w:rPr>
        <w:t>Percent of Class Represented by Amount in Row (9)</w:t>
      </w:r>
    </w:p>
    <w:p>
      <w:pPr>
        <w:spacing w:after="0" w:line="166" w:lineRule="exact"/>
        <w:rPr>
          <w:sz w:val="20"/>
          <w:szCs w:val="20"/>
          <w:color w:val="auto"/>
        </w:rPr>
      </w:pPr>
    </w:p>
    <w:p>
      <w:pPr>
        <w:ind w:left="1820"/>
        <w:spacing w:after="0"/>
        <w:tabs>
          <w:tab w:leader="none" w:pos="2620" w:val="left"/>
        </w:tabs>
        <w:rPr>
          <w:sz w:val="20"/>
          <w:szCs w:val="20"/>
          <w:color w:val="auto"/>
        </w:rPr>
      </w:pPr>
      <w:r>
        <w:rPr>
          <w:rFonts w:ascii="Courier New" w:cs="Courier New" w:eastAsia="Courier New" w:hAnsi="Courier New"/>
          <w:sz w:val="17"/>
          <w:szCs w:val="17"/>
          <w:color w:val="auto"/>
        </w:rPr>
        <w:t>1.72%*</w:t>
      </w:r>
      <w:r>
        <w:rPr>
          <w:sz w:val="20"/>
          <w:szCs w:val="20"/>
          <w:color w:val="auto"/>
        </w:rPr>
        <w:tab/>
      </w:r>
      <w:r>
        <w:rPr>
          <w:rFonts w:ascii="Courier New" w:cs="Courier New" w:eastAsia="Courier New" w:hAnsi="Courier New"/>
          <w:sz w:val="16"/>
          <w:szCs w:val="16"/>
          <w:color w:val="auto"/>
        </w:rPr>
        <w:t>(individually)</w:t>
      </w:r>
    </w:p>
    <w:p>
      <w:pPr>
        <w:spacing w:after="0" w:line="32" w:lineRule="exact"/>
        <w:rPr>
          <w:sz w:val="20"/>
          <w:szCs w:val="20"/>
          <w:color w:val="auto"/>
        </w:rPr>
      </w:pPr>
    </w:p>
    <w:p>
      <w:pPr>
        <w:ind w:left="1720"/>
        <w:spacing w:after="0"/>
        <w:tabs>
          <w:tab w:leader="none" w:pos="2520" w:val="left"/>
        </w:tabs>
        <w:rPr>
          <w:sz w:val="20"/>
          <w:szCs w:val="20"/>
          <w:color w:val="auto"/>
        </w:rPr>
      </w:pPr>
      <w:r>
        <w:rPr>
          <w:rFonts w:ascii="Courier New" w:cs="Courier New" w:eastAsia="Courier New" w:hAnsi="Courier New"/>
          <w:sz w:val="17"/>
          <w:szCs w:val="17"/>
          <w:color w:val="auto"/>
        </w:rPr>
        <w:t>15.44%</w:t>
      </w:r>
      <w:r>
        <w:rPr>
          <w:sz w:val="20"/>
          <w:szCs w:val="20"/>
          <w:color w:val="auto"/>
        </w:rPr>
        <w:tab/>
      </w:r>
      <w:r>
        <w:rPr>
          <w:rFonts w:ascii="Courier New" w:cs="Courier New" w:eastAsia="Courier New" w:hAnsi="Courier New"/>
          <w:sz w:val="16"/>
          <w:szCs w:val="16"/>
          <w:color w:val="auto"/>
        </w:rPr>
        <w:t>(total group shares)</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12</w:t>
      </w:r>
      <w:r>
        <w:rPr>
          <w:rFonts w:ascii="Courier New" w:cs="Courier New" w:eastAsia="Courier New" w:hAnsi="Courier New"/>
          <w:sz w:val="16"/>
          <w:szCs w:val="16"/>
          <w:color w:val="auto"/>
        </w:rPr>
        <w:t>Type of Reporting Person (See Instructions)</w:t>
      </w:r>
    </w:p>
    <w:p>
      <w:pPr>
        <w:spacing w:after="0" w:line="166"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7"/>
          <w:szCs w:val="17"/>
          <w:color w:val="auto"/>
        </w:rPr>
        <w:t>BK</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left="500" w:right="3420" w:hanging="496"/>
        <w:spacing w:after="0" w:line="356"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1,625,315 shares held of record by Banco de Credito Overseas Ltd., its wholly-owned subsidiary.</w:t>
      </w:r>
    </w:p>
    <w:p>
      <w:pPr>
        <w:spacing w:after="0" w:line="20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1252" w:right="139" w:bottom="1440" w:gutter="0" w:footer="0" w:header="0"/>
        </w:sectPr>
      </w:pPr>
    </w:p>
    <w:bookmarkStart w:id="3" w:name="page4"/>
    <w:bookmarkEnd w:id="3"/>
    <w:p>
      <w:pPr>
        <w:ind w:left="1020" w:right="1800" w:hanging="612"/>
        <w:spacing w:after="0" w:line="382" w:lineRule="auto"/>
        <w:tabs>
          <w:tab w:leader="none" w:pos="102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El Pacifico-Peruano Suiza Compania de Seguros y Reaseguros</w:t>
      </w:r>
    </w:p>
    <w:p>
      <w:pPr>
        <w:ind w:left="200" w:hanging="196"/>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400" w:type="dxa"/>
        <w:tblCellMar>
          <w:top w:w="0" w:type="dxa"/>
          <w:left w:w="0" w:type="dxa"/>
          <w:bottom w:w="0" w:type="dxa"/>
          <w:right w:w="0" w:type="dxa"/>
        </w:tblCellMar>
      </w:tblPr>
      <w:tr>
        <w:trPr>
          <w:trHeight w:val="178"/>
        </w:trPr>
        <w:tc>
          <w:tcPr>
            <w:tcW w:w="360" w:type="dxa"/>
            <w:vAlign w:val="bottom"/>
          </w:tcPr>
          <w:p>
            <w:pPr>
              <w:jc w:val="right"/>
              <w:ind w:right="176"/>
              <w:spacing w:after="0" w:line="178" w:lineRule="exact"/>
              <w:rPr>
                <w:sz w:val="20"/>
                <w:szCs w:val="20"/>
                <w:color w:val="auto"/>
              </w:rPr>
            </w:pPr>
            <w:r>
              <w:rPr>
                <w:rFonts w:ascii="Courier New" w:cs="Courier New" w:eastAsia="Courier New" w:hAnsi="Courier New"/>
                <w:sz w:val="17"/>
                <w:szCs w:val="17"/>
                <w:color w:val="auto"/>
                <w:w w:val="77"/>
              </w:rPr>
              <w:t>2</w:t>
            </w:r>
          </w:p>
        </w:tc>
        <w:tc>
          <w:tcPr>
            <w:tcW w:w="5820" w:type="dxa"/>
            <w:vAlign w:val="bottom"/>
          </w:tcPr>
          <w:p>
            <w:pPr>
              <w:ind w:left="260"/>
              <w:spacing w:after="0" w:line="178" w:lineRule="exact"/>
              <w:rPr>
                <w:sz w:val="20"/>
                <w:szCs w:val="20"/>
                <w:color w:val="auto"/>
              </w:rPr>
            </w:pPr>
            <w:r>
              <w:rPr>
                <w:rFonts w:ascii="Courier New" w:cs="Courier New" w:eastAsia="Courier New" w:hAnsi="Courier New"/>
                <w:sz w:val="17"/>
                <w:szCs w:val="17"/>
                <w:color w:val="auto"/>
              </w:rPr>
              <w:t>Check the Appropriate Box if a Member of a Group</w:t>
            </w:r>
          </w:p>
        </w:tc>
        <w:tc>
          <w:tcPr>
            <w:tcW w:w="1060" w:type="dxa"/>
            <w:vAlign w:val="bottom"/>
          </w:tcPr>
          <w:p>
            <w:pPr>
              <w:ind w:left="700"/>
              <w:spacing w:after="0" w:line="178" w:lineRule="exact"/>
              <w:rPr>
                <w:sz w:val="20"/>
                <w:szCs w:val="20"/>
                <w:color w:val="auto"/>
              </w:rPr>
            </w:pPr>
            <w:r>
              <w:rPr>
                <w:rFonts w:ascii="Courier New" w:cs="Courier New" w:eastAsia="Courier New" w:hAnsi="Courier New"/>
                <w:sz w:val="17"/>
                <w:szCs w:val="17"/>
                <w:color w:val="auto"/>
              </w:rPr>
              <w:t>(a)</w:t>
            </w:r>
          </w:p>
        </w:tc>
        <w:tc>
          <w:tcPr>
            <w:tcW w:w="200" w:type="dxa"/>
            <w:vAlign w:val="bottom"/>
          </w:tcPr>
          <w:p>
            <w:pPr>
              <w:jc w:val="right"/>
              <w:spacing w:after="0" w:line="178"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line="178" w:lineRule="exact"/>
              <w:rPr>
                <w:sz w:val="20"/>
                <w:szCs w:val="20"/>
                <w:color w:val="auto"/>
              </w:rPr>
            </w:pPr>
            <w:r>
              <w:rPr>
                <w:rFonts w:ascii="Courier New" w:cs="Courier New" w:eastAsia="Courier New" w:hAnsi="Courier New"/>
                <w:sz w:val="17"/>
                <w:szCs w:val="17"/>
                <w:color w:val="auto"/>
                <w:w w:val="91"/>
              </w:rPr>
              <w:t>[X]</w:t>
            </w:r>
          </w:p>
        </w:tc>
      </w:tr>
      <w:tr>
        <w:trPr>
          <w:trHeight w:val="224"/>
        </w:trPr>
        <w:tc>
          <w:tcPr>
            <w:tcW w:w="3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 ]</w:t>
            </w:r>
          </w:p>
        </w:tc>
      </w:tr>
    </w:tbl>
    <w:p>
      <w:pPr>
        <w:ind w:left="200" w:hanging="196"/>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166"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w:t>
      </w:r>
      <w:r>
        <w:rPr>
          <w:rFonts w:ascii="Courier New" w:cs="Courier New" w:eastAsia="Courier New" w:hAnsi="Courier New"/>
          <w:sz w:val="16"/>
          <w:szCs w:val="16"/>
          <w:color w:val="auto"/>
        </w:rPr>
        <w:t>Citizenship or Place of Organization</w:t>
      </w:r>
    </w:p>
    <w:p>
      <w:pPr>
        <w:spacing w:after="0" w:line="16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Peru</w:t>
      </w:r>
    </w:p>
    <w:p>
      <w:pPr>
        <w:spacing w:after="0" w:line="32" w:lineRule="exact"/>
        <w:rPr>
          <w:sz w:val="20"/>
          <w:szCs w:val="20"/>
          <w:color w:val="auto"/>
        </w:rPr>
      </w:pPr>
    </w:p>
    <w:p>
      <w:pPr>
        <w:ind w:left="200" w:hanging="196"/>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5   Sole Voting Power</w:t>
      </w:r>
    </w:p>
    <w:tbl>
      <w:tblPr>
        <w:tblLayout w:type="fixed"/>
        <w:tblInd w:w="400" w:type="dxa"/>
        <w:tblCellMar>
          <w:top w:w="0" w:type="dxa"/>
          <w:left w:w="0" w:type="dxa"/>
          <w:bottom w:w="0" w:type="dxa"/>
          <w:right w:w="0" w:type="dxa"/>
        </w:tblCellMar>
      </w:tblPr>
      <w:tr>
        <w:trPr>
          <w:trHeight w:val="166"/>
        </w:trPr>
        <w:tc>
          <w:tcPr>
            <w:tcW w:w="1480" w:type="dxa"/>
            <w:vAlign w:val="bottom"/>
          </w:tcPr>
          <w:p>
            <w:pPr>
              <w:ind w:left="220"/>
              <w:spacing w:after="0" w:line="167" w:lineRule="exact"/>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4"/>
                <w:szCs w:val="14"/>
                <w:color w:val="auto"/>
              </w:rPr>
            </w:pPr>
          </w:p>
        </w:tc>
        <w:tc>
          <w:tcPr>
            <w:tcW w:w="2220" w:type="dxa"/>
            <w:vAlign w:val="bottom"/>
            <w:vMerge w:val="restart"/>
          </w:tcPr>
          <w:p>
            <w:pPr>
              <w:spacing w:after="0"/>
              <w:rPr>
                <w:sz w:val="20"/>
                <w:szCs w:val="20"/>
                <w:color w:val="auto"/>
              </w:rPr>
            </w:pPr>
            <w:r>
              <w:rPr>
                <w:rFonts w:ascii="Courier New" w:cs="Courier New" w:eastAsia="Courier New" w:hAnsi="Courier New"/>
                <w:sz w:val="17"/>
                <w:szCs w:val="17"/>
                <w:color w:val="auto"/>
              </w:rPr>
              <w:t>2,618,599*</w:t>
            </w: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SHARES</w:t>
            </w:r>
          </w:p>
        </w:tc>
        <w:tc>
          <w:tcPr>
            <w:tcW w:w="76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9"/>
              </w:rPr>
              <w:t>BENEFICIALLY</w:t>
            </w:r>
          </w:p>
        </w:tc>
        <w:tc>
          <w:tcPr>
            <w:tcW w:w="760" w:type="dxa"/>
            <w:vAlign w:val="bottom"/>
            <w:vMerge w:val="restart"/>
          </w:tcPr>
          <w:p>
            <w:pPr>
              <w:jc w:val="right"/>
              <w:spacing w:after="0"/>
              <w:rPr>
                <w:sz w:val="20"/>
                <w:szCs w:val="20"/>
                <w:color w:val="auto"/>
              </w:rPr>
            </w:pP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6</w:t>
            </w:r>
          </w:p>
        </w:tc>
        <w:tc>
          <w:tcPr>
            <w:tcW w:w="2220" w:type="dxa"/>
            <w:vAlign w:val="bottom"/>
            <w:vMerge w:val="restart"/>
          </w:tcPr>
          <w:p>
            <w:pPr>
              <w:spacing w:after="0"/>
              <w:rPr>
                <w:sz w:val="20"/>
                <w:szCs w:val="20"/>
                <w:color w:val="auto"/>
              </w:rPr>
            </w:pPr>
            <w:r>
              <w:rPr>
                <w:rFonts w:ascii="Courier New" w:cs="Courier New" w:eastAsia="Courier New" w:hAnsi="Courier New"/>
                <w:sz w:val="17"/>
                <w:szCs w:val="17"/>
                <w:color w:val="auto"/>
              </w:rPr>
              <w:t>Shared Voting Power</w:t>
            </w: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OWNED BY</w:t>
            </w:r>
          </w:p>
        </w:tc>
        <w:tc>
          <w:tcPr>
            <w:tcW w:w="76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EACH</w:t>
            </w:r>
          </w:p>
        </w:tc>
        <w:tc>
          <w:tcPr>
            <w:tcW w:w="760" w:type="dxa"/>
            <w:vAlign w:val="bottom"/>
          </w:tcPr>
          <w:p>
            <w:pPr>
              <w:spacing w:after="0"/>
              <w:rPr>
                <w:sz w:val="16"/>
                <w:szCs w:val="16"/>
                <w:color w:val="auto"/>
              </w:rPr>
            </w:pPr>
          </w:p>
        </w:tc>
        <w:tc>
          <w:tcPr>
            <w:tcW w:w="222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0</w:t>
            </w:r>
          </w:p>
        </w:tc>
        <w:tc>
          <w:tcPr>
            <w:tcW w:w="0" w:type="dxa"/>
            <w:vAlign w:val="bottom"/>
          </w:tcPr>
          <w:p>
            <w:pPr>
              <w:spacing w:after="0"/>
              <w:rPr>
                <w:sz w:val="1"/>
                <w:szCs w:val="1"/>
                <w:color w:val="auto"/>
              </w:rPr>
            </w:pPr>
          </w:p>
        </w:tc>
      </w:tr>
      <w:tr>
        <w:trPr>
          <w:trHeight w:val="194"/>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PERSON</w:t>
            </w:r>
          </w:p>
        </w:tc>
        <w:tc>
          <w:tcPr>
            <w:tcW w:w="760" w:type="dxa"/>
            <w:vAlign w:val="bottom"/>
            <w:vMerge w:val="restart"/>
          </w:tcPr>
          <w:p>
            <w:pPr>
              <w:jc w:val="right"/>
              <w:spacing w:after="0"/>
              <w:rPr>
                <w:sz w:val="20"/>
                <w:szCs w:val="20"/>
                <w:color w:val="auto"/>
              </w:rPr>
            </w:pP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7</w:t>
            </w:r>
          </w:p>
        </w:tc>
        <w:tc>
          <w:tcPr>
            <w:tcW w:w="2220" w:type="dxa"/>
            <w:vAlign w:val="bottom"/>
            <w:vMerge w:val="restart"/>
          </w:tcPr>
          <w:p>
            <w:pPr>
              <w:spacing w:after="0"/>
              <w:rPr>
                <w:sz w:val="20"/>
                <w:szCs w:val="20"/>
                <w:color w:val="auto"/>
              </w:rPr>
            </w:pPr>
            <w:r>
              <w:rPr>
                <w:rFonts w:ascii="Courier New" w:cs="Courier New" w:eastAsia="Courier New" w:hAnsi="Courier New"/>
                <w:sz w:val="17"/>
                <w:szCs w:val="17"/>
                <w:color w:val="auto"/>
                <w:w w:val="98"/>
              </w:rPr>
              <w:t>Sole Dispositive Power</w:t>
            </w:r>
          </w:p>
        </w:tc>
        <w:tc>
          <w:tcPr>
            <w:tcW w:w="0" w:type="dxa"/>
            <w:vAlign w:val="bottom"/>
          </w:tcPr>
          <w:p>
            <w:pPr>
              <w:spacing w:after="0"/>
              <w:rPr>
                <w:sz w:val="1"/>
                <w:szCs w:val="1"/>
                <w:color w:val="auto"/>
              </w:rPr>
            </w:pPr>
          </w:p>
        </w:tc>
      </w:tr>
      <w:tr>
        <w:trPr>
          <w:trHeight w:val="300"/>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WITH</w:t>
            </w:r>
          </w:p>
        </w:tc>
        <w:tc>
          <w:tcPr>
            <w:tcW w:w="760" w:type="dxa"/>
            <w:vAlign w:val="bottom"/>
            <w:vMerge w:val="continue"/>
          </w:tcPr>
          <w:p>
            <w:pPr>
              <w:spacing w:after="0"/>
              <w:rPr>
                <w:sz w:val="24"/>
                <w:szCs w:val="24"/>
                <w:color w:val="auto"/>
              </w:rPr>
            </w:pPr>
          </w:p>
        </w:tc>
        <w:tc>
          <w:tcPr>
            <w:tcW w:w="2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Courier New" w:cs="Courier New" w:eastAsia="Courier New" w:hAnsi="Courier New"/>
                <w:sz w:val="17"/>
                <w:szCs w:val="17"/>
                <w:color w:val="auto"/>
              </w:rPr>
              <w:t>2,618,599*</w:t>
            </w:r>
          </w:p>
        </w:tc>
        <w:tc>
          <w:tcPr>
            <w:tcW w:w="0" w:type="dxa"/>
            <w:vAlign w:val="bottom"/>
          </w:tcPr>
          <w:p>
            <w:pPr>
              <w:spacing w:after="0"/>
              <w:rPr>
                <w:sz w:val="1"/>
                <w:szCs w:val="1"/>
                <w:color w:val="auto"/>
              </w:rPr>
            </w:pPr>
          </w:p>
        </w:tc>
      </w:tr>
    </w:tbl>
    <w:p>
      <w:pPr>
        <w:ind w:left="21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2640" w:right="6460" w:hanging="412"/>
        <w:spacing w:after="0" w:line="363" w:lineRule="auto"/>
        <w:tabs>
          <w:tab w:leader="none" w:pos="264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0</w:t>
      </w:r>
    </w:p>
    <w:p>
      <w:pPr>
        <w:ind w:left="200" w:hanging="196"/>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9</w:t>
      </w:r>
      <w:r>
        <w:rPr>
          <w:rFonts w:ascii="Courier New" w:cs="Courier New" w:eastAsia="Courier New" w:hAnsi="Courier New"/>
          <w:sz w:val="16"/>
          <w:szCs w:val="16"/>
          <w:color w:val="auto"/>
        </w:rPr>
        <w:t>Aggregate Amount Beneficially Owned by Each Reporting Person</w:t>
      </w:r>
    </w:p>
    <w:p>
      <w:pPr>
        <w:spacing w:after="0" w:line="166" w:lineRule="exact"/>
        <w:rPr>
          <w:sz w:val="20"/>
          <w:szCs w:val="20"/>
          <w:color w:val="auto"/>
        </w:rPr>
      </w:pPr>
    </w:p>
    <w:p>
      <w:pPr>
        <w:ind w:left="1120"/>
        <w:spacing w:after="0"/>
        <w:tabs>
          <w:tab w:leader="none" w:pos="2300" w:val="left"/>
        </w:tabs>
        <w:rPr>
          <w:sz w:val="20"/>
          <w:szCs w:val="20"/>
          <w:color w:val="auto"/>
        </w:rPr>
      </w:pPr>
      <w:r>
        <w:rPr>
          <w:rFonts w:ascii="Courier New" w:cs="Courier New" w:eastAsia="Courier New" w:hAnsi="Courier New"/>
          <w:sz w:val="17"/>
          <w:szCs w:val="17"/>
          <w:color w:val="auto"/>
        </w:rPr>
        <w:t>2,618,599*</w:t>
        <w:tab/>
        <w:t>(individually)</w:t>
      </w:r>
    </w:p>
    <w:p>
      <w:pPr>
        <w:spacing w:after="0" w:line="32" w:lineRule="exact"/>
        <w:rPr>
          <w:sz w:val="20"/>
          <w:szCs w:val="20"/>
          <w:color w:val="auto"/>
        </w:rPr>
      </w:pPr>
    </w:p>
    <w:p>
      <w:pPr>
        <w:ind w:left="1020"/>
        <w:spacing w:after="0"/>
        <w:tabs>
          <w:tab w:leader="none" w:pos="2200" w:val="left"/>
        </w:tabs>
        <w:rPr>
          <w:sz w:val="20"/>
          <w:szCs w:val="20"/>
          <w:color w:val="auto"/>
        </w:rPr>
      </w:pPr>
      <w:r>
        <w:rPr>
          <w:rFonts w:ascii="Courier New" w:cs="Courier New" w:eastAsia="Courier New" w:hAnsi="Courier New"/>
          <w:sz w:val="17"/>
          <w:szCs w:val="17"/>
          <w:color w:val="auto"/>
        </w:rPr>
        <w:t>14,574,027</w:t>
      </w:r>
      <w:r>
        <w:rPr>
          <w:sz w:val="20"/>
          <w:szCs w:val="20"/>
          <w:color w:val="auto"/>
        </w:rPr>
        <w:tab/>
      </w:r>
      <w:r>
        <w:rPr>
          <w:rFonts w:ascii="Courier New" w:cs="Courier New" w:eastAsia="Courier New" w:hAnsi="Courier New"/>
          <w:sz w:val="16"/>
          <w:szCs w:val="16"/>
          <w:color w:val="auto"/>
        </w:rPr>
        <w:t>(total group shares)</w:t>
      </w:r>
    </w:p>
    <w:p>
      <w:pPr>
        <w:spacing w:after="0" w:line="2" w:lineRule="exact"/>
        <w:rPr>
          <w:sz w:val="20"/>
          <w:szCs w:val="20"/>
          <w:color w:val="auto"/>
        </w:rPr>
      </w:pPr>
    </w:p>
    <w:p>
      <w:pPr>
        <w:ind w:left="200" w:hanging="196"/>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10</w:t>
      </w:r>
      <w:r>
        <w:rPr>
          <w:rFonts w:ascii="Courier New" w:cs="Courier New" w:eastAsia="Courier New" w:hAnsi="Courier New"/>
          <w:sz w:val="16"/>
          <w:szCs w:val="16"/>
          <w:color w:val="auto"/>
        </w:rPr>
        <w:t>Check if the Aggregate Amount in Row (9) Excludes Certain Shares</w:t>
      </w:r>
    </w:p>
    <w:p>
      <w:pPr>
        <w:spacing w:after="0" w:line="1"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w:t>
      </w:r>
      <w:r>
        <w:rPr>
          <w:rFonts w:ascii="Courier New" w:cs="Courier New" w:eastAsia="Courier New" w:hAnsi="Courier New"/>
          <w:sz w:val="16"/>
          <w:szCs w:val="16"/>
          <w:color w:val="auto"/>
        </w:rPr>
        <w:t>Percent of Class Represented by Amount in Row (9)</w:t>
      </w:r>
    </w:p>
    <w:p>
      <w:pPr>
        <w:spacing w:after="0" w:line="166" w:lineRule="exact"/>
        <w:rPr>
          <w:sz w:val="20"/>
          <w:szCs w:val="20"/>
          <w:color w:val="auto"/>
        </w:rPr>
      </w:pPr>
    </w:p>
    <w:p>
      <w:pPr>
        <w:ind w:left="1120"/>
        <w:spacing w:after="0"/>
        <w:tabs>
          <w:tab w:leader="none" w:pos="1900" w:val="left"/>
        </w:tabs>
        <w:rPr>
          <w:sz w:val="20"/>
          <w:szCs w:val="20"/>
          <w:color w:val="auto"/>
        </w:rPr>
      </w:pPr>
      <w:r>
        <w:rPr>
          <w:rFonts w:ascii="Courier New" w:cs="Courier New" w:eastAsia="Courier New" w:hAnsi="Courier New"/>
          <w:sz w:val="17"/>
          <w:szCs w:val="17"/>
          <w:color w:val="auto"/>
        </w:rPr>
        <w:t>2.77%*</w:t>
      </w:r>
      <w:r>
        <w:rPr>
          <w:sz w:val="20"/>
          <w:szCs w:val="20"/>
          <w:color w:val="auto"/>
        </w:rPr>
        <w:tab/>
      </w:r>
      <w:r>
        <w:rPr>
          <w:rFonts w:ascii="Courier New" w:cs="Courier New" w:eastAsia="Courier New" w:hAnsi="Courier New"/>
          <w:sz w:val="16"/>
          <w:szCs w:val="16"/>
          <w:color w:val="auto"/>
        </w:rPr>
        <w:t>(individually)</w:t>
      </w:r>
    </w:p>
    <w:p>
      <w:pPr>
        <w:spacing w:after="0" w:line="32" w:lineRule="exact"/>
        <w:rPr>
          <w:sz w:val="20"/>
          <w:szCs w:val="20"/>
          <w:color w:val="auto"/>
        </w:rPr>
      </w:pPr>
    </w:p>
    <w:p>
      <w:pPr>
        <w:ind w:left="1020"/>
        <w:spacing w:after="0"/>
        <w:tabs>
          <w:tab w:leader="none" w:pos="1800" w:val="left"/>
        </w:tabs>
        <w:rPr>
          <w:sz w:val="20"/>
          <w:szCs w:val="20"/>
          <w:color w:val="auto"/>
        </w:rPr>
      </w:pPr>
      <w:r>
        <w:rPr>
          <w:rFonts w:ascii="Courier New" w:cs="Courier New" w:eastAsia="Courier New" w:hAnsi="Courier New"/>
          <w:sz w:val="17"/>
          <w:szCs w:val="17"/>
          <w:color w:val="auto"/>
        </w:rPr>
        <w:t>15.44%</w:t>
      </w:r>
      <w:r>
        <w:rPr>
          <w:sz w:val="20"/>
          <w:szCs w:val="20"/>
          <w:color w:val="auto"/>
        </w:rPr>
        <w:tab/>
      </w:r>
      <w:r>
        <w:rPr>
          <w:rFonts w:ascii="Courier New" w:cs="Courier New" w:eastAsia="Courier New" w:hAnsi="Courier New"/>
          <w:sz w:val="16"/>
          <w:szCs w:val="16"/>
          <w:color w:val="auto"/>
        </w:rPr>
        <w:t>(total group shares)</w:t>
      </w:r>
    </w:p>
    <w:p>
      <w:pPr>
        <w:spacing w:after="0" w:line="2" w:lineRule="exact"/>
        <w:rPr>
          <w:sz w:val="20"/>
          <w:szCs w:val="20"/>
          <w:color w:val="auto"/>
        </w:rPr>
      </w:pPr>
    </w:p>
    <w:p>
      <w:pPr>
        <w:ind w:left="200" w:hanging="196"/>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12</w:t>
      </w:r>
      <w:r>
        <w:rPr>
          <w:rFonts w:ascii="Courier New" w:cs="Courier New" w:eastAsia="Courier New" w:hAnsi="Courier New"/>
          <w:sz w:val="16"/>
          <w:szCs w:val="16"/>
          <w:color w:val="auto"/>
        </w:rPr>
        <w:t>Type of Reporting Person (See Instructions)</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right="3420" w:firstLine="4"/>
        <w:spacing w:after="0" w:line="394" w:lineRule="auto"/>
        <w:tabs>
          <w:tab w:leader="none" w:pos="20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14,080 shares held of record by El Pacifico Vida Compania de Seguros, a subsidiary of El-Pacifico-Peruano Suiza Compania de Seguros y Reaseguros.</w:t>
      </w:r>
    </w:p>
    <w:p>
      <w:pPr>
        <w:spacing w:after="0" w:line="183"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1252"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4"/>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1(a).</w:t>
            </w:r>
          </w:p>
        </w:tc>
        <w:tc>
          <w:tcPr>
            <w:tcW w:w="1300" w:type="dxa"/>
            <w:vAlign w:val="bottom"/>
          </w:tcPr>
          <w:p>
            <w:pPr>
              <w:ind w:left="540"/>
              <w:spacing w:after="0"/>
              <w:rPr>
                <w:sz w:val="20"/>
                <w:szCs w:val="20"/>
                <w:color w:val="auto"/>
              </w:rPr>
            </w:pPr>
            <w:r>
              <w:rPr>
                <w:rFonts w:ascii="Courier New" w:cs="Courier New" w:eastAsia="Courier New" w:hAnsi="Courier New"/>
                <w:sz w:val="17"/>
                <w:szCs w:val="17"/>
                <w:color w:val="auto"/>
              </w:rPr>
              <w:t>Name of</w:t>
            </w:r>
          </w:p>
        </w:tc>
        <w:tc>
          <w:tcPr>
            <w:tcW w:w="4100" w:type="dxa"/>
            <w:vAlign w:val="bottom"/>
          </w:tcPr>
          <w:p>
            <w:pPr>
              <w:ind w:left="60"/>
              <w:spacing w:after="0"/>
              <w:rPr>
                <w:sz w:val="20"/>
                <w:szCs w:val="20"/>
                <w:color w:val="auto"/>
              </w:rPr>
            </w:pPr>
            <w:r>
              <w:rPr>
                <w:rFonts w:ascii="Courier New" w:cs="Courier New" w:eastAsia="Courier New" w:hAnsi="Courier New"/>
                <w:sz w:val="17"/>
                <w:szCs w:val="17"/>
                <w:color w:val="auto"/>
              </w:rPr>
              <w:t>Issuer:</w:t>
            </w:r>
          </w:p>
        </w:tc>
      </w:tr>
      <w:tr>
        <w:trPr>
          <w:trHeight w:val="389"/>
        </w:trPr>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Credicorp Ltd.</w:t>
            </w:r>
          </w:p>
        </w:tc>
      </w:tr>
      <w:tr>
        <w:trPr>
          <w:trHeight w:val="389"/>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1(b).</w:t>
            </w:r>
          </w:p>
        </w:tc>
        <w:tc>
          <w:tcPr>
            <w:tcW w:w="1300" w:type="dxa"/>
            <w:vAlign w:val="bottom"/>
          </w:tcPr>
          <w:p>
            <w:pPr>
              <w:ind w:left="540"/>
              <w:spacing w:after="0"/>
              <w:rPr>
                <w:sz w:val="20"/>
                <w:szCs w:val="20"/>
                <w:color w:val="auto"/>
              </w:rPr>
            </w:pPr>
            <w:r>
              <w:rPr>
                <w:rFonts w:ascii="Courier New" w:cs="Courier New" w:eastAsia="Courier New" w:hAnsi="Courier New"/>
                <w:sz w:val="17"/>
                <w:szCs w:val="17"/>
                <w:color w:val="auto"/>
              </w:rPr>
              <w:t>Address</w:t>
            </w:r>
          </w:p>
        </w:tc>
        <w:tc>
          <w:tcPr>
            <w:tcW w:w="4100" w:type="dxa"/>
            <w:vAlign w:val="bottom"/>
          </w:tcPr>
          <w:p>
            <w:pPr>
              <w:ind w:left="60"/>
              <w:spacing w:after="0"/>
              <w:rPr>
                <w:sz w:val="20"/>
                <w:szCs w:val="20"/>
                <w:color w:val="auto"/>
              </w:rPr>
            </w:pPr>
            <w:r>
              <w:rPr>
                <w:rFonts w:ascii="Courier New" w:cs="Courier New" w:eastAsia="Courier New" w:hAnsi="Courier New"/>
                <w:sz w:val="17"/>
                <w:szCs w:val="17"/>
                <w:color w:val="auto"/>
                <w:w w:val="98"/>
              </w:rPr>
              <w:t>of Issuer's Principal Executive Offices:</w:t>
            </w:r>
          </w:p>
        </w:tc>
      </w:tr>
    </w:tbl>
    <w:p>
      <w:pPr>
        <w:spacing w:after="0" w:line="105"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Clarendon House</w:t>
      </w:r>
    </w:p>
    <w:p>
      <w:pPr>
        <w:spacing w:after="0" w:line="3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Church Street</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Hamilton HM11 Bermuda</w:t>
      </w:r>
    </w:p>
    <w:p>
      <w:pPr>
        <w:spacing w:after="0" w:line="16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Atlantic Security Holding Corporation</w:t>
      </w:r>
    </w:p>
    <w:p>
      <w:pPr>
        <w:spacing w:after="0" w:line="3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Banco de Credito del Peru</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El Pacifico-Peruano Suiza Compania de Seguros y Reaseguros</w:t>
      </w:r>
    </w:p>
    <w:p>
      <w:pPr>
        <w:spacing w:after="0" w:line="16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Atlantic Security Holding Corp.</w:t>
      </w:r>
    </w:p>
    <w:p>
      <w:pPr>
        <w:spacing w:after="0" w:line="3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Calle 50 y Aquilino de la Guardia</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Torre Banco Continental Pisos 28 29</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Panama, Republic of Panama</w:t>
      </w:r>
    </w:p>
    <w:p>
      <w:pPr>
        <w:spacing w:after="0" w:line="16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Banco de Credito del Peru</w:t>
      </w:r>
    </w:p>
    <w:p>
      <w:pPr>
        <w:spacing w:after="0" w:line="3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Calle Centenario 156</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Las Laderas de Melgarejo</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La Molina</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Lima 12 Peru</w:t>
      </w:r>
    </w:p>
    <w:p>
      <w:pPr>
        <w:spacing w:after="0" w:line="16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El Pacifico-Peruano Suiza Compania de Seguros y Reaseguros</w:t>
      </w:r>
    </w:p>
    <w:p>
      <w:pPr>
        <w:spacing w:after="0" w:line="3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Avenida Arequipa 660</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Lima, Peru</w:t>
      </w:r>
    </w:p>
    <w:p>
      <w:pPr>
        <w:spacing w:after="0" w:line="16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See Item 4 on Page 2</w:t>
      </w:r>
    </w:p>
    <w:p>
      <w:pPr>
        <w:spacing w:after="0" w:line="3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See Item 4 on Page 3</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See Item 4 on Page 4</w:t>
      </w:r>
    </w:p>
    <w:p>
      <w:pPr>
        <w:spacing w:after="0" w:line="16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Common Shares</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6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2(e).</w:t>
            </w:r>
          </w:p>
        </w:tc>
        <w:tc>
          <w:tcPr>
            <w:tcW w:w="2740" w:type="dxa"/>
            <w:vAlign w:val="bottom"/>
            <w:gridSpan w:val="2"/>
          </w:tcPr>
          <w:p>
            <w:pPr>
              <w:ind w:left="960"/>
              <w:spacing w:after="0"/>
              <w:rPr>
                <w:sz w:val="20"/>
                <w:szCs w:val="20"/>
                <w:color w:val="auto"/>
              </w:rPr>
            </w:pPr>
            <w:r>
              <w:rPr>
                <w:rFonts w:ascii="Courier New" w:cs="Courier New" w:eastAsia="Courier New" w:hAnsi="Courier New"/>
                <w:sz w:val="17"/>
                <w:szCs w:val="17"/>
                <w:color w:val="auto"/>
              </w:rPr>
              <w:t>Cusip Number:</w:t>
            </w:r>
          </w:p>
        </w:tc>
        <w:tc>
          <w:tcPr>
            <w:tcW w:w="4200" w:type="dxa"/>
            <w:vAlign w:val="bottom"/>
          </w:tcPr>
          <w:p>
            <w:pPr>
              <w:spacing w:after="0"/>
              <w:rPr>
                <w:sz w:val="24"/>
                <w:szCs w:val="24"/>
                <w:color w:val="auto"/>
              </w:rPr>
            </w:pPr>
          </w:p>
        </w:tc>
      </w:tr>
      <w:tr>
        <w:trPr>
          <w:trHeight w:val="389"/>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ind w:left="960"/>
              <w:spacing w:after="0"/>
              <w:rPr>
                <w:sz w:val="20"/>
                <w:szCs w:val="20"/>
                <w:color w:val="auto"/>
              </w:rPr>
            </w:pPr>
            <w:r>
              <w:rPr>
                <w:rFonts w:ascii="Courier New" w:cs="Courier New" w:eastAsia="Courier New" w:hAnsi="Courier New"/>
                <w:sz w:val="17"/>
                <w:szCs w:val="17"/>
                <w:color w:val="auto"/>
                <w:w w:val="97"/>
              </w:rPr>
              <w:t>G2519Y 10</w:t>
            </w:r>
          </w:p>
        </w:tc>
        <w:tc>
          <w:tcPr>
            <w:tcW w:w="8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w:t>
            </w:r>
          </w:p>
        </w:tc>
        <w:tc>
          <w:tcPr>
            <w:tcW w:w="4200" w:type="dxa"/>
            <w:vAlign w:val="bottom"/>
          </w:tcPr>
          <w:p>
            <w:pPr>
              <w:spacing w:after="0"/>
              <w:rPr>
                <w:sz w:val="24"/>
                <w:szCs w:val="24"/>
                <w:color w:val="auto"/>
              </w:rPr>
            </w:pPr>
          </w:p>
        </w:tc>
      </w:tr>
      <w:tr>
        <w:trPr>
          <w:trHeight w:val="299"/>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3.</w:t>
            </w:r>
          </w:p>
        </w:tc>
        <w:tc>
          <w:tcPr>
            <w:tcW w:w="2740" w:type="dxa"/>
            <w:vAlign w:val="bottom"/>
            <w:gridSpan w:val="2"/>
          </w:tcPr>
          <w:p>
            <w:pPr>
              <w:ind w:left="960"/>
              <w:spacing w:after="0"/>
              <w:rPr>
                <w:sz w:val="20"/>
                <w:szCs w:val="20"/>
                <w:color w:val="auto"/>
              </w:rPr>
            </w:pPr>
            <w:r>
              <w:rPr>
                <w:rFonts w:ascii="Courier New" w:cs="Courier New" w:eastAsia="Courier New" w:hAnsi="Courier New"/>
                <w:sz w:val="17"/>
                <w:szCs w:val="17"/>
                <w:color w:val="auto"/>
              </w:rPr>
              <w:t>If this statement</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rPr>
              <w:t>is filed pursuant to Rules 13d-1(b), or</w:t>
            </w:r>
          </w:p>
        </w:tc>
      </w:tr>
      <w:tr>
        <w:trPr>
          <w:trHeight w:val="284"/>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rPr>
              <w:t>13d-2(b), check</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whether</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w w:val="98"/>
              </w:rPr>
              <w:t>the  person  filing is a: Not Applicable.</w:t>
            </w:r>
          </w:p>
        </w:tc>
      </w:tr>
    </w:tbl>
    <w:p>
      <w:pPr>
        <w:spacing w:after="0" w:line="105" w:lineRule="exact"/>
        <w:rPr>
          <w:sz w:val="20"/>
          <w:szCs w:val="20"/>
          <w:color w:val="auto"/>
        </w:rPr>
      </w:pPr>
    </w:p>
    <w:p>
      <w:pPr>
        <w:ind w:left="2540" w:right="2539" w:hanging="1424"/>
        <w:spacing w:after="0" w:line="356" w:lineRule="auto"/>
        <w:tabs>
          <w:tab w:leader="none" w:pos="2135"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78o)</w:t>
      </w:r>
    </w:p>
    <w:p>
      <w:pPr>
        <w:spacing w:after="0" w:line="12" w:lineRule="exact"/>
        <w:rPr>
          <w:rFonts w:ascii="Courier New" w:cs="Courier New" w:eastAsia="Courier New" w:hAnsi="Courier New"/>
          <w:sz w:val="17"/>
          <w:szCs w:val="17"/>
          <w:color w:val="auto"/>
        </w:rPr>
      </w:pPr>
    </w:p>
    <w:p>
      <w:pPr>
        <w:ind w:left="2120" w:hanging="1004"/>
        <w:spacing w:after="0"/>
        <w:tabs>
          <w:tab w:leader="none" w:pos="21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Bank as defined in Section 3(a)(6) of the Act</w:t>
      </w:r>
    </w:p>
    <w:p>
      <w:pPr>
        <w:spacing w:after="0" w:line="3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(15 U.S.C. 78c)</w:t>
      </w:r>
    </w:p>
    <w:p>
      <w:pPr>
        <w:spacing w:after="0" w:line="166" w:lineRule="exact"/>
        <w:rPr>
          <w:sz w:val="20"/>
          <w:szCs w:val="20"/>
          <w:color w:val="auto"/>
        </w:rPr>
      </w:pPr>
    </w:p>
    <w:p>
      <w:pPr>
        <w:ind w:left="2540" w:right="2119" w:hanging="1424"/>
        <w:spacing w:after="0" w:line="356" w:lineRule="auto"/>
        <w:tabs>
          <w:tab w:leader="none" w:pos="213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12" w:lineRule="exact"/>
        <w:rPr>
          <w:rFonts w:ascii="Courier New" w:cs="Courier New" w:eastAsia="Courier New" w:hAnsi="Courier New"/>
          <w:sz w:val="17"/>
          <w:szCs w:val="17"/>
          <w:color w:val="auto"/>
        </w:rPr>
      </w:pPr>
    </w:p>
    <w:p>
      <w:pPr>
        <w:ind w:left="2120" w:hanging="1004"/>
        <w:spacing w:after="0"/>
        <w:tabs>
          <w:tab w:leader="none" w:pos="21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Investment company registered under Section 8 of the</w:t>
      </w:r>
    </w:p>
    <w:p>
      <w:pPr>
        <w:spacing w:after="0" w:line="31" w:lineRule="exact"/>
        <w:rPr>
          <w:rFonts w:ascii="Courier New" w:cs="Courier New" w:eastAsia="Courier New" w:hAnsi="Courier New"/>
          <w:sz w:val="17"/>
          <w:szCs w:val="17"/>
          <w:color w:val="auto"/>
        </w:rPr>
      </w:pPr>
    </w:p>
    <w:p>
      <w:pPr>
        <w:ind w:left="2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Company Act of 1940 (15 U.S.C. 80a-8)</w:t>
      </w:r>
    </w:p>
    <w:p>
      <w:pPr>
        <w:spacing w:after="0" w:line="166" w:lineRule="exact"/>
        <w:rPr>
          <w:rFonts w:ascii="Courier New" w:cs="Courier New" w:eastAsia="Courier New" w:hAnsi="Courier New"/>
          <w:sz w:val="17"/>
          <w:szCs w:val="17"/>
          <w:color w:val="auto"/>
        </w:rPr>
      </w:pPr>
    </w:p>
    <w:p>
      <w:pPr>
        <w:ind w:left="2120" w:hanging="1004"/>
        <w:spacing w:after="0"/>
        <w:tabs>
          <w:tab w:leader="none" w:pos="21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investment adviser in accordance with</w:t>
      </w:r>
    </w:p>
    <w:p>
      <w:pPr>
        <w:spacing w:after="0" w:line="3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ss.240.13d-1(b)(1)(ii)(E)</w:t>
      </w:r>
    </w:p>
    <w:p>
      <w:pPr>
        <w:spacing w:after="0" w:line="166" w:lineRule="exact"/>
        <w:rPr>
          <w:sz w:val="20"/>
          <w:szCs w:val="20"/>
          <w:color w:val="auto"/>
        </w:rPr>
      </w:pPr>
    </w:p>
    <w:p>
      <w:pPr>
        <w:ind w:left="2120" w:hanging="1004"/>
        <w:spacing w:after="0"/>
        <w:tabs>
          <w:tab w:leader="none" w:pos="21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w:t>
      </w:r>
    </w:p>
    <w:p>
      <w:pPr>
        <w:spacing w:after="0" w:line="31" w:lineRule="exact"/>
        <w:rPr>
          <w:rFonts w:ascii="Courier New" w:cs="Courier New" w:eastAsia="Courier New" w:hAnsi="Courier New"/>
          <w:sz w:val="17"/>
          <w:szCs w:val="17"/>
          <w:color w:val="auto"/>
        </w:rPr>
      </w:pPr>
    </w:p>
    <w:p>
      <w:pPr>
        <w:ind w:left="2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ss.240.13d-1(b)(1)(ii)(F)</w:t>
      </w:r>
    </w:p>
    <w:p>
      <w:pPr>
        <w:spacing w:after="0" w:line="166" w:lineRule="exact"/>
        <w:rPr>
          <w:rFonts w:ascii="Courier New" w:cs="Courier New" w:eastAsia="Courier New" w:hAnsi="Courier New"/>
          <w:sz w:val="17"/>
          <w:szCs w:val="17"/>
          <w:color w:val="auto"/>
        </w:rPr>
      </w:pPr>
    </w:p>
    <w:p>
      <w:pPr>
        <w:ind w:left="2540" w:right="3139" w:hanging="1424"/>
        <w:spacing w:after="0" w:line="356" w:lineRule="auto"/>
        <w:tabs>
          <w:tab w:leader="none" w:pos="21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parent holding company or control person in accordance with ss.240.13d-1(b)(ii)(G)</w:t>
      </w:r>
    </w:p>
    <w:p>
      <w:pPr>
        <w:spacing w:after="0" w:line="12" w:lineRule="exact"/>
        <w:rPr>
          <w:rFonts w:ascii="Courier New" w:cs="Courier New" w:eastAsia="Courier New" w:hAnsi="Courier New"/>
          <w:sz w:val="17"/>
          <w:szCs w:val="17"/>
          <w:color w:val="auto"/>
        </w:rPr>
      </w:pPr>
    </w:p>
    <w:p>
      <w:pPr>
        <w:ind w:left="2540" w:right="2439" w:hanging="1424"/>
        <w:spacing w:after="0" w:line="356" w:lineRule="auto"/>
        <w:tabs>
          <w:tab w:leader="none" w:pos="21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savings associations as defined in Section 3(b) of the Federal Deposit Insurance Act</w:t>
      </w:r>
    </w:p>
    <w:p>
      <w:pPr>
        <w:spacing w:after="0" w:line="12" w:lineRule="exact"/>
        <w:rPr>
          <w:rFonts w:ascii="Courier New" w:cs="Courier New" w:eastAsia="Courier New" w:hAnsi="Courier New"/>
          <w:sz w:val="17"/>
          <w:szCs w:val="17"/>
          <w:color w:val="auto"/>
        </w:rPr>
      </w:pPr>
    </w:p>
    <w:p>
      <w:pPr>
        <w:ind w:left="2540" w:right="2319" w:hanging="1424"/>
        <w:spacing w:after="0" w:line="299" w:lineRule="auto"/>
        <w:tabs>
          <w:tab w:leader="none" w:pos="21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church plan that is excluded from the definition of an investment company under section 3(c)(14) of the Investment Company Act of 1940 (15 U.S.C. 80a-3)</w:t>
      </w:r>
    </w:p>
    <w:p>
      <w:pPr>
        <w:spacing w:after="0" w:line="58" w:lineRule="exact"/>
        <w:rPr>
          <w:rFonts w:ascii="Courier New" w:cs="Courier New" w:eastAsia="Courier New" w:hAnsi="Courier New"/>
          <w:sz w:val="17"/>
          <w:szCs w:val="17"/>
          <w:color w:val="auto"/>
        </w:rPr>
      </w:pPr>
    </w:p>
    <w:p>
      <w:pPr>
        <w:ind w:left="2120" w:hanging="1004"/>
        <w:spacing w:after="0"/>
        <w:tabs>
          <w:tab w:leader="none" w:pos="21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Group, in accordance with ss.240.13d-1(b)(1)(ii)(J)</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196" w:lineRule="exact"/>
        <w:rPr>
          <w:sz w:val="20"/>
          <w:szCs w:val="20"/>
          <w:color w:val="auto"/>
        </w:rPr>
      </w:pPr>
    </w:p>
    <w:p>
      <w:pPr>
        <w:ind w:left="1520" w:hanging="404"/>
        <w:spacing w:after="0"/>
        <w:tabs>
          <w:tab w:leader="none" w:pos="1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Beneficially Owned:</w:t>
      </w:r>
    </w:p>
    <w:p>
      <w:pPr>
        <w:spacing w:after="0" w:line="196" w:lineRule="exact"/>
        <w:rPr>
          <w:rFonts w:ascii="Courier New" w:cs="Courier New" w:eastAsia="Courier New" w:hAnsi="Courier New"/>
          <w:sz w:val="17"/>
          <w:szCs w:val="17"/>
          <w:color w:val="auto"/>
        </w:rPr>
      </w:pPr>
    </w:p>
    <w:p>
      <w:pPr>
        <w:jc w:val="both"/>
        <w:ind w:left="1520" w:right="6679"/>
        <w:spacing w:after="0" w:line="32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9 on Page 2 See Item 9 on Page 3 See Item 9 on Page 4</w:t>
      </w:r>
    </w:p>
    <w:p>
      <w:pPr>
        <w:spacing w:after="0" w:line="4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64" w:right="1440" w:bottom="1440" w:gutter="0" w:footer="0" w:header="0"/>
        </w:sectPr>
      </w:pPr>
    </w:p>
    <w:bookmarkStart w:id="6" w:name="page7"/>
    <w:bookmarkEnd w:id="6"/>
    <w:p>
      <w:pPr>
        <w:ind w:left="1520" w:hanging="404"/>
        <w:spacing w:after="0"/>
        <w:tabs>
          <w:tab w:leader="none" w:pos="15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w:t>
      </w:r>
    </w:p>
    <w:p>
      <w:pPr>
        <w:spacing w:after="0" w:line="196" w:lineRule="exact"/>
        <w:rPr>
          <w:rFonts w:ascii="Courier New" w:cs="Courier New" w:eastAsia="Courier New" w:hAnsi="Courier New"/>
          <w:sz w:val="17"/>
          <w:szCs w:val="17"/>
          <w:color w:val="auto"/>
        </w:rPr>
      </w:pPr>
    </w:p>
    <w:p>
      <w:pPr>
        <w:jc w:val="both"/>
        <w:ind w:left="1520" w:right="6579"/>
        <w:spacing w:after="0" w:line="32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11 on Page 2 See Item 11 on Page 3 See Item 11 on Page 4</w:t>
      </w:r>
    </w:p>
    <w:p>
      <w:pPr>
        <w:spacing w:after="0" w:line="41" w:lineRule="exact"/>
        <w:rPr>
          <w:rFonts w:ascii="Courier New" w:cs="Courier New" w:eastAsia="Courier New" w:hAnsi="Courier New"/>
          <w:sz w:val="17"/>
          <w:szCs w:val="17"/>
          <w:color w:val="auto"/>
        </w:rPr>
      </w:pPr>
    </w:p>
    <w:p>
      <w:pPr>
        <w:ind w:left="1520" w:hanging="404"/>
        <w:spacing w:after="0"/>
        <w:tabs>
          <w:tab w:leader="none" w:pos="15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as to which such person has:</w:t>
      </w:r>
    </w:p>
    <w:p>
      <w:pPr>
        <w:spacing w:after="0" w:line="196" w:lineRule="exact"/>
        <w:rPr>
          <w:rFonts w:ascii="Courier New" w:cs="Courier New" w:eastAsia="Courier New" w:hAnsi="Courier New"/>
          <w:sz w:val="17"/>
          <w:szCs w:val="17"/>
          <w:color w:val="auto"/>
        </w:rPr>
      </w:pPr>
    </w:p>
    <w:p>
      <w:pPr>
        <w:ind w:left="2120" w:hanging="600"/>
        <w:spacing w:after="0"/>
        <w:tabs>
          <w:tab w:leader="none" w:pos="212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vote or to direct the vote:</w:t>
      </w:r>
    </w:p>
    <w:p>
      <w:pPr>
        <w:spacing w:after="0" w:line="196" w:lineRule="exact"/>
        <w:rPr>
          <w:rFonts w:ascii="Courier New" w:cs="Courier New" w:eastAsia="Courier New" w:hAnsi="Courier New"/>
          <w:sz w:val="17"/>
          <w:szCs w:val="17"/>
          <w:color w:val="auto"/>
        </w:rPr>
      </w:pPr>
    </w:p>
    <w:p>
      <w:pPr>
        <w:jc w:val="both"/>
        <w:ind w:left="2120" w:right="6079"/>
        <w:spacing w:after="0" w:line="32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5 on Page 2 See Item 5 on Page 3 See Item 5 on Page 4</w:t>
      </w:r>
    </w:p>
    <w:p>
      <w:pPr>
        <w:spacing w:after="0" w:line="41" w:lineRule="exact"/>
        <w:rPr>
          <w:rFonts w:ascii="Courier New" w:cs="Courier New" w:eastAsia="Courier New" w:hAnsi="Courier New"/>
          <w:sz w:val="17"/>
          <w:szCs w:val="17"/>
          <w:color w:val="auto"/>
        </w:rPr>
      </w:pPr>
    </w:p>
    <w:p>
      <w:pPr>
        <w:ind w:left="2120" w:hanging="600"/>
        <w:spacing w:after="0"/>
        <w:tabs>
          <w:tab w:leader="none" w:pos="212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vote or to direct the vote:</w:t>
      </w:r>
    </w:p>
    <w:p>
      <w:pPr>
        <w:spacing w:after="0" w:line="196" w:lineRule="exact"/>
        <w:rPr>
          <w:rFonts w:ascii="Courier New" w:cs="Courier New" w:eastAsia="Courier New" w:hAnsi="Courier New"/>
          <w:sz w:val="17"/>
          <w:szCs w:val="17"/>
          <w:color w:val="auto"/>
        </w:rPr>
      </w:pPr>
    </w:p>
    <w:p>
      <w:pPr>
        <w:jc w:val="both"/>
        <w:ind w:left="2120" w:right="6079"/>
        <w:spacing w:after="0" w:line="32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6 on Page 2 See Item 6 on Page 3 See Item 6 on Page 4</w:t>
      </w:r>
    </w:p>
    <w:p>
      <w:pPr>
        <w:spacing w:after="0" w:line="41" w:lineRule="exact"/>
        <w:rPr>
          <w:rFonts w:ascii="Courier New" w:cs="Courier New" w:eastAsia="Courier New" w:hAnsi="Courier New"/>
          <w:sz w:val="17"/>
          <w:szCs w:val="17"/>
          <w:color w:val="auto"/>
        </w:rPr>
      </w:pPr>
    </w:p>
    <w:p>
      <w:pPr>
        <w:ind w:left="2120" w:hanging="600"/>
        <w:spacing w:after="0"/>
        <w:tabs>
          <w:tab w:leader="none" w:pos="212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dispose or to direct the disposition of:</w:t>
      </w:r>
    </w:p>
    <w:p>
      <w:pPr>
        <w:spacing w:after="0" w:line="196" w:lineRule="exact"/>
        <w:rPr>
          <w:rFonts w:ascii="Courier New" w:cs="Courier New" w:eastAsia="Courier New" w:hAnsi="Courier New"/>
          <w:sz w:val="17"/>
          <w:szCs w:val="17"/>
          <w:color w:val="auto"/>
        </w:rPr>
      </w:pPr>
    </w:p>
    <w:p>
      <w:pPr>
        <w:jc w:val="both"/>
        <w:ind w:left="2120" w:right="6079"/>
        <w:spacing w:after="0" w:line="32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7 on Page 2 See Item 7 on Page 3 See Item 7 on Page 4</w:t>
      </w:r>
    </w:p>
    <w:p>
      <w:pPr>
        <w:spacing w:after="0" w:line="41" w:lineRule="exact"/>
        <w:rPr>
          <w:rFonts w:ascii="Courier New" w:cs="Courier New" w:eastAsia="Courier New" w:hAnsi="Courier New"/>
          <w:sz w:val="17"/>
          <w:szCs w:val="17"/>
          <w:color w:val="auto"/>
        </w:rPr>
      </w:pPr>
    </w:p>
    <w:p>
      <w:pPr>
        <w:ind w:left="2120" w:hanging="600"/>
        <w:spacing w:after="0"/>
        <w:tabs>
          <w:tab w:leader="none" w:pos="2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07" w:lineRule="exact"/>
        <w:rPr>
          <w:rFonts w:ascii="Courier New" w:cs="Courier New" w:eastAsia="Courier New" w:hAnsi="Courier New"/>
          <w:sz w:val="16"/>
          <w:szCs w:val="16"/>
          <w:color w:val="auto"/>
        </w:rPr>
      </w:pPr>
    </w:p>
    <w:p>
      <w:pPr>
        <w:jc w:val="both"/>
        <w:ind w:left="2120" w:right="6079"/>
        <w:spacing w:after="0" w:line="32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See Item 8 on Page 2 See Item 8 on Page 3 See Item 8 on Page 4</w:t>
      </w:r>
    </w:p>
    <w:p>
      <w:pPr>
        <w:spacing w:after="0" w:line="4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ind w:left="2120" w:right="2439" w:hanging="2122"/>
        <w:spacing w:after="0" w:line="356" w:lineRule="auto"/>
        <w:tabs>
          <w:tab w:leader="none" w:pos="21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69" w:right="1440" w:bottom="1440" w:gutter="0" w:footer="0" w:header="0"/>
        </w:sectPr>
      </w:pPr>
    </w:p>
    <w:bookmarkStart w:id="7" w:name="page8"/>
    <w:bookmarkEnd w:id="7"/>
    <w:p>
      <w:pPr>
        <w:ind w:left="2120" w:right="2119" w:hanging="2122"/>
        <w:spacing w:after="0" w:line="299" w:lineRule="auto"/>
        <w:tabs>
          <w:tab w:leader="none" w:pos="21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See Exhibit B attached hereto</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64" w:right="1440" w:bottom="1440" w:gutter="0" w:footer="0" w:header="0"/>
        </w:sectPr>
      </w:pPr>
    </w:p>
    <w:bookmarkStart w:id="8" w:name="page9"/>
    <w:bookmarkEnd w:id="8"/>
    <w:p>
      <w:pPr>
        <w:ind w:left="3640"/>
        <w:spacing w:after="0"/>
        <w:rPr>
          <w:sz w:val="20"/>
          <w:szCs w:val="20"/>
          <w:color w:val="auto"/>
        </w:rPr>
      </w:pPr>
      <w:r>
        <w:rPr>
          <w:rFonts w:ascii="Courier New" w:cs="Courier New" w:eastAsia="Courier New" w:hAnsi="Courier New"/>
          <w:sz w:val="17"/>
          <w:szCs w:val="17"/>
          <w:color w:val="auto"/>
        </w:rPr>
        <w:t>SIGNATURE</w:t>
      </w:r>
    </w:p>
    <w:p>
      <w:pPr>
        <w:spacing w:after="0" w:line="391" w:lineRule="exact"/>
        <w:rPr>
          <w:sz w:val="20"/>
          <w:szCs w:val="20"/>
          <w:color w:val="auto"/>
        </w:rPr>
      </w:pPr>
    </w:p>
    <w:p>
      <w:pPr>
        <w:ind w:right="2319" w:firstLine="505"/>
        <w:spacing w:after="0" w:line="299"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252" w:lineRule="exact"/>
        <w:rPr>
          <w:sz w:val="20"/>
          <w:szCs w:val="20"/>
          <w:color w:val="auto"/>
        </w:rPr>
      </w:pPr>
    </w:p>
    <w:p>
      <w:pPr>
        <w:ind w:left="4860"/>
        <w:spacing w:after="0"/>
        <w:tabs>
          <w:tab w:leader="none" w:pos="5840" w:val="left"/>
        </w:tabs>
        <w:rPr>
          <w:sz w:val="20"/>
          <w:szCs w:val="20"/>
          <w:color w:val="auto"/>
        </w:rPr>
      </w:pPr>
      <w:r>
        <w:rPr>
          <w:rFonts w:ascii="Courier New" w:cs="Courier New" w:eastAsia="Courier New" w:hAnsi="Courier New"/>
          <w:sz w:val="17"/>
          <w:szCs w:val="17"/>
          <w:color w:val="auto"/>
        </w:rPr>
        <w:t>FEBRUARY</w:t>
        <w:tab/>
        <w:t>3, 2003</w:t>
      </w:r>
    </w:p>
    <w:p>
      <w:pPr>
        <w:spacing w:after="0" w:line="3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(Date)</w:t>
      </w:r>
    </w:p>
    <w:p>
      <w:pPr>
        <w:spacing w:after="0" w:line="361"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Banco de Credito del Peru</w:t>
      </w:r>
    </w:p>
    <w:p>
      <w:pPr>
        <w:spacing w:after="0" w:line="391" w:lineRule="exact"/>
        <w:rPr>
          <w:sz w:val="20"/>
          <w:szCs w:val="20"/>
          <w:color w:val="auto"/>
        </w:rPr>
      </w:pPr>
    </w:p>
    <w:p>
      <w:pPr>
        <w:ind w:left="4860"/>
        <w:spacing w:after="0"/>
        <w:tabs>
          <w:tab w:leader="none" w:pos="53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Raimundo Morales</w:t>
      </w:r>
    </w:p>
    <w:p>
      <w:pPr>
        <w:spacing w:after="0" w:line="32"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3" w:lineRule="exact"/>
        <w:rPr>
          <w:sz w:val="20"/>
          <w:szCs w:val="20"/>
          <w:color w:val="auto"/>
        </w:rPr>
      </w:pPr>
    </w:p>
    <w:p>
      <w:pPr>
        <w:ind w:left="4860"/>
        <w:spacing w:after="0"/>
        <w:tabs>
          <w:tab w:leader="none" w:pos="5640" w:val="left"/>
        </w:tabs>
        <w:rPr>
          <w:sz w:val="20"/>
          <w:szCs w:val="20"/>
          <w:color w:val="auto"/>
        </w:rPr>
      </w:pPr>
      <w:r>
        <w:rPr>
          <w:rFonts w:ascii="Courier New" w:cs="Courier New" w:eastAsia="Courier New" w:hAnsi="Courier New"/>
          <w:sz w:val="17"/>
          <w:szCs w:val="17"/>
          <w:color w:val="auto"/>
        </w:rPr>
        <w:t>Name:</w:t>
        <w:tab/>
        <w:t>Raimundo Morales</w:t>
      </w:r>
    </w:p>
    <w:p>
      <w:pPr>
        <w:spacing w:after="0" w:line="2"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General Manager</w:t>
      </w:r>
    </w:p>
    <w:p>
      <w:pPr>
        <w:spacing w:after="0" w:line="2" w:lineRule="exact"/>
        <w:rPr>
          <w:sz w:val="20"/>
          <w:szCs w:val="20"/>
          <w:color w:val="auto"/>
        </w:rPr>
      </w:pPr>
    </w:p>
    <w:p>
      <w:pPr>
        <w:ind w:left="4860"/>
        <w:spacing w:after="0"/>
        <w:tabs>
          <w:tab w:leader="none" w:pos="564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Authorized Signatory</w:t>
      </w:r>
    </w:p>
    <w:p>
      <w:pPr>
        <w:sectPr>
          <w:pgSz w:w="11900" w:h="16838" w:orient="portrait"/>
          <w:cols w:equalWidth="0" w:num="1">
            <w:col w:w="10219"/>
          </w:cols>
          <w:pgMar w:left="240" w:top="669" w:right="1440" w:bottom="1440" w:gutter="0" w:footer="0" w:header="0"/>
        </w:sectPr>
      </w:pPr>
    </w:p>
    <w:bookmarkStart w:id="9" w:name="page10"/>
    <w:bookmarkEnd w:id="9"/>
    <w:p>
      <w:pPr>
        <w:ind w:left="3640"/>
        <w:spacing w:after="0"/>
        <w:rPr>
          <w:sz w:val="20"/>
          <w:szCs w:val="20"/>
          <w:color w:val="auto"/>
        </w:rPr>
      </w:pPr>
      <w:r>
        <w:rPr>
          <w:rFonts w:ascii="Courier New" w:cs="Courier New" w:eastAsia="Courier New" w:hAnsi="Courier New"/>
          <w:sz w:val="17"/>
          <w:szCs w:val="17"/>
          <w:color w:val="auto"/>
        </w:rPr>
        <w:t>EXHIBITS</w:t>
      </w:r>
    </w:p>
    <w:p>
      <w:pPr>
        <w:spacing w:after="0" w:line="391"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Exhibit A</w:t>
      </w:r>
      <w:r>
        <w:rPr>
          <w:sz w:val="20"/>
          <w:szCs w:val="20"/>
          <w:color w:val="auto"/>
        </w:rPr>
        <w:tab/>
      </w:r>
      <w:r>
        <w:rPr>
          <w:rFonts w:ascii="Courier New" w:cs="Courier New" w:eastAsia="Courier New" w:hAnsi="Courier New"/>
          <w:sz w:val="16"/>
          <w:szCs w:val="16"/>
          <w:color w:val="auto"/>
        </w:rPr>
        <w:t>Joint Filing Statement</w:t>
      </w:r>
    </w:p>
    <w:p>
      <w:pPr>
        <w:spacing w:after="0" w:line="196"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Exhibit B</w:t>
      </w:r>
      <w:r>
        <w:rPr>
          <w:sz w:val="20"/>
          <w:szCs w:val="20"/>
          <w:color w:val="auto"/>
        </w:rPr>
        <w:tab/>
      </w:r>
      <w:r>
        <w:rPr>
          <w:rFonts w:ascii="Courier New" w:cs="Courier New" w:eastAsia="Courier New" w:hAnsi="Courier New"/>
          <w:sz w:val="16"/>
          <w:szCs w:val="16"/>
          <w:color w:val="auto"/>
        </w:rPr>
        <w:t>Identification and Classification of Members of Group</w:t>
      </w:r>
    </w:p>
    <w:p>
      <w:pPr>
        <w:sectPr>
          <w:pgSz w:w="11900" w:h="16838" w:orient="portrait"/>
          <w:cols w:equalWidth="0" w:num="1">
            <w:col w:w="10219"/>
          </w:cols>
          <w:pgMar w:left="240" w:top="1058" w:right="1440" w:bottom="1440" w:gutter="0" w:footer="0" w:header="0"/>
        </w:sectPr>
      </w:pPr>
    </w:p>
    <w:bookmarkStart w:id="10" w:name="page11"/>
    <w:bookmarkEnd w:id="10"/>
    <w:p>
      <w:pPr>
        <w:ind w:left="2840"/>
        <w:spacing w:after="0"/>
        <w:rPr>
          <w:sz w:val="20"/>
          <w:szCs w:val="20"/>
          <w:color w:val="auto"/>
        </w:rPr>
      </w:pPr>
      <w:r>
        <w:rPr>
          <w:rFonts w:ascii="Courier New" w:cs="Courier New" w:eastAsia="Courier New" w:hAnsi="Courier New"/>
          <w:sz w:val="17"/>
          <w:szCs w:val="17"/>
          <w:color w:val="auto"/>
        </w:rPr>
        <w:t>Exhibit A to Schedule 13G</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Joint Filing Agreement</w:t>
      </w:r>
    </w:p>
    <w:p>
      <w:pPr>
        <w:spacing w:after="0" w:line="3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Pursuant to Rule 13d-1(k)</w:t>
      </w:r>
    </w:p>
    <w:p>
      <w:pPr>
        <w:spacing w:after="0" w:line="361" w:lineRule="exact"/>
        <w:rPr>
          <w:sz w:val="20"/>
          <w:szCs w:val="20"/>
          <w:color w:val="auto"/>
        </w:rPr>
      </w:pPr>
    </w:p>
    <w:p>
      <w:pPr>
        <w:ind w:right="2119" w:firstLine="505"/>
        <w:spacing w:after="0" w:line="299" w:lineRule="auto"/>
        <w:rPr>
          <w:sz w:val="20"/>
          <w:szCs w:val="20"/>
          <w:color w:val="auto"/>
        </w:rPr>
      </w:pPr>
      <w:r>
        <w:rPr>
          <w:rFonts w:ascii="Courier New" w:cs="Courier New" w:eastAsia="Courier New" w:hAnsi="Courier New"/>
          <w:sz w:val="17"/>
          <w:szCs w:val="17"/>
          <w:color w:val="auto"/>
        </w:rPr>
        <w:t>The undersigned persons (the "Reporting Persons") hereby agree that a joint statement on this Schedule 13G, and any amendments thereto, be filed on their behalf by Banco de Credito del Peru.</w:t>
      </w:r>
    </w:p>
    <w:p>
      <w:pPr>
        <w:spacing w:after="0" w:line="58" w:lineRule="exact"/>
        <w:rPr>
          <w:sz w:val="20"/>
          <w:szCs w:val="20"/>
          <w:color w:val="auto"/>
        </w:rPr>
      </w:pPr>
    </w:p>
    <w:p>
      <w:pPr>
        <w:ind w:right="2219" w:firstLine="505"/>
        <w:spacing w:after="0" w:line="280" w:lineRule="auto"/>
        <w:rPr>
          <w:sz w:val="20"/>
          <w:szCs w:val="20"/>
          <w:color w:val="auto"/>
        </w:rPr>
      </w:pPr>
      <w:r>
        <w:rPr>
          <w:rFonts w:ascii="Courier New" w:cs="Courier New" w:eastAsia="Courier New" w:hAnsi="Courier New"/>
          <w:sz w:val="17"/>
          <w:szCs w:val="17"/>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Date:February 3, 2003</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Banco de Credito del Peru</w:t>
      </w:r>
    </w:p>
    <w:p>
      <w:pPr>
        <w:spacing w:after="0" w:line="391" w:lineRule="exact"/>
        <w:rPr>
          <w:sz w:val="20"/>
          <w:szCs w:val="20"/>
          <w:color w:val="auto"/>
        </w:rPr>
      </w:pPr>
    </w:p>
    <w:p>
      <w:pPr>
        <w:ind w:left="3540"/>
        <w:spacing w:after="0"/>
        <w:tabs>
          <w:tab w:leader="none" w:pos="40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Raimundo Morales</w:t>
      </w:r>
    </w:p>
    <w:p>
      <w:pPr>
        <w:spacing w:after="0" w:line="3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540"/>
        <w:spacing w:after="0"/>
        <w:tabs>
          <w:tab w:leader="none" w:pos="43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Raimundo Morales</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General Manager</w:t>
      </w:r>
    </w:p>
    <w:p>
      <w:pPr>
        <w:spacing w:after="0" w:line="2" w:lineRule="exact"/>
        <w:rPr>
          <w:sz w:val="20"/>
          <w:szCs w:val="20"/>
          <w:color w:val="auto"/>
        </w:rPr>
      </w:pPr>
    </w:p>
    <w:p>
      <w:pPr>
        <w:jc w:val="center"/>
        <w:ind w:right="299"/>
        <w:spacing w:after="0"/>
        <w:tabs>
          <w:tab w:leader="none" w:pos="2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Authorized Signatory</w:t>
      </w:r>
    </w:p>
    <w:p>
      <w:pPr>
        <w:spacing w:after="0" w:line="36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Atlantic Security Holding Corporation</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By: /s/ Carlos Munoz</w:t>
      </w:r>
    </w:p>
    <w:p>
      <w:pPr>
        <w:spacing w:after="0" w:line="3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540"/>
        <w:spacing w:after="0"/>
        <w:tabs>
          <w:tab w:leader="none" w:pos="43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Carlos Munoz</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President</w:t>
      </w:r>
    </w:p>
    <w:p>
      <w:pPr>
        <w:spacing w:after="0" w:line="2" w:lineRule="exact"/>
        <w:rPr>
          <w:sz w:val="20"/>
          <w:szCs w:val="20"/>
          <w:color w:val="auto"/>
        </w:rPr>
      </w:pPr>
    </w:p>
    <w:p>
      <w:pPr>
        <w:jc w:val="center"/>
        <w:ind w:right="299"/>
        <w:spacing w:after="0"/>
        <w:tabs>
          <w:tab w:leader="none" w:pos="2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Authorized Signatory</w:t>
      </w:r>
    </w:p>
    <w:p>
      <w:pPr>
        <w:spacing w:after="0" w:line="36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El Pacifico-Peruano Suiza Compania</w:t>
      </w:r>
    </w:p>
    <w:p>
      <w:pPr>
        <w:spacing w:after="0" w:line="3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de Seguros y Reaseguros</w:t>
      </w:r>
    </w:p>
    <w:p>
      <w:pPr>
        <w:spacing w:after="0" w:line="36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By: /s/ Arturo Rodrigo</w:t>
      </w:r>
    </w:p>
    <w:p>
      <w:pPr>
        <w:spacing w:after="0" w:line="3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540"/>
        <w:spacing w:after="0"/>
        <w:tabs>
          <w:tab w:leader="none" w:pos="43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Arturo Rodrigo</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General Manager</w:t>
      </w:r>
    </w:p>
    <w:p>
      <w:pPr>
        <w:spacing w:after="0" w:line="2" w:lineRule="exact"/>
        <w:rPr>
          <w:sz w:val="20"/>
          <w:szCs w:val="20"/>
          <w:color w:val="auto"/>
        </w:rPr>
      </w:pPr>
    </w:p>
    <w:p>
      <w:pPr>
        <w:jc w:val="center"/>
        <w:ind w:right="299"/>
        <w:spacing w:after="0"/>
        <w:tabs>
          <w:tab w:leader="none" w:pos="2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Authorized Signatory</w:t>
      </w:r>
    </w:p>
    <w:p>
      <w:pPr>
        <w:sectPr>
          <w:pgSz w:w="11900" w:h="16838" w:orient="portrait"/>
          <w:cols w:equalWidth="0" w:num="1">
            <w:col w:w="10219"/>
          </w:cols>
          <w:pgMar w:left="240" w:top="1252"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4"/>
        </w:trPr>
        <w:tc>
          <w:tcPr>
            <w:tcW w:w="19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180" w:type="dxa"/>
            <w:vAlign w:val="bottom"/>
          </w:tcPr>
          <w:p>
            <w:pPr>
              <w:ind w:left="1260"/>
              <w:spacing w:after="0"/>
              <w:rPr>
                <w:sz w:val="20"/>
                <w:szCs w:val="20"/>
                <w:color w:val="auto"/>
              </w:rPr>
            </w:pPr>
            <w:r>
              <w:rPr>
                <w:rFonts w:ascii="Courier New" w:cs="Courier New" w:eastAsia="Courier New" w:hAnsi="Courier New"/>
                <w:sz w:val="17"/>
                <w:szCs w:val="17"/>
                <w:color w:val="auto"/>
                <w:w w:val="97"/>
              </w:rPr>
              <w:t>Exhibit B</w:t>
            </w:r>
          </w:p>
        </w:tc>
        <w:tc>
          <w:tcPr>
            <w:tcW w:w="0" w:type="dxa"/>
            <w:vAlign w:val="bottom"/>
          </w:tcPr>
          <w:p>
            <w:pPr>
              <w:spacing w:after="0"/>
              <w:rPr>
                <w:sz w:val="1"/>
                <w:szCs w:val="1"/>
                <w:color w:val="auto"/>
              </w:rPr>
            </w:pP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Members of Group:</w:t>
            </w:r>
          </w:p>
        </w:tc>
        <w:tc>
          <w:tcPr>
            <w:tcW w:w="3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980" w:type="dxa"/>
            <w:vAlign w:val="bottom"/>
          </w:tcPr>
          <w:p>
            <w:pPr>
              <w:ind w:left="1120"/>
              <w:spacing w:after="0"/>
              <w:rPr>
                <w:sz w:val="20"/>
                <w:szCs w:val="20"/>
                <w:color w:val="auto"/>
              </w:rPr>
            </w:pPr>
            <w:r>
              <w:rPr>
                <w:rFonts w:ascii="Courier New" w:cs="Courier New" w:eastAsia="Courier New" w:hAnsi="Courier New"/>
                <w:sz w:val="17"/>
                <w:szCs w:val="17"/>
                <w:color w:val="auto"/>
              </w:rPr>
              <w:t>Atlantic</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Security Holding Corporation</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(HC)</w:t>
            </w:r>
          </w:p>
        </w:tc>
        <w:tc>
          <w:tcPr>
            <w:tcW w:w="0" w:type="dxa"/>
            <w:vAlign w:val="bottom"/>
          </w:tcPr>
          <w:p>
            <w:pPr>
              <w:spacing w:after="0"/>
              <w:rPr>
                <w:sz w:val="1"/>
                <w:szCs w:val="1"/>
                <w:color w:val="auto"/>
              </w:rPr>
            </w:pPr>
          </w:p>
        </w:tc>
      </w:tr>
      <w:tr>
        <w:trPr>
          <w:trHeight w:val="194"/>
        </w:trPr>
        <w:tc>
          <w:tcPr>
            <w:tcW w:w="1980" w:type="dxa"/>
            <w:vAlign w:val="bottom"/>
          </w:tcPr>
          <w:p>
            <w:pPr>
              <w:ind w:left="1120"/>
              <w:spacing w:after="0"/>
              <w:rPr>
                <w:sz w:val="20"/>
                <w:szCs w:val="20"/>
                <w:color w:val="auto"/>
              </w:rPr>
            </w:pPr>
            <w:r>
              <w:rPr>
                <w:rFonts w:ascii="Courier New" w:cs="Courier New" w:eastAsia="Courier New" w:hAnsi="Courier New"/>
                <w:sz w:val="17"/>
                <w:szCs w:val="17"/>
                <w:color w:val="auto"/>
              </w:rPr>
              <w:t>Banco de</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Credito del Peru</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(BK)</w:t>
            </w:r>
          </w:p>
        </w:tc>
        <w:tc>
          <w:tcPr>
            <w:tcW w:w="0" w:type="dxa"/>
            <w:vAlign w:val="bottom"/>
          </w:tcPr>
          <w:p>
            <w:pPr>
              <w:spacing w:after="0"/>
              <w:rPr>
                <w:sz w:val="1"/>
                <w:szCs w:val="1"/>
                <w:color w:val="auto"/>
              </w:rPr>
            </w:pPr>
          </w:p>
        </w:tc>
      </w:tr>
      <w:tr>
        <w:trPr>
          <w:trHeight w:val="194"/>
        </w:trPr>
        <w:tc>
          <w:tcPr>
            <w:tcW w:w="5920" w:type="dxa"/>
            <w:vAlign w:val="bottom"/>
            <w:gridSpan w:val="2"/>
          </w:tcPr>
          <w:p>
            <w:pPr>
              <w:ind w:left="1120"/>
              <w:spacing w:after="0"/>
              <w:rPr>
                <w:sz w:val="20"/>
                <w:szCs w:val="20"/>
                <w:color w:val="auto"/>
              </w:rPr>
            </w:pPr>
            <w:r>
              <w:rPr>
                <w:rFonts w:ascii="Courier New" w:cs="Courier New" w:eastAsia="Courier New" w:hAnsi="Courier New"/>
                <w:sz w:val="17"/>
                <w:szCs w:val="17"/>
                <w:color w:val="auto"/>
              </w:rPr>
              <w:t>El Pacifico-Peruano Suiza Compania</w:t>
            </w:r>
          </w:p>
        </w:tc>
        <w:tc>
          <w:tcPr>
            <w:tcW w:w="2180" w:type="dxa"/>
            <w:vAlign w:val="bottom"/>
            <w:vMerge w:val="restart"/>
          </w:tcPr>
          <w:p>
            <w:pPr>
              <w:ind w:left="1060"/>
              <w:spacing w:after="0"/>
              <w:rPr>
                <w:sz w:val="20"/>
                <w:szCs w:val="20"/>
                <w:color w:val="auto"/>
              </w:rPr>
            </w:pPr>
            <w:r>
              <w:rPr>
                <w:rFonts w:ascii="Courier New" w:cs="Courier New" w:eastAsia="Courier New" w:hAnsi="Courier New"/>
                <w:sz w:val="17"/>
                <w:szCs w:val="17"/>
                <w:color w:val="auto"/>
              </w:rPr>
              <w:t>(IC)</w:t>
            </w:r>
          </w:p>
        </w:tc>
        <w:tc>
          <w:tcPr>
            <w:tcW w:w="0" w:type="dxa"/>
            <w:vAlign w:val="bottom"/>
          </w:tcPr>
          <w:p>
            <w:pPr>
              <w:spacing w:after="0"/>
              <w:rPr>
                <w:sz w:val="1"/>
                <w:szCs w:val="1"/>
                <w:color w:val="auto"/>
              </w:rPr>
            </w:pPr>
          </w:p>
        </w:tc>
      </w:tr>
      <w:tr>
        <w:trPr>
          <w:trHeight w:val="194"/>
        </w:trPr>
        <w:tc>
          <w:tcPr>
            <w:tcW w:w="5920" w:type="dxa"/>
            <w:vAlign w:val="bottom"/>
            <w:gridSpan w:val="2"/>
          </w:tcPr>
          <w:p>
            <w:pPr>
              <w:ind w:left="1120"/>
              <w:spacing w:after="0"/>
              <w:rPr>
                <w:sz w:val="20"/>
                <w:szCs w:val="20"/>
                <w:color w:val="auto"/>
              </w:rPr>
            </w:pPr>
            <w:r>
              <w:rPr>
                <w:rFonts w:ascii="Courier New" w:cs="Courier New" w:eastAsia="Courier New" w:hAnsi="Courier New"/>
                <w:sz w:val="17"/>
                <w:szCs w:val="17"/>
                <w:color w:val="auto"/>
              </w:rPr>
              <w:t>de Seguros y Reaseguros</w:t>
            </w: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80" w:type="dxa"/>
            <w:vAlign w:val="bottom"/>
          </w:tcPr>
          <w:p>
            <w:pPr>
              <w:ind w:left="1120"/>
              <w:spacing w:after="0"/>
              <w:rPr>
                <w:sz w:val="20"/>
                <w:szCs w:val="20"/>
                <w:color w:val="auto"/>
              </w:rPr>
            </w:pPr>
            <w:r>
              <w:rPr>
                <w:rFonts w:ascii="Courier New" w:cs="Courier New" w:eastAsia="Courier New" w:hAnsi="Courier New"/>
                <w:sz w:val="17"/>
                <w:szCs w:val="17"/>
                <w:color w:val="auto"/>
              </w:rPr>
              <w:t>Banco de</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Credito Overseas Ltd.*</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(CO)</w:t>
            </w:r>
          </w:p>
        </w:tc>
        <w:tc>
          <w:tcPr>
            <w:tcW w:w="0" w:type="dxa"/>
            <w:vAlign w:val="bottom"/>
          </w:tcPr>
          <w:p>
            <w:pPr>
              <w:spacing w:after="0"/>
              <w:rPr>
                <w:sz w:val="1"/>
                <w:szCs w:val="1"/>
                <w:color w:val="auto"/>
              </w:rPr>
            </w:pPr>
          </w:p>
        </w:tc>
      </w:tr>
      <w:tr>
        <w:trPr>
          <w:trHeight w:val="194"/>
        </w:trPr>
        <w:tc>
          <w:tcPr>
            <w:tcW w:w="1980" w:type="dxa"/>
            <w:vAlign w:val="bottom"/>
          </w:tcPr>
          <w:p>
            <w:pPr>
              <w:ind w:left="1120"/>
              <w:spacing w:after="0"/>
              <w:rPr>
                <w:sz w:val="20"/>
                <w:szCs w:val="20"/>
                <w:color w:val="auto"/>
              </w:rPr>
            </w:pPr>
            <w:r>
              <w:rPr>
                <w:rFonts w:ascii="Courier New" w:cs="Courier New" w:eastAsia="Courier New" w:hAnsi="Courier New"/>
                <w:sz w:val="17"/>
                <w:szCs w:val="17"/>
                <w:color w:val="auto"/>
              </w:rPr>
              <w:t>Atlantic</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Security Bank*</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(BK)</w:t>
            </w:r>
          </w:p>
        </w:tc>
        <w:tc>
          <w:tcPr>
            <w:tcW w:w="0" w:type="dxa"/>
            <w:vAlign w:val="bottom"/>
          </w:tcPr>
          <w:p>
            <w:pPr>
              <w:spacing w:after="0"/>
              <w:rPr>
                <w:sz w:val="1"/>
                <w:szCs w:val="1"/>
                <w:color w:val="auto"/>
              </w:rPr>
            </w:pPr>
          </w:p>
        </w:tc>
      </w:tr>
      <w:tr>
        <w:trPr>
          <w:trHeight w:val="284"/>
        </w:trPr>
        <w:tc>
          <w:tcPr>
            <w:tcW w:w="5920" w:type="dxa"/>
            <w:vAlign w:val="bottom"/>
            <w:gridSpan w:val="2"/>
          </w:tcPr>
          <w:p>
            <w:pPr>
              <w:ind w:left="1120"/>
              <w:spacing w:after="0"/>
              <w:rPr>
                <w:sz w:val="20"/>
                <w:szCs w:val="20"/>
                <w:color w:val="auto"/>
              </w:rPr>
            </w:pPr>
            <w:r>
              <w:rPr>
                <w:rFonts w:ascii="Courier New" w:cs="Courier New" w:eastAsia="Courier New" w:hAnsi="Courier New"/>
                <w:sz w:val="17"/>
                <w:szCs w:val="17"/>
                <w:color w:val="auto"/>
              </w:rPr>
              <w:t>El Pacifico Vida*</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(CO)</w:t>
            </w:r>
          </w:p>
        </w:tc>
        <w:tc>
          <w:tcPr>
            <w:tcW w:w="0" w:type="dxa"/>
            <w:vAlign w:val="bottom"/>
          </w:tcPr>
          <w:p>
            <w:pPr>
              <w:spacing w:after="0"/>
              <w:rPr>
                <w:sz w:val="1"/>
                <w:szCs w:val="1"/>
                <w:color w:val="auto"/>
              </w:rPr>
            </w:pPr>
          </w:p>
        </w:tc>
      </w:tr>
      <w:tr>
        <w:trPr>
          <w:trHeight w:val="329"/>
        </w:trPr>
        <w:tc>
          <w:tcPr>
            <w:tcW w:w="1980" w:type="dxa"/>
            <w:vAlign w:val="bottom"/>
          </w:tcPr>
          <w:p>
            <w:pPr>
              <w:spacing w:after="0"/>
              <w:rPr>
                <w:sz w:val="20"/>
                <w:szCs w:val="20"/>
                <w:color w:val="auto"/>
              </w:rPr>
            </w:pPr>
            <w:r>
              <w:rPr>
                <w:rFonts w:ascii="Courier New" w:cs="Courier New" w:eastAsia="Courier New" w:hAnsi="Courier New"/>
                <w:sz w:val="17"/>
                <w:szCs w:val="17"/>
                <w:color w:val="auto"/>
              </w:rPr>
              <w:t>Aggregate amount of</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common shares beneficially</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Owned by group:</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14,574,027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 of class:</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15.44%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219" w:firstLine="4"/>
        <w:spacing w:after="0" w:line="356" w:lineRule="auto"/>
        <w:tabs>
          <w:tab w:leader="none" w:pos="202"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holdings of these members have been reported by the respective beneficial owners thereof.</w:t>
      </w:r>
    </w:p>
    <w:sectPr>
      <w:pgSz w:w="11900" w:h="16838" w:orient="portrait"/>
      <w:cols w:equalWidth="0" w:num="1">
        <w:col w:w="10219"/>
      </w:cols>
      <w:pgMar w:left="240" w:top="10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1"/>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8"/>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lvl w:ilvl="1">
      <w:lvlJc w:val="left"/>
      <w:lvlText w:val="1"/>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8"/>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lowerLetter"/>
      <w:start w:val="6"/>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2"/>
    </w:lvl>
    <w:lvl w:ilvl="1">
      <w:lvlJc w:val="left"/>
      <w:lvlText w:val="(%2)"/>
      <w:numFmt w:val="lowerRoman"/>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2019-12-14T05:57:55Z</dcterms:created>
  <dcterms:modified xsi:type="dcterms:W3CDTF">2019-12-14T05:57:55Z</dcterms:modified>
</cp:coreProperties>
</file>