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May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of the following Material Event:</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exchange rate registered by the Peruvian Superintendence of Banking, Insurance and AFP (</w:t>
      </w:r>
      <w:r>
        <w:rPr>
          <w:rFonts w:ascii="Arial" w:cs="Arial" w:eastAsia="Arial" w:hAnsi="Arial"/>
          <w:sz w:val="18"/>
          <w:szCs w:val="18"/>
          <w:i w:val="1"/>
          <w:iCs w:val="1"/>
          <w:color w:val="auto"/>
        </w:rPr>
        <w:t>Superintendencia de Banca, Seguros y AFP</w:t>
      </w:r>
      <w:r>
        <w:rPr>
          <w:rFonts w:ascii="Arial" w:cs="Arial" w:eastAsia="Arial" w:hAnsi="Arial"/>
          <w:sz w:val="18"/>
          <w:szCs w:val="18"/>
          <w:color w:val="auto"/>
        </w:rPr>
        <w:t>) at the close of business on May 9, 2018, to be used for the calculation of the dividends to be paid by the Company on May 11, 2018 is S/3.2929 per US Dollar.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regard, the dividend to be paid per share shall be US$4.3040, equivalent to S/14.1726 per share.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communication is related to the Material Event filed on February 28, 2018, wherein the Company informed of the dividend distribution agreement adopted by the Board of Directors at its meeting held on the same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2019-12-06T06:01:20Z</dcterms:created>
  <dcterms:modified xsi:type="dcterms:W3CDTF">2019-12-06T06:01:20Z</dcterms:modified>
</cp:coreProperties>
</file>