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85725</wp:posOffset>
            </wp:positionV>
            <wp:extent cx="3644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85725</wp:posOffset>
            </wp:positionV>
            <wp:extent cx="3644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G2519Y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85725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85725</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 Rule 13d-1(b)</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 Rule 13d-1(c)</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 Rule 13d-1(d)</w:t>
      </w:r>
    </w:p>
    <w:p>
      <w:pPr>
        <w:spacing w:after="0" w:line="256" w:lineRule="exact"/>
        <w:rPr>
          <w:sz w:val="24"/>
          <w:szCs w:val="24"/>
          <w:color w:val="auto"/>
        </w:rPr>
      </w:pPr>
    </w:p>
    <w:p>
      <w:pPr>
        <w:ind w:right="20" w:firstLine="656"/>
        <w:spacing w:after="0" w:line="277" w:lineRule="auto"/>
        <w:tabs>
          <w:tab w:leader="none" w:pos="78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 w:name="page2"/>
    <w:bookmarkEnd w:id="1"/>
    <w:p>
      <w:pPr>
        <w:ind w:left="1300" w:hanging="666"/>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Names of Reporting Persons/I.R.S. Identification Nos. of Above Persons (Entities Only)</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Atlantic Security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300" w:hanging="689"/>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o</w:t>
      </w:r>
    </w:p>
    <w:p>
      <w:pPr>
        <w:spacing w:after="0" w:line="9" w:lineRule="exact"/>
        <w:rPr>
          <w:sz w:val="20"/>
          <w:szCs w:val="20"/>
          <w:color w:val="auto"/>
        </w:rPr>
      </w:pPr>
    </w:p>
    <w:p>
      <w:pPr>
        <w:ind w:left="10980"/>
        <w:spacing w:after="0"/>
        <w:rPr>
          <w:sz w:val="20"/>
          <w:szCs w:val="20"/>
          <w:color w:val="auto"/>
        </w:rPr>
      </w:pPr>
      <w:r>
        <w:rPr>
          <w:rFonts w:ascii="Arial" w:cs="Arial" w:eastAsia="Arial" w:hAnsi="Arial"/>
          <w:sz w:val="16"/>
          <w:szCs w:val="16"/>
          <w:color w:val="auto"/>
        </w:rPr>
        <w:t>(b) :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0"/>
          <w:szCs w:val="20"/>
          <w:color w:val="auto"/>
        </w:rPr>
      </w:pPr>
    </w:p>
    <w:p>
      <w:pPr>
        <w:ind w:left="1300" w:hanging="68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300" w:hanging="68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6120" w:hanging="951"/>
        <w:spacing w:after="0"/>
        <w:tabs>
          <w:tab w:leader="none" w:pos="6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1480" w:type="dxa"/>
        <w:tblCellMar>
          <w:top w:w="0" w:type="dxa"/>
          <w:left w:w="0" w:type="dxa"/>
          <w:bottom w:w="0" w:type="dxa"/>
          <w:right w:w="0" w:type="dxa"/>
        </w:tblCellMar>
      </w:tblPr>
      <w:tr>
        <w:trPr>
          <w:trHeight w:val="241"/>
        </w:trPr>
        <w:tc>
          <w:tcPr>
            <w:tcW w:w="28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9"/>
              </w:rPr>
              <w:t>NUMBER OF</w:t>
            </w:r>
          </w:p>
        </w:tc>
        <w:tc>
          <w:tcPr>
            <w:tcW w:w="1360" w:type="dxa"/>
            <w:vAlign w:val="bottom"/>
            <w:tcBorders>
              <w:bottom w:val="single" w:sz="8" w:color="auto"/>
            </w:tcBorders>
          </w:tcPr>
          <w:p>
            <w:pPr>
              <w:spacing w:after="0"/>
              <w:rPr>
                <w:sz w:val="20"/>
                <w:szCs w:val="20"/>
                <w:color w:val="auto"/>
              </w:rPr>
            </w:pPr>
          </w:p>
        </w:tc>
        <w:tc>
          <w:tcPr>
            <w:tcW w:w="57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14,620,845</w:t>
            </w:r>
          </w:p>
        </w:tc>
        <w:tc>
          <w:tcPr>
            <w:tcW w:w="0" w:type="dxa"/>
            <w:vAlign w:val="bottom"/>
          </w:tcPr>
          <w:p>
            <w:pPr>
              <w:spacing w:after="0"/>
              <w:rPr>
                <w:sz w:val="1"/>
                <w:szCs w:val="1"/>
                <w:color w:val="auto"/>
              </w:rPr>
            </w:pPr>
          </w:p>
        </w:tc>
      </w:tr>
      <w:tr>
        <w:trPr>
          <w:trHeight w:val="238"/>
        </w:trPr>
        <w:tc>
          <w:tcPr>
            <w:tcW w:w="28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5"/>
              </w:rPr>
              <w:t>SHARES</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5740" w:type="dxa"/>
            <w:vAlign w:val="bottom"/>
          </w:tcPr>
          <w:p>
            <w:pPr>
              <w:ind w:left="4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840" w:type="dxa"/>
            <w:vAlign w:val="bottom"/>
          </w:tcPr>
          <w:p>
            <w:pPr>
              <w:jc w:val="center"/>
              <w:ind w:right="1390"/>
              <w:spacing w:after="0"/>
              <w:rPr>
                <w:sz w:val="20"/>
                <w:szCs w:val="20"/>
                <w:color w:val="auto"/>
              </w:rPr>
            </w:pPr>
            <w:r>
              <w:rPr>
                <w:rFonts w:ascii="Arial" w:cs="Arial" w:eastAsia="Arial" w:hAnsi="Arial"/>
                <w:sz w:val="18"/>
                <w:szCs w:val="18"/>
                <w:b w:val="1"/>
                <w:bCs w:val="1"/>
                <w:color w:val="auto"/>
              </w:rPr>
              <w:t>BENEFICIALLY</w:t>
            </w:r>
          </w:p>
        </w:tc>
        <w:tc>
          <w:tcPr>
            <w:tcW w:w="1360" w:type="dxa"/>
            <w:vAlign w:val="bottom"/>
          </w:tcPr>
          <w:p>
            <w:pPr>
              <w:spacing w:after="0"/>
              <w:rPr>
                <w:sz w:val="18"/>
                <w:szCs w:val="18"/>
                <w:color w:val="auto"/>
              </w:rPr>
            </w:pPr>
          </w:p>
        </w:tc>
        <w:tc>
          <w:tcPr>
            <w:tcW w:w="57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4,149,763</w:t>
            </w:r>
          </w:p>
        </w:tc>
        <w:tc>
          <w:tcPr>
            <w:tcW w:w="0" w:type="dxa"/>
            <w:vAlign w:val="bottom"/>
          </w:tcPr>
          <w:p>
            <w:pPr>
              <w:spacing w:after="0"/>
              <w:rPr>
                <w:sz w:val="1"/>
                <w:szCs w:val="1"/>
                <w:color w:val="auto"/>
              </w:rPr>
            </w:pPr>
          </w:p>
        </w:tc>
      </w:tr>
      <w:tr>
        <w:trPr>
          <w:trHeight w:val="228"/>
        </w:trPr>
        <w:tc>
          <w:tcPr>
            <w:tcW w:w="2840" w:type="dxa"/>
            <w:vAlign w:val="bottom"/>
          </w:tcPr>
          <w:p>
            <w:pPr>
              <w:jc w:val="center"/>
              <w:ind w:right="1390"/>
              <w:spacing w:after="0"/>
              <w:rPr>
                <w:sz w:val="20"/>
                <w:szCs w:val="20"/>
                <w:color w:val="auto"/>
              </w:rPr>
            </w:pPr>
            <w:r>
              <w:rPr>
                <w:rFonts w:ascii="Arial" w:cs="Arial" w:eastAsia="Arial" w:hAnsi="Arial"/>
                <w:sz w:val="18"/>
                <w:szCs w:val="18"/>
                <w:b w:val="1"/>
                <w:bCs w:val="1"/>
                <w:color w:val="auto"/>
              </w:rPr>
              <w:t>OWNED BY</w:t>
            </w:r>
          </w:p>
        </w:tc>
        <w:tc>
          <w:tcPr>
            <w:tcW w:w="136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40" w:type="dxa"/>
            <w:vAlign w:val="bottom"/>
          </w:tcPr>
          <w:p>
            <w:pPr>
              <w:jc w:val="center"/>
              <w:ind w:right="1390"/>
              <w:spacing w:after="0" w:line="184" w:lineRule="exact"/>
              <w:rPr>
                <w:sz w:val="20"/>
                <w:szCs w:val="20"/>
                <w:color w:val="auto"/>
              </w:rPr>
            </w:pPr>
            <w:r>
              <w:rPr>
                <w:rFonts w:ascii="Arial" w:cs="Arial" w:eastAsia="Arial" w:hAnsi="Arial"/>
                <w:sz w:val="18"/>
                <w:szCs w:val="18"/>
                <w:b w:val="1"/>
                <w:bCs w:val="1"/>
                <w:color w:val="auto"/>
              </w:rPr>
              <w:t>EACH</w:t>
            </w:r>
          </w:p>
        </w:tc>
        <w:tc>
          <w:tcPr>
            <w:tcW w:w="1360" w:type="dxa"/>
            <w:vAlign w:val="bottom"/>
          </w:tcPr>
          <w:p>
            <w:pPr>
              <w:jc w:val="right"/>
              <w:ind w:right="330"/>
              <w:spacing w:after="0" w:line="184" w:lineRule="exact"/>
              <w:rPr>
                <w:sz w:val="20"/>
                <w:szCs w:val="20"/>
                <w:color w:val="auto"/>
              </w:rPr>
            </w:pPr>
            <w:r>
              <w:rPr>
                <w:rFonts w:ascii="Arial" w:cs="Arial" w:eastAsia="Arial" w:hAnsi="Arial"/>
                <w:sz w:val="18"/>
                <w:szCs w:val="18"/>
                <w:color w:val="auto"/>
              </w:rPr>
              <w:t>7</w:t>
            </w:r>
          </w:p>
        </w:tc>
        <w:tc>
          <w:tcPr>
            <w:tcW w:w="5740" w:type="dxa"/>
            <w:vAlign w:val="bottom"/>
          </w:tcPr>
          <w:p>
            <w:pPr>
              <w:ind w:left="440"/>
              <w:spacing w:after="0" w:line="18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840" w:type="dxa"/>
            <w:vAlign w:val="bottom"/>
          </w:tcPr>
          <w:p>
            <w:pPr>
              <w:jc w:val="center"/>
              <w:ind w:right="1390"/>
              <w:spacing w:after="0"/>
              <w:rPr>
                <w:sz w:val="20"/>
                <w:szCs w:val="20"/>
                <w:color w:val="auto"/>
              </w:rPr>
            </w:pPr>
            <w:r>
              <w:rPr>
                <w:rFonts w:ascii="Arial" w:cs="Arial" w:eastAsia="Arial" w:hAnsi="Arial"/>
                <w:sz w:val="18"/>
                <w:szCs w:val="18"/>
                <w:b w:val="1"/>
                <w:bCs w:val="1"/>
                <w:color w:val="auto"/>
              </w:rPr>
              <w:t>REPORTING</w:t>
            </w:r>
          </w:p>
        </w:tc>
        <w:tc>
          <w:tcPr>
            <w:tcW w:w="13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4"/>
              </w:rPr>
              <w:t>PERSON</w:t>
            </w:r>
          </w:p>
        </w:tc>
        <w:tc>
          <w:tcPr>
            <w:tcW w:w="1360" w:type="dxa"/>
            <w:vAlign w:val="bottom"/>
          </w:tcPr>
          <w:p>
            <w:pPr>
              <w:spacing w:after="0"/>
              <w:rPr>
                <w:sz w:val="19"/>
                <w:szCs w:val="19"/>
                <w:color w:val="auto"/>
              </w:rPr>
            </w:pPr>
          </w:p>
        </w:tc>
        <w:tc>
          <w:tcPr>
            <w:tcW w:w="5740" w:type="dxa"/>
            <w:vAlign w:val="bottom"/>
          </w:tcPr>
          <w:p>
            <w:pPr>
              <w:ind w:left="440"/>
              <w:spacing w:after="0"/>
              <w:rPr>
                <w:sz w:val="20"/>
                <w:szCs w:val="20"/>
                <w:color w:val="auto"/>
              </w:rPr>
            </w:pPr>
            <w:r>
              <w:rPr>
                <w:rFonts w:ascii="Arial" w:cs="Arial" w:eastAsia="Arial" w:hAnsi="Arial"/>
                <w:sz w:val="18"/>
                <w:szCs w:val="18"/>
                <w:b w:val="1"/>
                <w:bCs w:val="1"/>
                <w:color w:val="auto"/>
              </w:rPr>
              <w:t>14,620,845</w:t>
            </w:r>
          </w:p>
        </w:tc>
        <w:tc>
          <w:tcPr>
            <w:tcW w:w="0" w:type="dxa"/>
            <w:vAlign w:val="bottom"/>
          </w:tcPr>
          <w:p>
            <w:pPr>
              <w:spacing w:after="0"/>
              <w:rPr>
                <w:sz w:val="1"/>
                <w:szCs w:val="1"/>
                <w:color w:val="auto"/>
              </w:rPr>
            </w:pPr>
          </w:p>
        </w:tc>
      </w:tr>
      <w:tr>
        <w:trPr>
          <w:trHeight w:val="61"/>
        </w:trPr>
        <w:tc>
          <w:tcPr>
            <w:tcW w:w="2840" w:type="dxa"/>
            <w:vAlign w:val="bottom"/>
            <w:vMerge w:val="restart"/>
          </w:tcPr>
          <w:p>
            <w:pPr>
              <w:jc w:val="center"/>
              <w:ind w:right="1390"/>
              <w:spacing w:after="0"/>
              <w:rPr>
                <w:sz w:val="20"/>
                <w:szCs w:val="20"/>
                <w:color w:val="auto"/>
              </w:rPr>
            </w:pPr>
            <w:r>
              <w:rPr>
                <w:rFonts w:ascii="Arial" w:cs="Arial" w:eastAsia="Arial" w:hAnsi="Arial"/>
                <w:sz w:val="18"/>
                <w:szCs w:val="18"/>
                <w:b w:val="1"/>
                <w:bCs w:val="1"/>
                <w:color w:val="auto"/>
              </w:rPr>
              <w:t>WITH</w:t>
            </w:r>
          </w:p>
        </w:tc>
        <w:tc>
          <w:tcPr>
            <w:tcW w:w="1360" w:type="dxa"/>
            <w:vAlign w:val="bottom"/>
            <w:tcBorders>
              <w:bottom w:val="single" w:sz="8" w:color="auto"/>
            </w:tcBorders>
          </w:tcPr>
          <w:p>
            <w:pPr>
              <w:spacing w:after="0"/>
              <w:rPr>
                <w:sz w:val="5"/>
                <w:szCs w:val="5"/>
                <w:color w:val="auto"/>
              </w:rPr>
            </w:pPr>
          </w:p>
        </w:tc>
        <w:tc>
          <w:tcPr>
            <w:tcW w:w="5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840" w:type="dxa"/>
            <w:vAlign w:val="bottom"/>
            <w:vMerge w:val="continue"/>
          </w:tcPr>
          <w:p>
            <w:pPr>
              <w:spacing w:after="0"/>
              <w:rPr>
                <w:sz w:val="13"/>
                <w:szCs w:val="13"/>
                <w:color w:val="auto"/>
              </w:rPr>
            </w:pPr>
          </w:p>
        </w:tc>
        <w:tc>
          <w:tcPr>
            <w:tcW w:w="1360" w:type="dxa"/>
            <w:vAlign w:val="bottom"/>
            <w:vMerge w:val="restart"/>
          </w:tcPr>
          <w:p>
            <w:pPr>
              <w:jc w:val="right"/>
              <w:ind w:right="330"/>
              <w:spacing w:after="0"/>
              <w:rPr>
                <w:sz w:val="20"/>
                <w:szCs w:val="20"/>
                <w:color w:val="auto"/>
              </w:rPr>
            </w:pPr>
            <w:r>
              <w:rPr>
                <w:rFonts w:ascii="Arial" w:cs="Arial" w:eastAsia="Arial" w:hAnsi="Arial"/>
                <w:sz w:val="18"/>
                <w:szCs w:val="18"/>
                <w:color w:val="auto"/>
              </w:rPr>
              <w:t>8</w:t>
            </w:r>
          </w:p>
        </w:tc>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7"/>
        </w:trPr>
        <w:tc>
          <w:tcPr>
            <w:tcW w:w="28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5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300" w:hanging="689"/>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18,770,608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300" w:hanging="73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300" w:hanging="73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19.89%</w:t>
      </w:r>
    </w:p>
    <w:p>
      <w:pPr>
        <w:spacing w:after="0" w:line="40" w:lineRule="exact"/>
        <w:rPr>
          <w:rFonts w:ascii="Arial" w:cs="Arial" w:eastAsia="Arial" w:hAnsi="Arial"/>
          <w:sz w:val="18"/>
          <w:szCs w:val="18"/>
          <w:color w:val="auto"/>
        </w:rPr>
      </w:pPr>
    </w:p>
    <w:p>
      <w:pPr>
        <w:ind w:left="1300" w:hanging="73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r>
        <w:rPr>
          <w:rFonts w:ascii="Arial" w:cs="Arial" w:eastAsia="Arial" w:hAnsi="Arial"/>
          <w:sz w:val="16"/>
          <w:szCs w:val="16"/>
          <w:b w:val="1"/>
          <w:bCs w:val="1"/>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Credicorp Ltd.</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Hamilton HM11 Bermuda</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Persons Filing:</w:t>
      </w:r>
    </w:p>
    <w:p>
      <w:pPr>
        <w:spacing w:after="0" w:line="248" w:lineRule="exact"/>
        <w:rPr>
          <w:sz w:val="20"/>
          <w:szCs w:val="20"/>
          <w:color w:val="auto"/>
        </w:rPr>
      </w:pPr>
    </w:p>
    <w:p>
      <w:pPr>
        <w:jc w:val="center"/>
        <w:ind w:right="5840"/>
        <w:spacing w:after="0"/>
        <w:rPr>
          <w:sz w:val="20"/>
          <w:szCs w:val="20"/>
          <w:color w:val="auto"/>
        </w:rPr>
      </w:pPr>
      <w:r>
        <w:rPr>
          <w:rFonts w:ascii="Arial" w:cs="Arial" w:eastAsia="Arial" w:hAnsi="Arial"/>
          <w:sz w:val="18"/>
          <w:szCs w:val="18"/>
          <w:b w:val="1"/>
          <w:bCs w:val="1"/>
          <w:color w:val="auto"/>
        </w:rPr>
        <w:t>Atlantic Security Holding Corporation</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Atlantic Security Holding Corp.</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Calle 50 y Aquilino de la Guardia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Torre Banco Continental Pisos 28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Panama, Republic of Panama</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color w:val="auto"/>
        </w:rPr>
        <w:t>Citizenship:</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See Item 4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59"/>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b w:val="1"/>
                <w:bCs w:val="1"/>
                <w:color w:val="auto"/>
                <w:w w:val="93"/>
              </w:rPr>
              <w:t>Common Shares</w:t>
            </w:r>
          </w:p>
        </w:tc>
        <w:tc>
          <w:tcPr>
            <w:tcW w:w="860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640" w:type="dxa"/>
            <w:vAlign w:val="bottom"/>
          </w:tcPr>
          <w:p>
            <w:pPr>
              <w:ind w:left="280"/>
              <w:spacing w:after="0"/>
              <w:rPr>
                <w:sz w:val="20"/>
                <w:szCs w:val="20"/>
                <w:color w:val="auto"/>
              </w:rPr>
            </w:pPr>
            <w:r>
              <w:rPr>
                <w:rFonts w:ascii="Arial" w:cs="Arial" w:eastAsia="Arial" w:hAnsi="Arial"/>
                <w:sz w:val="18"/>
                <w:szCs w:val="18"/>
                <w:color w:val="auto"/>
              </w:rPr>
              <w:t>Cusip Number:</w:t>
            </w:r>
          </w:p>
        </w:tc>
        <w:tc>
          <w:tcPr>
            <w:tcW w:w="860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b w:val="1"/>
                <w:bCs w:val="1"/>
                <w:color w:val="auto"/>
              </w:rPr>
              <w:t>G2519Y 10 8</w:t>
            </w:r>
          </w:p>
        </w:tc>
        <w:tc>
          <w:tcPr>
            <w:tcW w:w="860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If this statement is filed pursuant to Rules 13d-1(b), or 13d-2(b), check whether the person filing is a:</w:t>
            </w:r>
          </w:p>
        </w:tc>
      </w:tr>
      <w:tr>
        <w:trPr>
          <w:trHeight w:val="459"/>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b w:val="1"/>
                <w:bCs w:val="1"/>
                <w:color w:val="auto"/>
              </w:rPr>
              <w:t>Not Applicable.</w:t>
            </w:r>
          </w:p>
        </w:tc>
        <w:tc>
          <w:tcPr>
            <w:tcW w:w="860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(a) o</w:t>
            </w:r>
          </w:p>
        </w:tc>
        <w:tc>
          <w:tcPr>
            <w:tcW w:w="8600" w:type="dxa"/>
            <w:vAlign w:val="bottom"/>
          </w:tcPr>
          <w:p>
            <w:pPr>
              <w:ind w:left="10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(b) o</w:t>
            </w:r>
          </w:p>
        </w:tc>
        <w:tc>
          <w:tcPr>
            <w:tcW w:w="8600" w:type="dxa"/>
            <w:vAlign w:val="bottom"/>
          </w:tcPr>
          <w:p>
            <w:pPr>
              <w:ind w:left="100"/>
              <w:spacing w:after="0"/>
              <w:rPr>
                <w:sz w:val="20"/>
                <w:szCs w:val="20"/>
                <w:color w:val="auto"/>
              </w:rPr>
            </w:pPr>
            <w:r>
              <w:rPr>
                <w:rFonts w:ascii="Arial" w:cs="Arial" w:eastAsia="Arial" w:hAnsi="Arial"/>
                <w:sz w:val="18"/>
                <w:szCs w:val="18"/>
                <w:color w:val="auto"/>
              </w:rPr>
              <w:t>Bank as defined in Section 3(a)(6) of the Act (15 U.S.C. 78c)</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(c) o</w:t>
            </w:r>
          </w:p>
        </w:tc>
        <w:tc>
          <w:tcPr>
            <w:tcW w:w="8600" w:type="dxa"/>
            <w:vAlign w:val="bottom"/>
          </w:tcPr>
          <w:p>
            <w:pPr>
              <w:ind w:left="10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(d) o</w:t>
            </w:r>
          </w:p>
        </w:tc>
        <w:tc>
          <w:tcPr>
            <w:tcW w:w="8600" w:type="dxa"/>
            <w:vAlign w:val="bottom"/>
          </w:tcPr>
          <w:p>
            <w:pPr>
              <w:ind w:left="100"/>
              <w:spacing w:after="0"/>
              <w:rPr>
                <w:sz w:val="20"/>
                <w:szCs w:val="20"/>
                <w:color w:val="auto"/>
              </w:rPr>
            </w:pPr>
            <w:r>
              <w:rPr>
                <w:rFonts w:ascii="Arial" w:cs="Arial" w:eastAsia="Arial" w:hAnsi="Arial"/>
                <w:sz w:val="18"/>
                <w:szCs w:val="18"/>
                <w:color w:val="auto"/>
                <w:w w:val="99"/>
              </w:rPr>
              <w:t>Investment company registered under Section 8 of the Investment Company Act of 1940 (15 U.S.C. 80a-8)</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(e) o</w:t>
            </w:r>
          </w:p>
        </w:tc>
        <w:tc>
          <w:tcPr>
            <w:tcW w:w="8600" w:type="dxa"/>
            <w:vAlign w:val="bottom"/>
          </w:tcPr>
          <w:p>
            <w:pPr>
              <w:ind w:left="100"/>
              <w:spacing w:after="0"/>
              <w:rPr>
                <w:sz w:val="20"/>
                <w:szCs w:val="20"/>
                <w:color w:val="auto"/>
              </w:rPr>
            </w:pPr>
            <w:r>
              <w:rPr>
                <w:rFonts w:ascii="Arial" w:cs="Arial" w:eastAsia="Arial" w:hAnsi="Arial"/>
                <w:sz w:val="18"/>
                <w:szCs w:val="18"/>
                <w:color w:val="auto"/>
              </w:rPr>
              <w:t>An investment adviser in accordance with §240.13d-1(b)(1)(ii)(E)</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(f) o</w:t>
            </w:r>
          </w:p>
        </w:tc>
        <w:tc>
          <w:tcPr>
            <w:tcW w:w="8600" w:type="dxa"/>
            <w:vAlign w:val="bottom"/>
          </w:tcPr>
          <w:p>
            <w:pPr>
              <w:ind w:left="10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(g) o</w:t>
            </w:r>
          </w:p>
        </w:tc>
        <w:tc>
          <w:tcPr>
            <w:tcW w:w="8600" w:type="dxa"/>
            <w:vAlign w:val="bottom"/>
          </w:tcPr>
          <w:p>
            <w:pPr>
              <w:ind w:left="100"/>
              <w:spacing w:after="0"/>
              <w:rPr>
                <w:sz w:val="20"/>
                <w:szCs w:val="20"/>
                <w:color w:val="auto"/>
              </w:rPr>
            </w:pPr>
            <w:r>
              <w:rPr>
                <w:rFonts w:ascii="Arial" w:cs="Arial" w:eastAsia="Arial" w:hAnsi="Arial"/>
                <w:sz w:val="18"/>
                <w:szCs w:val="18"/>
                <w:color w:val="auto"/>
              </w:rPr>
              <w:t>A parent holding company or control person in accordance with §240.13d-1(b)(ii)(G)</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(h) o</w:t>
            </w:r>
          </w:p>
        </w:tc>
        <w:tc>
          <w:tcPr>
            <w:tcW w:w="8600" w:type="dxa"/>
            <w:vAlign w:val="bottom"/>
          </w:tcPr>
          <w:p>
            <w:pPr>
              <w:ind w:left="100"/>
              <w:spacing w:after="0"/>
              <w:rPr>
                <w:sz w:val="20"/>
                <w:szCs w:val="20"/>
                <w:color w:val="auto"/>
              </w:rPr>
            </w:pPr>
            <w:r>
              <w:rPr>
                <w:rFonts w:ascii="Arial" w:cs="Arial" w:eastAsia="Arial" w:hAnsi="Arial"/>
                <w:sz w:val="18"/>
                <w:szCs w:val="18"/>
                <w:color w:val="auto"/>
              </w:rPr>
              <w:t>A savings associations as defined in Section 3(b) of the Federal Deposit Insurance Act</w:t>
            </w:r>
          </w:p>
        </w:tc>
      </w:tr>
      <w:tr>
        <w:trPr>
          <w:trHeight w:val="418"/>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(i) o</w:t>
            </w:r>
          </w:p>
        </w:tc>
        <w:tc>
          <w:tcPr>
            <w:tcW w:w="8600" w:type="dxa"/>
            <w:vAlign w:val="bottom"/>
          </w:tcPr>
          <w:p>
            <w:pPr>
              <w:ind w:left="10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w:t>
            </w:r>
          </w:p>
        </w:tc>
      </w:tr>
      <w:tr>
        <w:trPr>
          <w:trHeight w:val="230"/>
        </w:trPr>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0" w:type="dxa"/>
            <w:vAlign w:val="bottom"/>
          </w:tcPr>
          <w:p>
            <w:pPr>
              <w:ind w:left="100"/>
              <w:spacing w:after="0"/>
              <w:rPr>
                <w:sz w:val="20"/>
                <w:szCs w:val="20"/>
                <w:color w:val="auto"/>
              </w:rPr>
            </w:pPr>
            <w:r>
              <w:rPr>
                <w:rFonts w:ascii="Arial" w:cs="Arial" w:eastAsia="Arial" w:hAnsi="Arial"/>
                <w:sz w:val="18"/>
                <w:szCs w:val="18"/>
                <w:color w:val="auto"/>
              </w:rPr>
              <w:t>Company Act of 1940 (15 U.S.C. 80a-3)</w:t>
            </w:r>
          </w:p>
        </w:tc>
      </w:tr>
      <w:tr>
        <w:trPr>
          <w:trHeight w:val="432"/>
        </w:trPr>
        <w:tc>
          <w:tcPr>
            <w:tcW w:w="1020" w:type="dxa"/>
            <w:vAlign w:val="bottom"/>
          </w:tcPr>
          <w:p>
            <w:pPr>
              <w:spacing w:after="0"/>
              <w:rPr>
                <w:sz w:val="24"/>
                <w:szCs w:val="24"/>
                <w:color w:val="auto"/>
              </w:rPr>
            </w:pPr>
          </w:p>
        </w:tc>
        <w:tc>
          <w:tcPr>
            <w:tcW w:w="1640" w:type="dxa"/>
            <w:vAlign w:val="bottom"/>
          </w:tcPr>
          <w:p>
            <w:pPr>
              <w:ind w:left="280"/>
              <w:spacing w:after="0"/>
              <w:rPr>
                <w:sz w:val="20"/>
                <w:szCs w:val="20"/>
                <w:color w:val="auto"/>
              </w:rPr>
            </w:pPr>
            <w:r>
              <w:rPr>
                <w:rFonts w:ascii="Arial" w:cs="Arial" w:eastAsia="Arial" w:hAnsi="Arial"/>
                <w:sz w:val="18"/>
                <w:szCs w:val="18"/>
                <w:color w:val="auto"/>
              </w:rPr>
              <w:t>(j) o</w:t>
            </w:r>
          </w:p>
        </w:tc>
        <w:tc>
          <w:tcPr>
            <w:tcW w:w="8600" w:type="dxa"/>
            <w:vAlign w:val="bottom"/>
          </w:tcPr>
          <w:p>
            <w:pPr>
              <w:ind w:left="100"/>
              <w:spacing w:after="0"/>
              <w:rPr>
                <w:sz w:val="20"/>
                <w:szCs w:val="20"/>
                <w:color w:val="auto"/>
              </w:rPr>
            </w:pPr>
            <w:r>
              <w:rPr>
                <w:rFonts w:ascii="Arial" w:cs="Arial" w:eastAsia="Arial" w:hAnsi="Arial"/>
                <w:sz w:val="18"/>
                <w:szCs w:val="18"/>
                <w:color w:val="auto"/>
              </w:rPr>
              <w:t>Group, in accordance with §240.13d-1(b)(1)(ii)(J)</w:t>
            </w:r>
          </w:p>
        </w:tc>
      </w:tr>
      <w:tr>
        <w:trPr>
          <w:trHeight w:val="459"/>
        </w:trPr>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640" w:type="dxa"/>
            <w:vAlign w:val="bottom"/>
          </w:tcPr>
          <w:p>
            <w:pPr>
              <w:ind w:left="280"/>
              <w:spacing w:after="0"/>
              <w:rPr>
                <w:sz w:val="20"/>
                <w:szCs w:val="20"/>
                <w:color w:val="auto"/>
              </w:rPr>
            </w:pPr>
            <w:r>
              <w:rPr>
                <w:rFonts w:ascii="Arial" w:cs="Arial" w:eastAsia="Arial" w:hAnsi="Arial"/>
                <w:sz w:val="18"/>
                <w:szCs w:val="18"/>
                <w:b w:val="1"/>
                <w:bCs w:val="1"/>
                <w:color w:val="auto"/>
              </w:rPr>
              <w:t>Ownership</w:t>
            </w:r>
          </w:p>
        </w:tc>
        <w:tc>
          <w:tcPr>
            <w:tcW w:w="8600" w:type="dxa"/>
            <w:vAlign w:val="bottom"/>
          </w:tcPr>
          <w:p>
            <w:pPr>
              <w:spacing w:after="0"/>
              <w:rPr>
                <w:sz w:val="24"/>
                <w:szCs w:val="24"/>
                <w:color w:val="auto"/>
              </w:rPr>
            </w:pPr>
          </w:p>
        </w:tc>
      </w:tr>
    </w:tbl>
    <w:p>
      <w:pPr>
        <w:spacing w:after="0" w:line="229" w:lineRule="exact"/>
        <w:rPr>
          <w:sz w:val="20"/>
          <w:szCs w:val="20"/>
          <w:color w:val="auto"/>
        </w:rPr>
      </w:pPr>
    </w:p>
    <w:p>
      <w:pPr>
        <w:ind w:left="1300" w:right="7820" w:hanging="644"/>
        <w:spacing w:after="0" w:line="563"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 Beneficially Owned: See Item 9 on Page 2</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Item 11 on Page 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960" w:right="6440" w:hanging="655"/>
        <w:spacing w:after="0" w:line="559"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(ii)</w:t>
            </w:r>
          </w:p>
        </w:tc>
        <w:tc>
          <w:tcPr>
            <w:tcW w:w="966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r>
      <w:tr>
        <w:trPr>
          <w:trHeight w:val="459"/>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See Item 6 on Page 2.</w:t>
            </w:r>
          </w:p>
        </w:tc>
      </w:tr>
      <w:tr>
        <w:trPr>
          <w:trHeight w:val="445"/>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9"/>
              </w:rPr>
              <w:t>The information in Items 6, 9 and 11 above include 4,149,763 shares held by ASHC’s subsidiary, Atlantic Security Bank</w:t>
            </w:r>
          </w:p>
        </w:tc>
      </w:tr>
      <w:tr>
        <w:trPr>
          <w:trHeight w:val="216"/>
        </w:trPr>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(ASB). These 4,149,763 shares are held by ASB on behalf of clients as part of the Private Banking Services that ASB provides,</w:t>
            </w:r>
          </w:p>
        </w:tc>
      </w:tr>
      <w:tr>
        <w:trPr>
          <w:trHeight w:val="216"/>
        </w:trPr>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and which shares are purchased or sold based on client instruction. Clients can decide at any time to exercise their voting power in</w:t>
            </w:r>
          </w:p>
        </w:tc>
      </w:tr>
      <w:tr>
        <w:trPr>
          <w:trHeight w:val="216"/>
        </w:trPr>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any Shareholders’ Meeting.  ASB does not have the power to dispose of these shares.  Because the shares are held by ASB on</w:t>
            </w:r>
          </w:p>
        </w:tc>
      </w:tr>
      <w:tr>
        <w:trPr>
          <w:trHeight w:val="216"/>
        </w:trPr>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behalf of clients, which have the power to vote the shares, ASHC disclaims beneficial ownership of the shares. The filing of this</w:t>
            </w:r>
          </w:p>
        </w:tc>
      </w:tr>
      <w:tr>
        <w:trPr>
          <w:trHeight w:val="216"/>
        </w:trPr>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Schedule 13G by ASHC should not be construed as an admission that ASHC is, for purposes of section 13(d) or 13(g) of the</w:t>
            </w:r>
          </w:p>
        </w:tc>
      </w:tr>
      <w:tr>
        <w:trPr>
          <w:trHeight w:val="216"/>
        </w:trPr>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Securities Exchange Act of 1934, as amended (the “Exchange Act”), the beneficial owner of the 4,149,763 Credicorp shares held</w:t>
            </w:r>
          </w:p>
        </w:tc>
      </w:tr>
      <w:tr>
        <w:trPr>
          <w:trHeight w:val="230"/>
        </w:trPr>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by ASB on behalf of clients and included in this Schedule 13G.</w:t>
            </w:r>
          </w:p>
        </w:tc>
      </w:tr>
      <w:tr>
        <w:trPr>
          <w:trHeight w:val="459"/>
        </w:trPr>
        <w:tc>
          <w:tcPr>
            <w:tcW w:w="9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(iii)</w:t>
            </w:r>
          </w:p>
        </w:tc>
        <w:tc>
          <w:tcPr>
            <w:tcW w:w="966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r>
      <w:tr>
        <w:trPr>
          <w:trHeight w:val="459"/>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See Item 7 on Page 2</w:t>
            </w:r>
          </w:p>
        </w:tc>
      </w:tr>
      <w:tr>
        <w:trPr>
          <w:trHeight w:val="459"/>
        </w:trPr>
        <w:tc>
          <w:tcPr>
            <w:tcW w:w="9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(iv)</w:t>
            </w:r>
          </w:p>
        </w:tc>
        <w:tc>
          <w:tcPr>
            <w:tcW w:w="966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459"/>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See Item 8 on Page 2</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Ownership of Five Percent or Less of a Class</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See the explanation under Item 4(c)(ii), above.</w:t>
            </w:r>
          </w:p>
        </w:tc>
      </w:tr>
      <w:tr>
        <w:trPr>
          <w:trHeight w:val="445"/>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w w:val="96"/>
              </w:rPr>
              <w:t>Identification and Classification of the Subsidiary which Acquired the Security Being Reported on by the Parent Holding Company or</w:t>
            </w:r>
          </w:p>
        </w:tc>
      </w:tr>
      <w:tr>
        <w:trPr>
          <w:trHeight w:val="230"/>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Control Person</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See the explanation under Item 4(c)(ii), above.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Notice of Dissolution of Group</w:t>
            </w:r>
          </w:p>
        </w:tc>
      </w:tr>
      <w:tr>
        <w:trPr>
          <w:trHeight w:val="459"/>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Certification</w:t>
            </w:r>
          </w:p>
        </w:tc>
      </w:tr>
      <w:tr>
        <w:trPr>
          <w:trHeight w:val="441"/>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By signing below, I certify that, to the best of my knowledge and belief, the securities referred to above were not acquired and are</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not held for the purpose of or with the effect of changing or influencing the control of the issuer of the securities and were not</w:t>
            </w:r>
          </w:p>
        </w:tc>
      </w:tr>
      <w:tr>
        <w:trPr>
          <w:trHeight w:val="234"/>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acquired and are not held in connection with or as a participant in any transaction having that purpose or effect.</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February 16, 2010</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Atlantic Security Holding Corporation</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Eduardo Montero</w:t>
      </w:r>
    </w:p>
    <w:p>
      <w:pPr>
        <w:spacing w:after="0" w:line="320" w:lineRule="exact"/>
        <w:rPr>
          <w:sz w:val="20"/>
          <w:szCs w:val="20"/>
          <w:color w:val="auto"/>
        </w:rPr>
      </w:pPr>
    </w:p>
    <w:p>
      <w:pPr>
        <w:ind w:left="5380"/>
        <w:spacing w:after="0"/>
        <w:tabs>
          <w:tab w:leader="none" w:pos="6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Eduardo Montero</w:t>
      </w:r>
    </w:p>
    <w:p>
      <w:pPr>
        <w:spacing w:after="0" w:line="23" w:lineRule="exact"/>
        <w:rPr>
          <w:sz w:val="20"/>
          <w:szCs w:val="20"/>
          <w:color w:val="auto"/>
        </w:rPr>
      </w:pPr>
    </w:p>
    <w:p>
      <w:pPr>
        <w:ind w:left="538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2019-12-10T13:10:12Z</dcterms:created>
  <dcterms:modified xsi:type="dcterms:W3CDTF">2019-12-10T13:10:12Z</dcterms:modified>
</cp:coreProperties>
</file>