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755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7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  <w:w w:val="99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  <w:w w:val="99"/>
                </w:rPr>
                <w:t>Paredes Manrique Juan</w:t>
              </w:r>
            </w:hyperlink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3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Lizardo</w:t>
              </w:r>
            </w:hyperlink>
          </w:p>
        </w:tc>
        <w:tc>
          <w:tcPr>
            <w:tcW w:w="1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CREDICORP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BAP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CALLE CENTENARIO 156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LA MOLINA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LIMA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R5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15026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2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Juan Lizardo Paredes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04/10/2026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Manrique</w:t>
            </w:r>
          </w:p>
        </w:tc>
        <w:tc>
          <w:tcPr>
            <w:tcW w:w="9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8699" TargetMode="External"/><Relationship Id="rId11" Type="http://schemas.openxmlformats.org/officeDocument/2006/relationships/hyperlink" Target="http://www.sec.gov/cgi-bin/browse-edgar?action=getcompany&amp;CIK=00010012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2026-04-10T14:17:36Z</dcterms:created>
  <dcterms:modified xsi:type="dcterms:W3CDTF">2026-04-10T14:17:36Z</dcterms:modified>
</cp:coreProperties>
</file>