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March 2023</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196"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CREDICORP LTD.</w:t>
      </w:r>
    </w:p>
    <w:p>
      <w:pPr>
        <w:spacing w:after="0" w:line="5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 l5026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8574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85745" cy="394335"/>
                    </a:xfrm>
                    <a:prstGeom prst="rect">
                      <a:avLst/>
                    </a:prstGeom>
                    <a:noFill/>
                  </pic:spPr>
                </pic:pic>
              </a:graphicData>
            </a:graphic>
          </wp:anchor>
        </w:drawing>
        <w:t>March 31,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hereby notify you as a Material Event that the company Fitch Ratings has affirmed the credit rating of Credicorp Ltd. (Credicorp) at ‘BBB’ with a Negative Outlook.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Form 6-K regarding the rating of Fitch Ratings has been disclosed in Peru in conformity with Peruvian law (Article 30 of the Capital Markets Law, approved by Supreme Decree 020-2023-EF, and by the Regulation of the Disclosure of Material Events and Reserved Information approved by Resolution 005-2014-SMV/01 of the Peruvian Capital Markets Superintendency). The ratings of Fitch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Date: March 31, 2023</w:t>
      </w: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2802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12"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Miriam Böttger</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21"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2023-04-03T05:38:43Z</dcterms:created>
  <dcterms:modified xsi:type="dcterms:W3CDTF">2023-04-03T05:38:43Z</dcterms:modified>
</cp:coreProperties>
</file>