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
        <w:spacing w:after="0"/>
        <w:rPr>
          <w:sz w:val="20"/>
          <w:szCs w:val="20"/>
          <w:color w:val="auto"/>
        </w:rPr>
      </w:pPr>
      <w:r>
        <w:rPr>
          <w:rFonts w:ascii="Courier New" w:cs="Courier New" w:eastAsia="Courier New" w:hAnsi="Courier New"/>
          <w:sz w:val="15"/>
          <w:szCs w:val="15"/>
          <w:color w:val="auto"/>
        </w:rPr>
        <w:t>February 18, 2003</w:t>
      </w:r>
    </w:p>
    <w:p>
      <w:pPr>
        <w:spacing w:after="0" w:line="342" w:lineRule="exact"/>
        <w:rPr>
          <w:sz w:val="24"/>
          <w:szCs w:val="24"/>
          <w:color w:val="auto"/>
        </w:rPr>
      </w:pPr>
    </w:p>
    <w:p>
      <w:pPr>
        <w:ind w:left="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 w:lineRule="exact"/>
        <w:rPr>
          <w:sz w:val="24"/>
          <w:szCs w:val="24"/>
          <w:color w:val="auto"/>
        </w:rPr>
      </w:pPr>
    </w:p>
    <w:p>
      <w:pPr>
        <w:ind w:left="9"/>
        <w:spacing w:after="0"/>
        <w:rPr>
          <w:sz w:val="20"/>
          <w:szCs w:val="20"/>
          <w:color w:val="auto"/>
        </w:rPr>
      </w:pPr>
      <w:r>
        <w:rPr>
          <w:rFonts w:ascii="Courier New" w:cs="Courier New" w:eastAsia="Courier New" w:hAnsi="Courier New"/>
          <w:sz w:val="15"/>
          <w:szCs w:val="15"/>
          <w:color w:val="auto"/>
        </w:rPr>
        <w:t>450 Fifth Street, N.W.,</w:t>
      </w:r>
    </w:p>
    <w:p>
      <w:pPr>
        <w:spacing w:after="0" w:line="1" w:lineRule="exact"/>
        <w:rPr>
          <w:sz w:val="24"/>
          <w:szCs w:val="24"/>
          <w:color w:val="auto"/>
        </w:rPr>
      </w:pPr>
    </w:p>
    <w:p>
      <w:pPr>
        <w:ind w:left="9"/>
        <w:spacing w:after="0"/>
        <w:rPr>
          <w:sz w:val="20"/>
          <w:szCs w:val="20"/>
          <w:color w:val="auto"/>
        </w:rPr>
      </w:pPr>
      <w:r>
        <w:rPr>
          <w:rFonts w:ascii="Courier New" w:cs="Courier New" w:eastAsia="Courier New" w:hAnsi="Courier New"/>
          <w:sz w:val="15"/>
          <w:szCs w:val="15"/>
          <w:color w:val="auto"/>
        </w:rPr>
        <w:t>Washington, D.C. 20549</w:t>
      </w:r>
    </w:p>
    <w:p>
      <w:pPr>
        <w:spacing w:after="0" w:line="171" w:lineRule="exact"/>
        <w:rPr>
          <w:sz w:val="24"/>
          <w:szCs w:val="24"/>
          <w:color w:val="auto"/>
        </w:rPr>
      </w:pPr>
    </w:p>
    <w:p>
      <w:pPr>
        <w:ind w:left="9"/>
        <w:spacing w:after="0"/>
        <w:rPr>
          <w:sz w:val="20"/>
          <w:szCs w:val="20"/>
          <w:color w:val="auto"/>
        </w:rPr>
      </w:pPr>
      <w:r>
        <w:rPr>
          <w:rFonts w:ascii="Courier New" w:cs="Courier New" w:eastAsia="Courier New" w:hAnsi="Courier New"/>
          <w:sz w:val="15"/>
          <w:szCs w:val="15"/>
          <w:color w:val="auto"/>
        </w:rPr>
        <w:t>Re: Credicorp Ltd. - Report on Form 6-K</w:t>
      </w:r>
    </w:p>
    <w:p>
      <w:pPr>
        <w:spacing w:after="0" w:line="342" w:lineRule="exact"/>
        <w:rPr>
          <w:sz w:val="24"/>
          <w:szCs w:val="24"/>
          <w:color w:val="auto"/>
        </w:rPr>
      </w:pPr>
    </w:p>
    <w:p>
      <w:pPr>
        <w:ind w:left="9"/>
        <w:spacing w:after="0"/>
        <w:rPr>
          <w:sz w:val="20"/>
          <w:szCs w:val="20"/>
          <w:color w:val="auto"/>
        </w:rPr>
      </w:pPr>
      <w:r>
        <w:rPr>
          <w:rFonts w:ascii="Courier New" w:cs="Courier New" w:eastAsia="Courier New" w:hAnsi="Courier New"/>
          <w:sz w:val="15"/>
          <w:szCs w:val="15"/>
          <w:color w:val="auto"/>
        </w:rPr>
        <w:t>Dear Sirs:</w:t>
      </w:r>
    </w:p>
    <w:p>
      <w:pPr>
        <w:spacing w:after="0" w:line="174" w:lineRule="exact"/>
        <w:rPr>
          <w:sz w:val="24"/>
          <w:szCs w:val="24"/>
          <w:color w:val="auto"/>
        </w:rPr>
      </w:pPr>
    </w:p>
    <w:p>
      <w:pPr>
        <w:ind w:left="9" w:right="3219"/>
        <w:spacing w:after="0"/>
        <w:rPr>
          <w:sz w:val="20"/>
          <w:szCs w:val="20"/>
          <w:color w:val="auto"/>
        </w:rPr>
      </w:pPr>
      <w:r>
        <w:rPr>
          <w:rFonts w:ascii="Courier New" w:cs="Courier New" w:eastAsia="Courier New" w:hAnsi="Courier New"/>
          <w:sz w:val="15"/>
          <w:szCs w:val="15"/>
          <w:color w:val="auto"/>
        </w:rPr>
        <w:t>On behalf of Credicorp Ltd. (the "Company"), I hereby notify you of the following Material Event on the Company's Report on Form 6-K (the "Form 6-K"). The attached Material Event ("Hecho de Importancia") are being furnished to the Securities and Exchange Commission pursuant to Rule 13a-16 and Form 6-K under the Securities Exchange Act of 1934, as amended.</w:t>
      </w:r>
    </w:p>
    <w:p>
      <w:pPr>
        <w:spacing w:after="0" w:line="172" w:lineRule="exact"/>
        <w:rPr>
          <w:sz w:val="24"/>
          <w:szCs w:val="24"/>
          <w:color w:val="auto"/>
        </w:rPr>
      </w:pPr>
    </w:p>
    <w:p>
      <w:pPr>
        <w:ind w:left="9"/>
        <w:spacing w:after="0"/>
        <w:rPr>
          <w:sz w:val="20"/>
          <w:szCs w:val="20"/>
          <w:color w:val="auto"/>
        </w:rPr>
      </w:pPr>
      <w:r>
        <w:rPr>
          <w:rFonts w:ascii="Courier New" w:cs="Courier New" w:eastAsia="Courier New" w:hAnsi="Courier New"/>
          <w:sz w:val="15"/>
          <w:szCs w:val="15"/>
          <w:color w:val="auto"/>
        </w:rPr>
        <w:t>This Report contains a copy of the following:</w:t>
      </w:r>
    </w:p>
    <w:p>
      <w:pPr>
        <w:spacing w:after="0" w:line="174" w:lineRule="exact"/>
        <w:rPr>
          <w:sz w:val="24"/>
          <w:szCs w:val="24"/>
          <w:color w:val="auto"/>
        </w:rPr>
      </w:pPr>
    </w:p>
    <w:p>
      <w:pPr>
        <w:ind w:left="449" w:right="2959" w:hanging="449"/>
        <w:spacing w:after="0" w:line="238" w:lineRule="auto"/>
        <w:tabs>
          <w:tab w:leader="none" w:pos="183"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Notice of Material Event, submitted to CONASEV and the "Bolsa de Valores de Lima" on February 11, 2003.</w:t>
      </w:r>
    </w:p>
    <w:p>
      <w:pPr>
        <w:spacing w:after="0" w:line="175" w:lineRule="exact"/>
        <w:rPr>
          <w:sz w:val="24"/>
          <w:szCs w:val="24"/>
          <w:color w:val="auto"/>
        </w:rPr>
      </w:pPr>
    </w:p>
    <w:p>
      <w:pPr>
        <w:ind w:left="9" w:right="3399"/>
        <w:spacing w:after="0" w:line="238" w:lineRule="auto"/>
        <w:rPr>
          <w:sz w:val="20"/>
          <w:szCs w:val="20"/>
          <w:color w:val="auto"/>
        </w:rPr>
      </w:pPr>
      <w:r>
        <w:rPr>
          <w:rFonts w:ascii="Courier New" w:cs="Courier New" w:eastAsia="Courier New" w:hAnsi="Courier New"/>
          <w:sz w:val="15"/>
          <w:szCs w:val="15"/>
          <w:color w:val="auto"/>
        </w:rPr>
        <w:t>Please direct any questions or comments you may have regarding this filing to the undersigned at 156 Calle Centenario, La Molina, Lima - 12 Peru.</w:t>
      </w:r>
    </w:p>
    <w:p>
      <w:pPr>
        <w:spacing w:after="0" w:line="175" w:lineRule="exact"/>
        <w:rPr>
          <w:sz w:val="24"/>
          <w:szCs w:val="24"/>
          <w:color w:val="auto"/>
        </w:rPr>
      </w:pPr>
    </w:p>
    <w:p>
      <w:pPr>
        <w:jc w:val="both"/>
        <w:ind w:left="9" w:right="3839"/>
        <w:spacing w:after="0" w:line="239"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172" w:lineRule="exact"/>
        <w:rPr>
          <w:sz w:val="24"/>
          <w:szCs w:val="24"/>
          <w:color w:val="auto"/>
        </w:rPr>
      </w:pPr>
    </w:p>
    <w:p>
      <w:pPr>
        <w:ind w:left="3189"/>
        <w:spacing w:after="0"/>
        <w:rPr>
          <w:sz w:val="20"/>
          <w:szCs w:val="20"/>
          <w:color w:val="auto"/>
        </w:rPr>
      </w:pPr>
      <w:r>
        <w:rPr>
          <w:rFonts w:ascii="Courier New" w:cs="Courier New" w:eastAsia="Courier New" w:hAnsi="Courier New"/>
          <w:sz w:val="15"/>
          <w:szCs w:val="15"/>
          <w:color w:val="auto"/>
        </w:rPr>
        <w:t>Credicorp Ltd.</w:t>
      </w:r>
    </w:p>
    <w:p>
      <w:pPr>
        <w:spacing w:after="0" w:line="171" w:lineRule="exact"/>
        <w:rPr>
          <w:sz w:val="24"/>
          <w:szCs w:val="24"/>
          <w:color w:val="auto"/>
        </w:rPr>
      </w:pPr>
    </w:p>
    <w:p>
      <w:pPr>
        <w:ind w:left="3189"/>
        <w:spacing w:after="0"/>
        <w:rPr>
          <w:sz w:val="20"/>
          <w:szCs w:val="20"/>
          <w:color w:val="auto"/>
        </w:rPr>
      </w:pPr>
      <w:r>
        <w:rPr>
          <w:rFonts w:ascii="Courier New" w:cs="Courier New" w:eastAsia="Courier New" w:hAnsi="Courier New"/>
          <w:sz w:val="15"/>
          <w:szCs w:val="15"/>
          <w:color w:val="auto"/>
        </w:rPr>
        <w:t>Name: Ray Campos</w:t>
      </w:r>
    </w:p>
    <w:p>
      <w:pPr>
        <w:spacing w:after="0" w:line="1" w:lineRule="exact"/>
        <w:rPr>
          <w:sz w:val="24"/>
          <w:szCs w:val="24"/>
          <w:color w:val="auto"/>
        </w:rPr>
      </w:pPr>
    </w:p>
    <w:p>
      <w:pPr>
        <w:ind w:left="3189"/>
        <w:spacing w:after="0"/>
        <w:rPr>
          <w:sz w:val="20"/>
          <w:szCs w:val="20"/>
          <w:color w:val="auto"/>
        </w:rPr>
      </w:pPr>
      <w:r>
        <w:rPr>
          <w:rFonts w:ascii="Courier New" w:cs="Courier New" w:eastAsia="Courier New" w:hAnsi="Courier New"/>
          <w:sz w:val="15"/>
          <w:szCs w:val="15"/>
          <w:color w:val="auto"/>
        </w:rPr>
        <w:t>Title: Authorized Representative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ind w:left="2129"/>
        <w:spacing w:after="0"/>
        <w:rPr>
          <w:sz w:val="20"/>
          <w:szCs w:val="20"/>
          <w:color w:val="auto"/>
        </w:rPr>
      </w:pPr>
      <w:r>
        <w:rPr>
          <w:rFonts w:ascii="Courier New" w:cs="Courier New" w:eastAsia="Courier New" w:hAnsi="Courier New"/>
          <w:sz w:val="15"/>
          <w:szCs w:val="15"/>
          <w:color w:val="auto"/>
        </w:rPr>
        <w:t>SECURITIES AND EXCHAGE COMMISSION</w:t>
      </w:r>
    </w:p>
    <w:p>
      <w:pPr>
        <w:spacing w:after="0" w:line="1" w:lineRule="exact"/>
        <w:rPr>
          <w:sz w:val="24"/>
          <w:szCs w:val="24"/>
          <w:color w:val="auto"/>
        </w:rPr>
      </w:pPr>
    </w:p>
    <w:p>
      <w:pPr>
        <w:ind w:left="2669"/>
        <w:spacing w:after="0"/>
        <w:rPr>
          <w:sz w:val="20"/>
          <w:szCs w:val="20"/>
          <w:color w:val="auto"/>
        </w:rPr>
      </w:pPr>
      <w:r>
        <w:rPr>
          <w:rFonts w:ascii="Courier New" w:cs="Courier New" w:eastAsia="Courier New" w:hAnsi="Courier New"/>
          <w:sz w:val="15"/>
          <w:szCs w:val="15"/>
          <w:color w:val="auto"/>
        </w:rPr>
        <w:t>Washington, DC 20549</w:t>
      </w:r>
    </w:p>
    <w:p>
      <w:pPr>
        <w:spacing w:after="0" w:line="171" w:lineRule="exact"/>
        <w:rPr>
          <w:sz w:val="24"/>
          <w:szCs w:val="24"/>
          <w:color w:val="auto"/>
        </w:rPr>
      </w:pPr>
    </w:p>
    <w:p>
      <w:pPr>
        <w:ind w:left="3189"/>
        <w:spacing w:after="0"/>
        <w:rPr>
          <w:sz w:val="20"/>
          <w:szCs w:val="20"/>
          <w:color w:val="auto"/>
        </w:rPr>
      </w:pPr>
      <w:r>
        <w:rPr>
          <w:rFonts w:ascii="Courier New" w:cs="Courier New" w:eastAsia="Courier New" w:hAnsi="Courier New"/>
          <w:sz w:val="15"/>
          <w:szCs w:val="15"/>
          <w:color w:val="auto"/>
        </w:rPr>
        <w:t>________</w:t>
      </w:r>
    </w:p>
    <w:p>
      <w:pPr>
        <w:spacing w:after="0" w:line="171" w:lineRule="exact"/>
        <w:rPr>
          <w:sz w:val="24"/>
          <w:szCs w:val="24"/>
          <w:color w:val="auto"/>
        </w:rPr>
      </w:pPr>
    </w:p>
    <w:p>
      <w:pPr>
        <w:jc w:val="center"/>
        <w:ind w:right="3110"/>
        <w:spacing w:after="0"/>
        <w:rPr>
          <w:sz w:val="20"/>
          <w:szCs w:val="20"/>
          <w:color w:val="auto"/>
        </w:rPr>
      </w:pPr>
      <w:r>
        <w:rPr>
          <w:rFonts w:ascii="Courier New" w:cs="Courier New" w:eastAsia="Courier New" w:hAnsi="Courier New"/>
          <w:sz w:val="15"/>
          <w:szCs w:val="15"/>
          <w:color w:val="auto"/>
        </w:rPr>
        <w:t>FORM 6-K</w:t>
      </w:r>
    </w:p>
    <w:p>
      <w:pPr>
        <w:spacing w:after="0" w:line="171" w:lineRule="exact"/>
        <w:rPr>
          <w:sz w:val="24"/>
          <w:szCs w:val="24"/>
          <w:color w:val="auto"/>
        </w:rPr>
      </w:pPr>
    </w:p>
    <w:p>
      <w:pPr>
        <w:ind w:left="2129"/>
        <w:spacing w:after="0"/>
        <w:rPr>
          <w:sz w:val="20"/>
          <w:szCs w:val="20"/>
          <w:color w:val="auto"/>
        </w:rPr>
      </w:pPr>
      <w:r>
        <w:rPr>
          <w:rFonts w:ascii="Courier New" w:cs="Courier New" w:eastAsia="Courier New" w:hAnsi="Courier New"/>
          <w:sz w:val="15"/>
          <w:szCs w:val="15"/>
          <w:color w:val="auto"/>
        </w:rPr>
        <w:t>Report of Foreign Private Issuer</w:t>
      </w:r>
    </w:p>
    <w:p>
      <w:pPr>
        <w:spacing w:after="0" w:line="171" w:lineRule="exact"/>
        <w:rPr>
          <w:sz w:val="24"/>
          <w:szCs w:val="24"/>
          <w:color w:val="auto"/>
        </w:rPr>
      </w:pPr>
    </w:p>
    <w:p>
      <w:pPr>
        <w:ind w:left="2129"/>
        <w:spacing w:after="0"/>
        <w:rPr>
          <w:sz w:val="20"/>
          <w:szCs w:val="20"/>
          <w:color w:val="auto"/>
        </w:rPr>
      </w:pPr>
      <w:r>
        <w:rPr>
          <w:rFonts w:ascii="Courier New" w:cs="Courier New" w:eastAsia="Courier New" w:hAnsi="Courier New"/>
          <w:sz w:val="15"/>
          <w:szCs w:val="15"/>
          <w:color w:val="auto"/>
        </w:rPr>
        <w:t>Pursuant to Rule 13a-16 or 15d-16</w:t>
      </w:r>
    </w:p>
    <w:p>
      <w:pPr>
        <w:spacing w:after="0" w:line="1" w:lineRule="exact"/>
        <w:rPr>
          <w:sz w:val="24"/>
          <w:szCs w:val="24"/>
          <w:color w:val="auto"/>
        </w:rPr>
      </w:pPr>
    </w:p>
    <w:p>
      <w:pPr>
        <w:ind w:left="1869"/>
        <w:spacing w:after="0"/>
        <w:rPr>
          <w:sz w:val="20"/>
          <w:szCs w:val="20"/>
          <w:color w:val="auto"/>
        </w:rPr>
      </w:pPr>
      <w:r>
        <w:rPr>
          <w:rFonts w:ascii="Courier New" w:cs="Courier New" w:eastAsia="Courier New" w:hAnsi="Courier New"/>
          <w:sz w:val="15"/>
          <w:szCs w:val="15"/>
          <w:color w:val="auto"/>
        </w:rPr>
        <w:t>of the Securities Exchange Act of 1934</w:t>
      </w:r>
    </w:p>
    <w:p>
      <w:pPr>
        <w:spacing w:after="0" w:line="171" w:lineRule="exact"/>
        <w:rPr>
          <w:sz w:val="24"/>
          <w:szCs w:val="24"/>
          <w:color w:val="auto"/>
        </w:rPr>
      </w:pPr>
    </w:p>
    <w:p>
      <w:pPr>
        <w:jc w:val="center"/>
        <w:ind w:right="3030"/>
        <w:spacing w:after="0"/>
        <w:rPr>
          <w:sz w:val="20"/>
          <w:szCs w:val="20"/>
          <w:color w:val="auto"/>
        </w:rPr>
      </w:pPr>
      <w:r>
        <w:rPr>
          <w:rFonts w:ascii="Courier New" w:cs="Courier New" w:eastAsia="Courier New" w:hAnsi="Courier New"/>
          <w:sz w:val="15"/>
          <w:szCs w:val="15"/>
          <w:color w:val="auto"/>
        </w:rPr>
        <w:t>For the quarter ended December 31, 2002</w:t>
      </w:r>
    </w:p>
    <w:p>
      <w:pPr>
        <w:spacing w:after="0" w:line="171" w:lineRule="exact"/>
        <w:rPr>
          <w:sz w:val="24"/>
          <w:szCs w:val="24"/>
          <w:color w:val="auto"/>
        </w:rPr>
      </w:pPr>
    </w:p>
    <w:p>
      <w:pPr>
        <w:ind w:left="2929"/>
        <w:spacing w:after="0"/>
        <w:rPr>
          <w:sz w:val="20"/>
          <w:szCs w:val="20"/>
          <w:color w:val="auto"/>
        </w:rPr>
      </w:pPr>
      <w:r>
        <w:rPr>
          <w:rFonts w:ascii="Courier New" w:cs="Courier New" w:eastAsia="Courier New" w:hAnsi="Courier New"/>
          <w:sz w:val="15"/>
          <w:szCs w:val="15"/>
          <w:color w:val="auto"/>
        </w:rPr>
        <w:t>Credicorp Ltd.</w:t>
      </w:r>
    </w:p>
    <w:p>
      <w:pPr>
        <w:spacing w:after="0" w:line="1" w:lineRule="exact"/>
        <w:rPr>
          <w:sz w:val="24"/>
          <w:szCs w:val="24"/>
          <w:color w:val="auto"/>
        </w:rPr>
      </w:pPr>
    </w:p>
    <w:p>
      <w:pPr>
        <w:ind w:left="2929"/>
        <w:spacing w:after="0"/>
        <w:rPr>
          <w:sz w:val="20"/>
          <w:szCs w:val="20"/>
          <w:color w:val="auto"/>
        </w:rPr>
      </w:pPr>
      <w:r>
        <w:rPr>
          <w:rFonts w:ascii="Courier New" w:cs="Courier New" w:eastAsia="Courier New" w:hAnsi="Courier New"/>
          <w:sz w:val="15"/>
          <w:szCs w:val="15"/>
          <w:color w:val="auto"/>
        </w:rPr>
        <w:t>Clarendon House</w:t>
      </w:r>
    </w:p>
    <w:p>
      <w:pPr>
        <w:spacing w:after="0" w:line="1" w:lineRule="exact"/>
        <w:rPr>
          <w:sz w:val="24"/>
          <w:szCs w:val="24"/>
          <w:color w:val="auto"/>
        </w:rPr>
      </w:pPr>
    </w:p>
    <w:p>
      <w:pPr>
        <w:ind w:left="2929"/>
        <w:spacing w:after="0"/>
        <w:rPr>
          <w:sz w:val="20"/>
          <w:szCs w:val="20"/>
          <w:color w:val="auto"/>
        </w:rPr>
      </w:pPr>
      <w:r>
        <w:rPr>
          <w:rFonts w:ascii="Courier New" w:cs="Courier New" w:eastAsia="Courier New" w:hAnsi="Courier New"/>
          <w:sz w:val="15"/>
          <w:szCs w:val="15"/>
          <w:color w:val="auto"/>
        </w:rPr>
        <w:t>Church Street</w:t>
      </w:r>
    </w:p>
    <w:p>
      <w:pPr>
        <w:spacing w:after="0" w:line="1" w:lineRule="exact"/>
        <w:rPr>
          <w:sz w:val="24"/>
          <w:szCs w:val="24"/>
          <w:color w:val="auto"/>
        </w:rPr>
      </w:pPr>
    </w:p>
    <w:p>
      <w:pPr>
        <w:ind w:left="2929"/>
        <w:spacing w:after="0"/>
        <w:rPr>
          <w:sz w:val="20"/>
          <w:szCs w:val="20"/>
          <w:color w:val="auto"/>
        </w:rPr>
      </w:pPr>
      <w:r>
        <w:rPr>
          <w:rFonts w:ascii="Courier New" w:cs="Courier New" w:eastAsia="Courier New" w:hAnsi="Courier New"/>
          <w:sz w:val="15"/>
          <w:szCs w:val="15"/>
          <w:color w:val="auto"/>
        </w:rPr>
        <w:t>Hamilton HM 11 Bermuda</w:t>
      </w:r>
    </w:p>
    <w:p>
      <w:pPr>
        <w:spacing w:after="0" w:line="174" w:lineRule="exact"/>
        <w:rPr>
          <w:sz w:val="24"/>
          <w:szCs w:val="24"/>
          <w:color w:val="auto"/>
        </w:rPr>
      </w:pPr>
    </w:p>
    <w:p>
      <w:pPr>
        <w:ind w:left="9" w:right="3479" w:firstLine="444"/>
        <w:spacing w:after="0" w:line="238" w:lineRule="auto"/>
        <w:rPr>
          <w:sz w:val="20"/>
          <w:szCs w:val="20"/>
          <w:color w:val="auto"/>
        </w:rPr>
      </w:pPr>
      <w:r>
        <w:rPr>
          <w:rFonts w:ascii="Courier New" w:cs="Courier New" w:eastAsia="Courier New" w:hAnsi="Courier New"/>
          <w:sz w:val="15"/>
          <w:szCs w:val="15"/>
          <w:color w:val="auto"/>
        </w:rPr>
        <w:t>Indicate by check mark whether the registrant files or will file annual reports under cover of Form 20-F or Form 40-F.</w:t>
      </w:r>
    </w:p>
    <w:p>
      <w:pPr>
        <w:spacing w:after="0" w:line="172" w:lineRule="exact"/>
        <w:rPr>
          <w:sz w:val="24"/>
          <w:szCs w:val="24"/>
          <w:color w:val="auto"/>
        </w:rPr>
      </w:pPr>
    </w:p>
    <w:p>
      <w:pPr>
        <w:ind w:left="349"/>
        <w:spacing w:after="0"/>
        <w:rPr>
          <w:sz w:val="20"/>
          <w:szCs w:val="20"/>
          <w:color w:val="auto"/>
        </w:rPr>
      </w:pPr>
      <w:r>
        <w:rPr>
          <w:rFonts w:ascii="Courier New" w:cs="Courier New" w:eastAsia="Courier New" w:hAnsi="Courier New"/>
          <w:sz w:val="15"/>
          <w:szCs w:val="15"/>
          <w:color w:val="auto"/>
        </w:rPr>
        <w:t>Form 20-F___x_ Form 40-F________</w:t>
      </w:r>
    </w:p>
    <w:p>
      <w:pPr>
        <w:spacing w:after="0" w:line="174" w:lineRule="exact"/>
        <w:rPr>
          <w:sz w:val="24"/>
          <w:szCs w:val="24"/>
          <w:color w:val="auto"/>
        </w:rPr>
      </w:pPr>
    </w:p>
    <w:p>
      <w:pPr>
        <w:ind w:left="9" w:right="3119" w:firstLine="444"/>
        <w:spacing w:after="0" w:line="264" w:lineRule="auto"/>
        <w:rPr>
          <w:sz w:val="20"/>
          <w:szCs w:val="20"/>
          <w:color w:val="auto"/>
        </w:rPr>
      </w:pPr>
      <w:r>
        <w:rPr>
          <w:rFonts w:ascii="Courier New" w:cs="Courier New" w:eastAsia="Courier New" w:hAnsi="Courier New"/>
          <w:sz w:val="14"/>
          <w:szCs w:val="14"/>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57" w:lineRule="exact"/>
        <w:rPr>
          <w:sz w:val="24"/>
          <w:szCs w:val="24"/>
          <w:color w:val="auto"/>
        </w:rPr>
      </w:pPr>
    </w:p>
    <w:p>
      <w:pPr>
        <w:ind w:left="349"/>
        <w:spacing w:after="0"/>
        <w:rPr>
          <w:sz w:val="20"/>
          <w:szCs w:val="20"/>
          <w:color w:val="auto"/>
        </w:rPr>
      </w:pPr>
      <w:r>
        <w:rPr>
          <w:rFonts w:ascii="Courier New" w:cs="Courier New" w:eastAsia="Courier New" w:hAnsi="Courier New"/>
          <w:sz w:val="15"/>
          <w:szCs w:val="15"/>
          <w:color w:val="auto"/>
        </w:rPr>
        <w:t>Yes________ No_____x______</w:t>
      </w:r>
    </w:p>
    <w:p>
      <w:pPr>
        <w:spacing w:after="0" w:line="174" w:lineRule="exact"/>
        <w:rPr>
          <w:sz w:val="24"/>
          <w:szCs w:val="24"/>
          <w:color w:val="auto"/>
        </w:rPr>
      </w:pPr>
    </w:p>
    <w:p>
      <w:pPr>
        <w:ind w:left="9" w:right="3919" w:firstLine="444"/>
        <w:spacing w:after="0" w:line="238" w:lineRule="auto"/>
        <w:rPr>
          <w:sz w:val="20"/>
          <w:szCs w:val="20"/>
          <w:color w:val="auto"/>
        </w:rPr>
      </w:pPr>
      <w:r>
        <w:rPr>
          <w:rFonts w:ascii="Courier New" w:cs="Courier New" w:eastAsia="Courier New" w:hAnsi="Courier New"/>
          <w:sz w:val="15"/>
          <w:szCs w:val="15"/>
          <w:color w:val="auto"/>
        </w:rPr>
        <w:t>If "Yes" is marked, indicate below the file number assigned to the registrant in connection with Rule 12g3-2(b):</w:t>
      </w:r>
    </w:p>
    <w:p>
      <w:pPr>
        <w:sectPr>
          <w:pgSz w:w="11900" w:h="16838" w:orient="portrait"/>
          <w:cols w:equalWidth="0" w:num="1">
            <w:col w:w="10228"/>
          </w:cols>
          <w:pgMar w:left="231" w:top="230" w:right="1440" w:bottom="1440" w:gutter="0" w:footer="0" w:header="0"/>
        </w:sectPr>
      </w:pPr>
    </w:p>
    <w:bookmarkStart w:id="1" w:name="page2"/>
    <w:bookmarkEnd w:id="1"/>
    <w:p>
      <w:pPr>
        <w:ind w:left="340"/>
        <w:spacing w:after="0"/>
        <w:rPr>
          <w:sz w:val="20"/>
          <w:szCs w:val="20"/>
          <w:color w:val="auto"/>
        </w:rPr>
      </w:pPr>
      <w:r>
        <w:rPr>
          <w:rFonts w:ascii="Courier New" w:cs="Courier New" w:eastAsia="Courier New" w:hAnsi="Courier New"/>
          <w:sz w:val="15"/>
          <w:szCs w:val="15"/>
          <w:color w:val="auto"/>
        </w:rPr>
        <w:t>February 11, 2003</w:t>
      </w:r>
    </w:p>
    <w:p>
      <w:pPr>
        <w:spacing w:after="0" w:line="17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CONASEV</w:t>
      </w:r>
    </w:p>
    <w:p>
      <w:pPr>
        <w:spacing w:after="0" w:line="17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Dear Sirs:</w:t>
      </w:r>
    </w:p>
    <w:p>
      <w:pPr>
        <w:spacing w:after="0" w:line="174"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In accordance with articles 10 and 28 of the Capital Markets Law and CONASEV resolution number 107-2002-EF/94.10, Credicorp Ltd. complies in notifying you of the following Material Event:</w:t>
      </w:r>
    </w:p>
    <w:p>
      <w:pPr>
        <w:spacing w:after="0" w:line="175" w:lineRule="exact"/>
        <w:rPr>
          <w:sz w:val="20"/>
          <w:szCs w:val="20"/>
          <w:color w:val="auto"/>
        </w:rPr>
      </w:pPr>
    </w:p>
    <w:p>
      <w:pPr>
        <w:ind w:right="3219"/>
        <w:spacing w:after="0" w:line="238" w:lineRule="auto"/>
        <w:rPr>
          <w:sz w:val="20"/>
          <w:szCs w:val="20"/>
          <w:color w:val="auto"/>
        </w:rPr>
      </w:pPr>
      <w:r>
        <w:rPr>
          <w:rFonts w:ascii="Courier New" w:cs="Courier New" w:eastAsia="Courier New" w:hAnsi="Courier New"/>
          <w:sz w:val="15"/>
          <w:szCs w:val="15"/>
          <w:color w:val="auto"/>
        </w:rPr>
        <w:t>Today the Central Management of our company approved the consolidated financial statements for Credicorp and subsidiaries as of December 31,2002,</w:t>
      </w:r>
    </w:p>
    <w:p>
      <w:pPr>
        <w:spacing w:after="0" w:line="17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Sincerely,</w:t>
      </w:r>
    </w:p>
    <w:p>
      <w:pPr>
        <w:spacing w:after="0" w:line="17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Benedicto Ciguenas</w:t>
      </w:r>
    </w:p>
    <w:p>
      <w:pPr>
        <w:spacing w:after="0" w:line="17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Credicorp Ltd.</w:t>
      </w:r>
    </w:p>
    <w:p>
      <w:pPr>
        <w:sectPr>
          <w:pgSz w:w="11900" w:h="16838" w:orient="portrait"/>
          <w:cols w:equalWidth="0" w:num="1">
            <w:col w:w="10219"/>
          </w:cols>
          <w:pgMar w:left="240" w:top="799" w:right="1440" w:bottom="1440" w:gutter="0" w:footer="0" w:header="0"/>
        </w:sectPr>
      </w:pPr>
    </w:p>
    <w:bookmarkStart w:id="2" w:name="page3"/>
    <w:bookmarkEnd w:id="2"/>
    <w:tbl>
      <w:tblPr>
        <w:tblLayout w:type="fixed"/>
        <w:tblInd w:w="9" w:type="dxa"/>
        <w:tblCellMar>
          <w:top w:w="0" w:type="dxa"/>
          <w:left w:w="0" w:type="dxa"/>
          <w:bottom w:w="0" w:type="dxa"/>
          <w:right w:w="0" w:type="dxa"/>
        </w:tblCellMar>
      </w:tblPr>
      <w:tr>
        <w:trPr>
          <w:trHeight w:val="170"/>
        </w:trPr>
        <w:tc>
          <w:tcPr>
            <w:tcW w:w="1640" w:type="dxa"/>
            <w:vAlign w:val="bottom"/>
          </w:tcPr>
          <w:p>
            <w:pPr>
              <w:spacing w:after="0"/>
              <w:rPr>
                <w:sz w:val="20"/>
                <w:szCs w:val="20"/>
                <w:color w:val="auto"/>
              </w:rPr>
            </w:pPr>
            <w:r>
              <w:rPr>
                <w:rFonts w:ascii="Courier New" w:cs="Courier New" w:eastAsia="Courier New" w:hAnsi="Courier New"/>
                <w:sz w:val="15"/>
                <w:szCs w:val="15"/>
                <w:color w:val="auto"/>
                <w:w w:val="99"/>
              </w:rPr>
              <w:t>CREDICORP LTD. AND</w:t>
            </w:r>
          </w:p>
        </w:tc>
        <w:tc>
          <w:tcPr>
            <w:tcW w:w="3540" w:type="dxa"/>
            <w:vAlign w:val="bottom"/>
          </w:tcPr>
          <w:p>
            <w:pPr>
              <w:ind w:left="40"/>
              <w:spacing w:after="0"/>
              <w:rPr>
                <w:sz w:val="20"/>
                <w:szCs w:val="20"/>
                <w:color w:val="auto"/>
              </w:rPr>
            </w:pPr>
            <w:r>
              <w:rPr>
                <w:rFonts w:ascii="Courier New" w:cs="Courier New" w:eastAsia="Courier New" w:hAnsi="Courier New"/>
                <w:sz w:val="15"/>
                <w:szCs w:val="15"/>
                <w:color w:val="auto"/>
              </w:rPr>
              <w:t>SUBSIDIARIES</w:t>
            </w:r>
          </w:p>
        </w:tc>
        <w:tc>
          <w:tcPr>
            <w:tcW w:w="24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5180" w:type="dxa"/>
            <w:vAlign w:val="bottom"/>
            <w:gridSpan w:val="2"/>
          </w:tcPr>
          <w:p>
            <w:pPr>
              <w:spacing w:after="0"/>
              <w:rPr>
                <w:sz w:val="20"/>
                <w:szCs w:val="20"/>
                <w:color w:val="auto"/>
              </w:rPr>
            </w:pPr>
            <w:r>
              <w:rPr>
                <w:rFonts w:ascii="Courier New" w:cs="Courier New" w:eastAsia="Courier New" w:hAnsi="Courier New"/>
                <w:sz w:val="15"/>
                <w:szCs w:val="15"/>
                <w:color w:val="auto"/>
              </w:rPr>
              <w:t>CONSOLIDATED BALANCE SHEET</w:t>
            </w:r>
          </w:p>
        </w:tc>
        <w:tc>
          <w:tcPr>
            <w:tcW w:w="24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1640" w:type="dxa"/>
            <w:vAlign w:val="bottom"/>
          </w:tcPr>
          <w:p>
            <w:pPr>
              <w:spacing w:after="0"/>
              <w:rPr>
                <w:sz w:val="20"/>
                <w:szCs w:val="20"/>
                <w:color w:val="auto"/>
              </w:rPr>
            </w:pPr>
            <w:r>
              <w:rPr>
                <w:rFonts w:ascii="Courier New" w:cs="Courier New" w:eastAsia="Courier New" w:hAnsi="Courier New"/>
                <w:sz w:val="15"/>
                <w:szCs w:val="15"/>
                <w:color w:val="auto"/>
                <w:w w:val="99"/>
              </w:rPr>
              <w:t>AS OF DECEMBER 30,</w:t>
            </w:r>
          </w:p>
        </w:tc>
        <w:tc>
          <w:tcPr>
            <w:tcW w:w="3540" w:type="dxa"/>
            <w:vAlign w:val="bottom"/>
          </w:tcPr>
          <w:p>
            <w:pPr>
              <w:ind w:left="40"/>
              <w:spacing w:after="0"/>
              <w:rPr>
                <w:sz w:val="20"/>
                <w:szCs w:val="20"/>
                <w:color w:val="auto"/>
              </w:rPr>
            </w:pPr>
            <w:r>
              <w:rPr>
                <w:rFonts w:ascii="Courier New" w:cs="Courier New" w:eastAsia="Courier New" w:hAnsi="Courier New"/>
                <w:sz w:val="15"/>
                <w:szCs w:val="15"/>
                <w:color w:val="auto"/>
              </w:rPr>
              <w:t>2002 AND DECEMBER 31, 2001</w:t>
            </w:r>
          </w:p>
        </w:tc>
        <w:tc>
          <w:tcPr>
            <w:tcW w:w="24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1640" w:type="dxa"/>
            <w:vAlign w:val="bottom"/>
          </w:tcPr>
          <w:p>
            <w:pPr>
              <w:spacing w:after="0"/>
              <w:rPr>
                <w:sz w:val="20"/>
                <w:szCs w:val="20"/>
                <w:color w:val="auto"/>
              </w:rPr>
            </w:pPr>
            <w:r>
              <w:rPr>
                <w:rFonts w:ascii="Courier New" w:cs="Courier New" w:eastAsia="Courier New" w:hAnsi="Courier New"/>
                <w:sz w:val="15"/>
                <w:szCs w:val="15"/>
                <w:color w:val="auto"/>
                <w:w w:val="99"/>
              </w:rPr>
              <w:t>(Amounts expressed</w:t>
            </w:r>
          </w:p>
        </w:tc>
        <w:tc>
          <w:tcPr>
            <w:tcW w:w="3540" w:type="dxa"/>
            <w:vAlign w:val="bottom"/>
          </w:tcPr>
          <w:p>
            <w:pPr>
              <w:ind w:left="40"/>
              <w:spacing w:after="0"/>
              <w:rPr>
                <w:sz w:val="20"/>
                <w:szCs w:val="20"/>
                <w:color w:val="auto"/>
              </w:rPr>
            </w:pPr>
            <w:r>
              <w:rPr>
                <w:rFonts w:ascii="Courier New" w:cs="Courier New" w:eastAsia="Courier New" w:hAnsi="Courier New"/>
                <w:sz w:val="15"/>
                <w:szCs w:val="15"/>
                <w:color w:val="auto"/>
              </w:rPr>
              <w:t>in thousands of U.S. Dollars)</w:t>
            </w:r>
          </w:p>
        </w:tc>
        <w:tc>
          <w:tcPr>
            <w:tcW w:w="24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512"/>
        </w:trPr>
        <w:tc>
          <w:tcPr>
            <w:tcW w:w="1640" w:type="dxa"/>
            <w:vAlign w:val="bottom"/>
          </w:tcPr>
          <w:p>
            <w:pPr>
              <w:spacing w:after="0"/>
              <w:rPr>
                <w:sz w:val="24"/>
                <w:szCs w:val="24"/>
                <w:color w:val="auto"/>
              </w:rPr>
            </w:pPr>
          </w:p>
        </w:tc>
        <w:tc>
          <w:tcPr>
            <w:tcW w:w="354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2002</w:t>
            </w:r>
          </w:p>
        </w:tc>
        <w:tc>
          <w:tcPr>
            <w:tcW w:w="2480" w:type="dxa"/>
            <w:vAlign w:val="bottom"/>
          </w:tcPr>
          <w:p>
            <w:pPr>
              <w:jc w:val="right"/>
              <w:ind w:right="1566"/>
              <w:spacing w:after="0"/>
              <w:rPr>
                <w:sz w:val="20"/>
                <w:szCs w:val="20"/>
                <w:color w:val="auto"/>
              </w:rPr>
            </w:pPr>
            <w:r>
              <w:rPr>
                <w:rFonts w:ascii="Courier New" w:cs="Courier New" w:eastAsia="Courier New" w:hAnsi="Courier New"/>
                <w:sz w:val="15"/>
                <w:szCs w:val="15"/>
                <w:color w:val="auto"/>
              </w:rPr>
              <w:t>2001</w:t>
            </w:r>
          </w:p>
        </w:tc>
        <w:tc>
          <w:tcPr>
            <w:tcW w:w="22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2002</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2001</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329" w:lineRule="exact"/>
        <w:rPr>
          <w:sz w:val="20"/>
          <w:szCs w:val="20"/>
          <w:color w:val="auto"/>
        </w:rPr>
      </w:pPr>
    </w:p>
    <w:p>
      <w:pPr>
        <w:ind w:left="6209" w:right="2040" w:hanging="6300"/>
        <w:spacing w:after="0" w:line="238" w:lineRule="auto"/>
        <w:tabs>
          <w:tab w:leader="none" w:pos="6189" w:val="left"/>
        </w:tabs>
        <w:rPr>
          <w:sz w:val="20"/>
          <w:szCs w:val="20"/>
          <w:color w:val="auto"/>
        </w:rPr>
      </w:pPr>
      <w:r>
        <w:rPr>
          <w:rFonts w:ascii="Courier New" w:cs="Courier New" w:eastAsia="Courier New" w:hAnsi="Courier New"/>
          <w:sz w:val="15"/>
          <w:szCs w:val="15"/>
          <w:color w:val="auto"/>
        </w:rPr>
        <w:t>ASSETS</w:t>
      </w:r>
      <w:r>
        <w:rPr>
          <w:sz w:val="20"/>
          <w:szCs w:val="20"/>
          <w:color w:val="auto"/>
        </w:rPr>
        <w:tab/>
      </w:r>
      <w:r>
        <w:rPr>
          <w:rFonts w:ascii="Courier New" w:cs="Courier New" w:eastAsia="Courier New" w:hAnsi="Courier New"/>
          <w:sz w:val="15"/>
          <w:szCs w:val="15"/>
          <w:color w:val="auto"/>
        </w:rPr>
        <w:t>LIABILITIES AND SHAREHOLDERS' EQUITY</w:t>
      </w:r>
    </w:p>
    <w:p>
      <w:pPr>
        <w:spacing w:after="0" w:line="4" w:lineRule="exact"/>
        <w:rPr>
          <w:sz w:val="20"/>
          <w:szCs w:val="20"/>
          <w:color w:val="auto"/>
        </w:rPr>
      </w:pPr>
    </w:p>
    <w:p>
      <w:pPr>
        <w:ind w:left="169" w:hanging="169"/>
        <w:spacing w:after="0"/>
        <w:tabs>
          <w:tab w:leader="none" w:pos="169"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620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LIABILITIES</w:t>
      </w:r>
    </w:p>
    <w:p>
      <w:pPr>
        <w:spacing w:after="0" w:line="3"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9"/>
        <w:spacing w:after="0"/>
        <w:tabs>
          <w:tab w:leader="none" w:pos="6189" w:val="left"/>
        </w:tabs>
        <w:rPr>
          <w:sz w:val="20"/>
          <w:szCs w:val="20"/>
          <w:color w:val="auto"/>
        </w:rPr>
      </w:pPr>
      <w:r>
        <w:rPr>
          <w:rFonts w:ascii="Courier New" w:cs="Courier New" w:eastAsia="Courier New" w:hAnsi="Courier New"/>
          <w:sz w:val="15"/>
          <w:szCs w:val="15"/>
          <w:color w:val="auto"/>
        </w:rPr>
        <w:t>CURRENT ASSETS</w:t>
      </w:r>
      <w:r>
        <w:rPr>
          <w:sz w:val="20"/>
          <w:szCs w:val="20"/>
          <w:color w:val="auto"/>
        </w:rPr>
        <w:tab/>
      </w:r>
      <w:r>
        <w:rPr>
          <w:rFonts w:ascii="Courier New" w:cs="Courier New" w:eastAsia="Courier New" w:hAnsi="Courier New"/>
          <w:sz w:val="14"/>
          <w:szCs w:val="14"/>
          <w:color w:val="auto"/>
        </w:rPr>
        <w:t>CURRENT LIABILITIES</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p>
      <w:pPr>
        <w:ind w:left="9"/>
        <w:spacing w:after="0"/>
        <w:tabs>
          <w:tab w:leader="none" w:pos="3889" w:val="left"/>
          <w:tab w:leader="none" w:pos="5209" w:val="left"/>
          <w:tab w:leader="none" w:pos="6189" w:val="left"/>
          <w:tab w:leader="none" w:pos="8849" w:val="left"/>
        </w:tabs>
        <w:rPr>
          <w:sz w:val="20"/>
          <w:szCs w:val="20"/>
          <w:color w:val="auto"/>
        </w:rPr>
      </w:pPr>
      <w:r>
        <w:rPr>
          <w:rFonts w:ascii="Courier New" w:cs="Courier New" w:eastAsia="Courier New" w:hAnsi="Courier New"/>
          <w:sz w:val="15"/>
          <w:szCs w:val="15"/>
          <w:color w:val="auto"/>
        </w:rPr>
        <w:t>Cash and due from banks</w:t>
      </w:r>
      <w:r>
        <w:rPr>
          <w:sz w:val="20"/>
          <w:szCs w:val="20"/>
          <w:color w:val="auto"/>
        </w:rPr>
        <w:tab/>
      </w:r>
      <w:r>
        <w:rPr>
          <w:rFonts w:ascii="Courier New" w:cs="Courier New" w:eastAsia="Courier New" w:hAnsi="Courier New"/>
          <w:sz w:val="15"/>
          <w:szCs w:val="15"/>
          <w:color w:val="auto"/>
        </w:rPr>
        <w:t>2,150,946</w:t>
      </w:r>
      <w:r>
        <w:rPr>
          <w:sz w:val="20"/>
          <w:szCs w:val="20"/>
          <w:color w:val="auto"/>
        </w:rPr>
        <w:tab/>
      </w:r>
      <w:r>
        <w:rPr>
          <w:rFonts w:ascii="Courier New" w:cs="Courier New" w:eastAsia="Courier New" w:hAnsi="Courier New"/>
          <w:sz w:val="15"/>
          <w:szCs w:val="15"/>
          <w:color w:val="auto"/>
        </w:rPr>
        <w:t>1,847,266</w:t>
        <w:tab/>
        <w:t>Deposits and obligations</w:t>
      </w:r>
      <w:r>
        <w:rPr>
          <w:sz w:val="20"/>
          <w:szCs w:val="20"/>
          <w:color w:val="auto"/>
        </w:rPr>
        <w:tab/>
      </w:r>
      <w:r>
        <w:rPr>
          <w:rFonts w:ascii="Courier New" w:cs="Courier New" w:eastAsia="Courier New" w:hAnsi="Courier New"/>
          <w:sz w:val="14"/>
          <w:szCs w:val="14"/>
          <w:color w:val="auto"/>
        </w:rPr>
        <w:t>6,093,007 5,220,580</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p>
      <w:pPr>
        <w:ind w:left="9"/>
        <w:spacing w:after="0"/>
        <w:tabs>
          <w:tab w:leader="none" w:pos="4149" w:val="left"/>
          <w:tab w:leader="none" w:pos="5489" w:val="left"/>
          <w:tab w:leader="none" w:pos="6189" w:val="left"/>
          <w:tab w:leader="none" w:pos="9129" w:val="left"/>
          <w:tab w:leader="none" w:pos="10009" w:val="left"/>
        </w:tabs>
        <w:rPr>
          <w:sz w:val="20"/>
          <w:szCs w:val="20"/>
          <w:color w:val="auto"/>
        </w:rPr>
      </w:pPr>
      <w:r>
        <w:rPr>
          <w:rFonts w:ascii="Courier New" w:cs="Courier New" w:eastAsia="Courier New" w:hAnsi="Courier New"/>
          <w:sz w:val="15"/>
          <w:szCs w:val="15"/>
          <w:color w:val="auto"/>
        </w:rPr>
        <w:t>Interbank Funds</w:t>
      </w:r>
      <w:r>
        <w:rPr>
          <w:sz w:val="20"/>
          <w:szCs w:val="20"/>
          <w:color w:val="auto"/>
        </w:rPr>
        <w:tab/>
      </w:r>
      <w:r>
        <w:rPr>
          <w:rFonts w:ascii="Courier New" w:cs="Courier New" w:eastAsia="Courier New" w:hAnsi="Courier New"/>
          <w:sz w:val="15"/>
          <w:szCs w:val="15"/>
          <w:color w:val="auto"/>
        </w:rPr>
        <w:t>31,445</w:t>
      </w:r>
      <w:r>
        <w:rPr>
          <w:sz w:val="20"/>
          <w:szCs w:val="20"/>
          <w:color w:val="auto"/>
        </w:rPr>
        <w:tab/>
      </w:r>
      <w:r>
        <w:rPr>
          <w:rFonts w:ascii="Courier New" w:cs="Courier New" w:eastAsia="Courier New" w:hAnsi="Courier New"/>
          <w:sz w:val="15"/>
          <w:szCs w:val="15"/>
          <w:color w:val="auto"/>
        </w:rPr>
        <w:t>50,186</w:t>
        <w:tab/>
        <w:t>Interbank Funds</w:t>
      </w:r>
      <w:r>
        <w:rPr>
          <w:sz w:val="20"/>
          <w:szCs w:val="20"/>
          <w:color w:val="auto"/>
        </w:rPr>
        <w:tab/>
      </w:r>
      <w:r>
        <w:rPr>
          <w:rFonts w:ascii="Courier New" w:cs="Courier New" w:eastAsia="Courier New" w:hAnsi="Courier New"/>
          <w:sz w:val="15"/>
          <w:szCs w:val="15"/>
          <w:color w:val="auto"/>
        </w:rPr>
        <w:t>24,740</w:t>
      </w:r>
      <w:r>
        <w:rPr>
          <w:sz w:val="20"/>
          <w:szCs w:val="20"/>
          <w:color w:val="auto"/>
        </w:rPr>
        <w:tab/>
      </w:r>
      <w:r>
        <w:rPr>
          <w:rFonts w:ascii="Courier New" w:cs="Courier New" w:eastAsia="Courier New" w:hAnsi="Courier New"/>
          <w:sz w:val="15"/>
          <w:szCs w:val="15"/>
          <w:color w:val="auto"/>
        </w:rPr>
        <w:t>25,202</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5040" w:type="dxa"/>
            <w:vAlign w:val="bottom"/>
          </w:tcPr>
          <w:p>
            <w:pPr>
              <w:jc w:val="right"/>
              <w:ind w:right="2666"/>
              <w:spacing w:after="0"/>
              <w:rPr>
                <w:sz w:val="20"/>
                <w:szCs w:val="20"/>
                <w:color w:val="auto"/>
              </w:rPr>
            </w:pPr>
            <w:r>
              <w:rPr>
                <w:rFonts w:ascii="Courier New" w:cs="Courier New" w:eastAsia="Courier New" w:hAnsi="Courier New"/>
                <w:sz w:val="15"/>
                <w:szCs w:val="15"/>
                <w:color w:val="auto"/>
                <w:w w:val="97"/>
              </w:rPr>
              <w:t>Marketable securities, net</w:t>
            </w:r>
          </w:p>
        </w:tc>
        <w:tc>
          <w:tcPr>
            <w:tcW w:w="3880" w:type="dxa"/>
            <w:vAlign w:val="bottom"/>
          </w:tcPr>
          <w:p>
            <w:pPr>
              <w:ind w:left="1160"/>
              <w:spacing w:after="0"/>
              <w:rPr>
                <w:sz w:val="20"/>
                <w:szCs w:val="20"/>
                <w:color w:val="auto"/>
              </w:rPr>
            </w:pPr>
            <w:r>
              <w:rPr>
                <w:rFonts w:ascii="Courier New" w:cs="Courier New" w:eastAsia="Courier New" w:hAnsi="Courier New"/>
                <w:sz w:val="15"/>
                <w:szCs w:val="15"/>
                <w:color w:val="auto"/>
              </w:rPr>
              <w:t>Deposits from other financial</w:t>
            </w:r>
          </w:p>
        </w:tc>
        <w:tc>
          <w:tcPr>
            <w:tcW w:w="1640" w:type="dxa"/>
            <w:vAlign w:val="bottom"/>
          </w:tcPr>
          <w:p>
            <w:pPr>
              <w:spacing w:after="0"/>
              <w:rPr>
                <w:sz w:val="14"/>
                <w:szCs w:val="14"/>
                <w:color w:val="auto"/>
              </w:rPr>
            </w:pPr>
          </w:p>
        </w:tc>
      </w:tr>
      <w:tr>
        <w:trPr>
          <w:trHeight w:val="171"/>
        </w:trPr>
        <w:tc>
          <w:tcPr>
            <w:tcW w:w="5040" w:type="dxa"/>
            <w:vAlign w:val="bottom"/>
          </w:tcPr>
          <w:p>
            <w:pPr>
              <w:spacing w:after="0"/>
              <w:rPr>
                <w:sz w:val="14"/>
                <w:szCs w:val="14"/>
                <w:color w:val="auto"/>
              </w:rPr>
            </w:pPr>
          </w:p>
        </w:tc>
        <w:tc>
          <w:tcPr>
            <w:tcW w:w="3880" w:type="dxa"/>
            <w:vAlign w:val="bottom"/>
          </w:tcPr>
          <w:p>
            <w:pPr>
              <w:ind w:left="1260"/>
              <w:spacing w:after="0"/>
              <w:rPr>
                <w:sz w:val="20"/>
                <w:szCs w:val="20"/>
                <w:color w:val="auto"/>
              </w:rPr>
            </w:pPr>
            <w:r>
              <w:rPr>
                <w:rFonts w:ascii="Courier New" w:cs="Courier New" w:eastAsia="Courier New" w:hAnsi="Courier New"/>
                <w:sz w:val="15"/>
                <w:szCs w:val="15"/>
                <w:color w:val="auto"/>
              </w:rPr>
              <w:t>and international</w:t>
            </w:r>
          </w:p>
        </w:tc>
        <w:tc>
          <w:tcPr>
            <w:tcW w:w="1640" w:type="dxa"/>
            <w:vAlign w:val="bottom"/>
          </w:tcPr>
          <w:p>
            <w:pPr>
              <w:spacing w:after="0"/>
              <w:rPr>
                <w:sz w:val="14"/>
                <w:szCs w:val="14"/>
                <w:color w:val="auto"/>
              </w:rPr>
            </w:pPr>
          </w:p>
        </w:tc>
      </w:tr>
      <w:tr>
        <w:trPr>
          <w:trHeight w:val="171"/>
        </w:trPr>
        <w:tc>
          <w:tcPr>
            <w:tcW w:w="50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613,174</w:t>
            </w:r>
          </w:p>
        </w:tc>
        <w:tc>
          <w:tcPr>
            <w:tcW w:w="3880" w:type="dxa"/>
            <w:vAlign w:val="bottom"/>
          </w:tcPr>
          <w:p>
            <w:pPr>
              <w:ind w:left="360"/>
              <w:spacing w:after="0"/>
              <w:rPr>
                <w:sz w:val="20"/>
                <w:szCs w:val="20"/>
                <w:color w:val="auto"/>
              </w:rPr>
            </w:pPr>
            <w:r>
              <w:rPr>
                <w:rFonts w:ascii="Courier New" w:cs="Courier New" w:eastAsia="Courier New" w:hAnsi="Courier New"/>
                <w:sz w:val="15"/>
                <w:szCs w:val="15"/>
                <w:color w:val="auto"/>
              </w:rPr>
              <w:t>548,138   institutions</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245,057   319,163</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960" w:type="dxa"/>
            <w:vAlign w:val="bottom"/>
          </w:tcPr>
          <w:p>
            <w:pPr>
              <w:jc w:val="right"/>
              <w:ind w:right="4106"/>
              <w:spacing w:after="0"/>
              <w:rPr>
                <w:sz w:val="20"/>
                <w:szCs w:val="20"/>
                <w:color w:val="auto"/>
              </w:rPr>
            </w:pPr>
            <w:r>
              <w:rPr>
                <w:rFonts w:ascii="Courier New" w:cs="Courier New" w:eastAsia="Courier New" w:hAnsi="Courier New"/>
                <w:sz w:val="15"/>
                <w:szCs w:val="15"/>
                <w:color w:val="auto"/>
                <w:w w:val="93"/>
              </w:rPr>
              <w:t>Loans net</w:t>
            </w:r>
          </w:p>
        </w:tc>
        <w:tc>
          <w:tcPr>
            <w:tcW w:w="3380" w:type="dxa"/>
            <w:vAlign w:val="bottom"/>
          </w:tcPr>
          <w:p>
            <w:pPr>
              <w:ind w:left="1240"/>
              <w:spacing w:after="0"/>
              <w:rPr>
                <w:sz w:val="20"/>
                <w:szCs w:val="20"/>
                <w:color w:val="auto"/>
              </w:rPr>
            </w:pPr>
            <w:r>
              <w:rPr>
                <w:rFonts w:ascii="Courier New" w:cs="Courier New" w:eastAsia="Courier New" w:hAnsi="Courier New"/>
                <w:sz w:val="15"/>
                <w:szCs w:val="15"/>
                <w:color w:val="auto"/>
              </w:rPr>
              <w:t>Due to banks and</w:t>
            </w:r>
          </w:p>
        </w:tc>
        <w:tc>
          <w:tcPr>
            <w:tcW w:w="2220" w:type="dxa"/>
            <w:vAlign w:val="bottom"/>
          </w:tcPr>
          <w:p>
            <w:pPr>
              <w:spacing w:after="0"/>
              <w:rPr>
                <w:sz w:val="14"/>
                <w:szCs w:val="14"/>
                <w:color w:val="auto"/>
              </w:rPr>
            </w:pPr>
          </w:p>
        </w:tc>
      </w:tr>
      <w:tr>
        <w:trPr>
          <w:trHeight w:val="171"/>
        </w:trPr>
        <w:tc>
          <w:tcPr>
            <w:tcW w:w="49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3,030,726</w:t>
            </w:r>
          </w:p>
        </w:tc>
        <w:tc>
          <w:tcPr>
            <w:tcW w:w="3380" w:type="dxa"/>
            <w:vAlign w:val="bottom"/>
          </w:tcPr>
          <w:p>
            <w:pPr>
              <w:ind w:left="260"/>
              <w:spacing w:after="0"/>
              <w:rPr>
                <w:sz w:val="20"/>
                <w:szCs w:val="20"/>
                <w:color w:val="auto"/>
              </w:rPr>
            </w:pPr>
            <w:r>
              <w:rPr>
                <w:rFonts w:ascii="Courier New" w:cs="Courier New" w:eastAsia="Courier New" w:hAnsi="Courier New"/>
                <w:sz w:val="15"/>
                <w:szCs w:val="15"/>
                <w:color w:val="auto"/>
              </w:rPr>
              <w:t>2,156,868   correspondents</w:t>
            </w:r>
          </w:p>
        </w:tc>
        <w:tc>
          <w:tcPr>
            <w:tcW w:w="2220" w:type="dxa"/>
            <w:vAlign w:val="bottom"/>
          </w:tcPr>
          <w:p>
            <w:pPr>
              <w:jc w:val="right"/>
              <w:spacing w:after="0"/>
              <w:rPr>
                <w:sz w:val="20"/>
                <w:szCs w:val="20"/>
                <w:color w:val="auto"/>
              </w:rPr>
            </w:pPr>
            <w:r>
              <w:rPr>
                <w:rFonts w:ascii="Courier New" w:cs="Courier New" w:eastAsia="Courier New" w:hAnsi="Courier New"/>
                <w:sz w:val="15"/>
                <w:szCs w:val="15"/>
                <w:color w:val="auto"/>
              </w:rPr>
              <w:t>157,977   103,169</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5100" w:type="dxa"/>
            <w:vAlign w:val="bottom"/>
          </w:tcPr>
          <w:p>
            <w:pPr>
              <w:jc w:val="right"/>
              <w:ind w:right="2726"/>
              <w:spacing w:after="0"/>
              <w:rPr>
                <w:sz w:val="20"/>
                <w:szCs w:val="20"/>
                <w:color w:val="auto"/>
              </w:rPr>
            </w:pPr>
            <w:r>
              <w:rPr>
                <w:rFonts w:ascii="Courier New" w:cs="Courier New" w:eastAsia="Courier New" w:hAnsi="Courier New"/>
                <w:sz w:val="15"/>
                <w:szCs w:val="15"/>
                <w:color w:val="auto"/>
                <w:w w:val="97"/>
              </w:rPr>
              <w:t>Accounts receivables (net)</w:t>
            </w:r>
          </w:p>
        </w:tc>
        <w:tc>
          <w:tcPr>
            <w:tcW w:w="3580" w:type="dxa"/>
            <w:vAlign w:val="bottom"/>
          </w:tcPr>
          <w:p>
            <w:pPr>
              <w:ind w:left="1100"/>
              <w:spacing w:after="0"/>
              <w:rPr>
                <w:sz w:val="20"/>
                <w:szCs w:val="20"/>
                <w:color w:val="auto"/>
              </w:rPr>
            </w:pPr>
            <w:r>
              <w:rPr>
                <w:rFonts w:ascii="Courier New" w:cs="Courier New" w:eastAsia="Courier New" w:hAnsi="Courier New"/>
                <w:sz w:val="15"/>
                <w:szCs w:val="15"/>
                <w:color w:val="auto"/>
              </w:rPr>
              <w:t>Securities, notes and</w:t>
            </w:r>
          </w:p>
        </w:tc>
        <w:tc>
          <w:tcPr>
            <w:tcW w:w="1880" w:type="dxa"/>
            <w:vAlign w:val="bottom"/>
          </w:tcPr>
          <w:p>
            <w:pPr>
              <w:spacing w:after="0"/>
              <w:rPr>
                <w:sz w:val="14"/>
                <w:szCs w:val="14"/>
                <w:color w:val="auto"/>
              </w:rPr>
            </w:pPr>
          </w:p>
        </w:tc>
      </w:tr>
      <w:tr>
        <w:trPr>
          <w:trHeight w:val="171"/>
        </w:trPr>
        <w:tc>
          <w:tcPr>
            <w:tcW w:w="5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49,897</w:t>
            </w:r>
          </w:p>
        </w:tc>
        <w:tc>
          <w:tcPr>
            <w:tcW w:w="3580" w:type="dxa"/>
            <w:vAlign w:val="bottom"/>
          </w:tcPr>
          <w:p>
            <w:pPr>
              <w:ind w:left="400"/>
              <w:spacing w:after="0"/>
              <w:rPr>
                <w:sz w:val="20"/>
                <w:szCs w:val="20"/>
                <w:color w:val="auto"/>
              </w:rPr>
            </w:pPr>
            <w:r>
              <w:rPr>
                <w:rFonts w:ascii="Courier New" w:cs="Courier New" w:eastAsia="Courier New" w:hAnsi="Courier New"/>
                <w:sz w:val="15"/>
                <w:szCs w:val="15"/>
                <w:color w:val="auto"/>
              </w:rPr>
              <w:t>49,285   obligations outstanding</w:t>
            </w:r>
          </w:p>
        </w:tc>
        <w:tc>
          <w:tcPr>
            <w:tcW w:w="1880" w:type="dxa"/>
            <w:vAlign w:val="bottom"/>
          </w:tcPr>
          <w:p>
            <w:pPr>
              <w:jc w:val="right"/>
              <w:spacing w:after="0"/>
              <w:rPr>
                <w:sz w:val="20"/>
                <w:szCs w:val="20"/>
                <w:color w:val="auto"/>
              </w:rPr>
            </w:pPr>
            <w:r>
              <w:rPr>
                <w:rFonts w:ascii="Courier New" w:cs="Courier New" w:eastAsia="Courier New" w:hAnsi="Courier New"/>
                <w:sz w:val="15"/>
                <w:szCs w:val="15"/>
                <w:color w:val="auto"/>
              </w:rPr>
              <w:t>418,638   212,748</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p>
      <w:pPr>
        <w:ind w:left="9"/>
        <w:spacing w:after="0"/>
        <w:tabs>
          <w:tab w:leader="none" w:pos="4589" w:val="left"/>
          <w:tab w:leader="none" w:pos="5929" w:val="left"/>
          <w:tab w:leader="none" w:pos="6189" w:val="left"/>
          <w:tab w:leader="none" w:pos="9569" w:val="left"/>
          <w:tab w:leader="none" w:pos="10449" w:val="left"/>
        </w:tabs>
        <w:rPr>
          <w:sz w:val="20"/>
          <w:szCs w:val="20"/>
          <w:color w:val="auto"/>
        </w:rPr>
      </w:pPr>
      <w:r>
        <w:rPr>
          <w:rFonts w:ascii="Courier New" w:cs="Courier New" w:eastAsia="Courier New" w:hAnsi="Courier New"/>
          <w:sz w:val="15"/>
          <w:szCs w:val="15"/>
          <w:color w:val="auto"/>
        </w:rPr>
        <w:t>Other accounts receivables (net)</w:t>
      </w:r>
      <w:r>
        <w:rPr>
          <w:sz w:val="20"/>
          <w:szCs w:val="20"/>
          <w:color w:val="auto"/>
        </w:rPr>
        <w:tab/>
      </w:r>
      <w:r>
        <w:rPr>
          <w:rFonts w:ascii="Courier New" w:cs="Courier New" w:eastAsia="Courier New" w:hAnsi="Courier New"/>
          <w:sz w:val="15"/>
          <w:szCs w:val="15"/>
          <w:color w:val="auto"/>
        </w:rPr>
        <w:t>0</w:t>
      </w:r>
      <w:r>
        <w:rPr>
          <w:sz w:val="20"/>
          <w:szCs w:val="20"/>
          <w:color w:val="auto"/>
        </w:rPr>
        <w:tab/>
      </w:r>
      <w:r>
        <w:rPr>
          <w:rFonts w:ascii="Courier New" w:cs="Courier New" w:eastAsia="Courier New" w:hAnsi="Courier New"/>
          <w:sz w:val="15"/>
          <w:szCs w:val="15"/>
          <w:color w:val="auto"/>
        </w:rPr>
        <w:t>0</w:t>
        <w:tab/>
        <w:t>Accounts payables</w:t>
      </w:r>
      <w:r>
        <w:rPr>
          <w:sz w:val="20"/>
          <w:szCs w:val="20"/>
          <w:color w:val="auto"/>
        </w:rPr>
        <w:tab/>
      </w:r>
      <w:r>
        <w:rPr>
          <w:rFonts w:ascii="Courier New" w:cs="Courier New" w:eastAsia="Courier New" w:hAnsi="Courier New"/>
          <w:sz w:val="15"/>
          <w:szCs w:val="15"/>
          <w:color w:val="auto"/>
        </w:rPr>
        <w:t>0</w:t>
      </w:r>
      <w:r>
        <w:rPr>
          <w:sz w:val="20"/>
          <w:szCs w:val="20"/>
          <w:color w:val="auto"/>
        </w:rPr>
        <w:tab/>
      </w:r>
      <w:r>
        <w:rPr>
          <w:rFonts w:ascii="Courier New" w:cs="Courier New" w:eastAsia="Courier New" w:hAnsi="Courier New"/>
          <w:sz w:val="15"/>
          <w:szCs w:val="15"/>
          <w:color w:val="auto"/>
        </w:rPr>
        <w:t>0</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p>
      <w:pPr>
        <w:ind w:left="9"/>
        <w:spacing w:after="0"/>
        <w:tabs>
          <w:tab w:leader="none" w:pos="4069" w:val="left"/>
          <w:tab w:leader="none" w:pos="5389" w:val="left"/>
          <w:tab w:leader="none" w:pos="6189" w:val="left"/>
          <w:tab w:leader="none" w:pos="9569" w:val="left"/>
          <w:tab w:leader="none" w:pos="10449" w:val="left"/>
        </w:tabs>
        <w:rPr>
          <w:sz w:val="20"/>
          <w:szCs w:val="20"/>
          <w:color w:val="auto"/>
        </w:rPr>
      </w:pPr>
      <w:r>
        <w:rPr>
          <w:rFonts w:ascii="Courier New" w:cs="Courier New" w:eastAsia="Courier New" w:hAnsi="Courier New"/>
          <w:sz w:val="15"/>
          <w:szCs w:val="15"/>
          <w:color w:val="auto"/>
        </w:rPr>
        <w:t>Other Assets</w:t>
      </w:r>
      <w:r>
        <w:rPr>
          <w:sz w:val="20"/>
          <w:szCs w:val="20"/>
          <w:color w:val="auto"/>
        </w:rPr>
        <w:tab/>
      </w:r>
      <w:r>
        <w:rPr>
          <w:rFonts w:ascii="Courier New" w:cs="Courier New" w:eastAsia="Courier New" w:hAnsi="Courier New"/>
          <w:sz w:val="15"/>
          <w:szCs w:val="15"/>
          <w:color w:val="auto"/>
        </w:rPr>
        <w:t>240,283</w:t>
      </w:r>
      <w:r>
        <w:rPr>
          <w:sz w:val="20"/>
          <w:szCs w:val="20"/>
          <w:color w:val="auto"/>
        </w:rPr>
        <w:tab/>
      </w:r>
      <w:r>
        <w:rPr>
          <w:rFonts w:ascii="Courier New" w:cs="Courier New" w:eastAsia="Courier New" w:hAnsi="Courier New"/>
          <w:sz w:val="15"/>
          <w:szCs w:val="15"/>
          <w:color w:val="auto"/>
        </w:rPr>
        <w:t>315,205</w:t>
        <w:tab/>
        <w:t>Other accounts payables</w:t>
      </w:r>
      <w:r>
        <w:rPr>
          <w:sz w:val="20"/>
          <w:szCs w:val="20"/>
          <w:color w:val="auto"/>
        </w:rPr>
        <w:tab/>
      </w:r>
      <w:r>
        <w:rPr>
          <w:rFonts w:ascii="Courier New" w:cs="Courier New" w:eastAsia="Courier New" w:hAnsi="Courier New"/>
          <w:sz w:val="15"/>
          <w:szCs w:val="15"/>
          <w:color w:val="auto"/>
        </w:rPr>
        <w:t>0</w:t>
      </w:r>
      <w:r>
        <w:rPr>
          <w:sz w:val="20"/>
          <w:szCs w:val="20"/>
          <w:color w:val="auto"/>
        </w:rPr>
        <w:tab/>
      </w:r>
      <w:r>
        <w:rPr>
          <w:rFonts w:ascii="Courier New" w:cs="Courier New" w:eastAsia="Courier New" w:hAnsi="Courier New"/>
          <w:sz w:val="15"/>
          <w:szCs w:val="15"/>
          <w:color w:val="auto"/>
        </w:rPr>
        <w:t>0</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p>
      <w:pPr>
        <w:ind w:left="9"/>
        <w:spacing w:after="0"/>
        <w:tabs>
          <w:tab w:leader="none" w:pos="3889" w:val="left"/>
          <w:tab w:leader="none" w:pos="5209" w:val="left"/>
          <w:tab w:leader="none" w:pos="6189" w:val="left"/>
          <w:tab w:leader="none" w:pos="9569" w:val="left"/>
          <w:tab w:leader="none" w:pos="10449" w:val="left"/>
        </w:tabs>
        <w:rPr>
          <w:sz w:val="20"/>
          <w:szCs w:val="20"/>
          <w:color w:val="auto"/>
        </w:rPr>
      </w:pPr>
      <w:r>
        <w:rPr>
          <w:rFonts w:ascii="Courier New" w:cs="Courier New" w:eastAsia="Courier New" w:hAnsi="Courier New"/>
          <w:sz w:val="15"/>
          <w:szCs w:val="15"/>
          <w:color w:val="auto"/>
        </w:rPr>
        <w:t>TOTAL CURRENT ASSETS</w:t>
      </w:r>
      <w:r>
        <w:rPr>
          <w:sz w:val="20"/>
          <w:szCs w:val="20"/>
          <w:color w:val="auto"/>
        </w:rPr>
        <w:tab/>
      </w:r>
      <w:r>
        <w:rPr>
          <w:rFonts w:ascii="Courier New" w:cs="Courier New" w:eastAsia="Courier New" w:hAnsi="Courier New"/>
          <w:sz w:val="15"/>
          <w:szCs w:val="15"/>
          <w:color w:val="auto"/>
        </w:rPr>
        <w:t>6,116,471</w:t>
      </w:r>
      <w:r>
        <w:rPr>
          <w:sz w:val="20"/>
          <w:szCs w:val="20"/>
          <w:color w:val="auto"/>
        </w:rPr>
        <w:tab/>
      </w:r>
      <w:r>
        <w:rPr>
          <w:rFonts w:ascii="Courier New" w:cs="Courier New" w:eastAsia="Courier New" w:hAnsi="Courier New"/>
          <w:sz w:val="15"/>
          <w:szCs w:val="15"/>
          <w:color w:val="auto"/>
        </w:rPr>
        <w:t>4,966,948</w:t>
        <w:tab/>
        <w:t>Provisions</w:t>
      </w:r>
      <w:r>
        <w:rPr>
          <w:sz w:val="20"/>
          <w:szCs w:val="20"/>
          <w:color w:val="auto"/>
        </w:rPr>
        <w:tab/>
      </w:r>
      <w:r>
        <w:rPr>
          <w:rFonts w:ascii="Courier New" w:cs="Courier New" w:eastAsia="Courier New" w:hAnsi="Courier New"/>
          <w:sz w:val="15"/>
          <w:szCs w:val="15"/>
          <w:color w:val="auto"/>
        </w:rPr>
        <w:t>0</w:t>
      </w:r>
      <w:r>
        <w:rPr>
          <w:sz w:val="20"/>
          <w:szCs w:val="20"/>
          <w:color w:val="auto"/>
        </w:rPr>
        <w:tab/>
      </w:r>
      <w:r>
        <w:rPr>
          <w:rFonts w:ascii="Courier New" w:cs="Courier New" w:eastAsia="Courier New" w:hAnsi="Courier New"/>
          <w:sz w:val="15"/>
          <w:szCs w:val="15"/>
          <w:color w:val="auto"/>
        </w:rPr>
        <w:t>0</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6209" w:type="dxa"/>
        <w:tblCellMar>
          <w:top w:w="0" w:type="dxa"/>
          <w:left w:w="0" w:type="dxa"/>
          <w:bottom w:w="0" w:type="dxa"/>
          <w:right w:w="0" w:type="dxa"/>
        </w:tblCellMar>
      </w:tblPr>
      <w:tr>
        <w:trPr>
          <w:trHeight w:val="170"/>
        </w:trPr>
        <w:tc>
          <w:tcPr>
            <w:tcW w:w="2180" w:type="dxa"/>
            <w:vAlign w:val="bottom"/>
          </w:tcPr>
          <w:p>
            <w:pPr>
              <w:spacing w:after="0"/>
              <w:rPr>
                <w:sz w:val="20"/>
                <w:szCs w:val="20"/>
                <w:color w:val="auto"/>
              </w:rPr>
            </w:pPr>
            <w:r>
              <w:rPr>
                <w:rFonts w:ascii="Courier New" w:cs="Courier New" w:eastAsia="Courier New" w:hAnsi="Courier New"/>
                <w:sz w:val="15"/>
                <w:szCs w:val="15"/>
                <w:color w:val="auto"/>
              </w:rPr>
              <w:t>Other liabilities</w:t>
            </w:r>
          </w:p>
        </w:tc>
        <w:tc>
          <w:tcPr>
            <w:tcW w:w="2180" w:type="dxa"/>
            <w:vAlign w:val="bottom"/>
          </w:tcPr>
          <w:p>
            <w:pPr>
              <w:jc w:val="right"/>
              <w:spacing w:after="0"/>
              <w:rPr>
                <w:sz w:val="20"/>
                <w:szCs w:val="20"/>
                <w:color w:val="auto"/>
              </w:rPr>
            </w:pPr>
            <w:r>
              <w:rPr>
                <w:rFonts w:ascii="Courier New" w:cs="Courier New" w:eastAsia="Courier New" w:hAnsi="Courier New"/>
                <w:sz w:val="15"/>
                <w:szCs w:val="15"/>
                <w:color w:val="auto"/>
              </w:rPr>
              <w:t>296,089   255,039</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p>
      <w:pPr>
        <w:ind w:left="9"/>
        <w:spacing w:after="0"/>
        <w:tabs>
          <w:tab w:leader="none" w:pos="3889" w:val="left"/>
          <w:tab w:leader="none" w:pos="5209" w:val="left"/>
          <w:tab w:leader="none" w:pos="6189" w:val="left"/>
          <w:tab w:leader="none" w:pos="8849" w:val="left"/>
        </w:tabs>
        <w:rPr>
          <w:sz w:val="20"/>
          <w:szCs w:val="20"/>
          <w:color w:val="auto"/>
        </w:rPr>
      </w:pPr>
      <w:r>
        <w:rPr>
          <w:rFonts w:ascii="Courier New" w:cs="Courier New" w:eastAsia="Courier New" w:hAnsi="Courier New"/>
          <w:sz w:val="15"/>
          <w:szCs w:val="15"/>
          <w:color w:val="auto"/>
        </w:rPr>
        <w:t>Loan portfolio (net)</w:t>
      </w:r>
      <w:r>
        <w:rPr>
          <w:sz w:val="20"/>
          <w:szCs w:val="20"/>
          <w:color w:val="auto"/>
        </w:rPr>
        <w:tab/>
      </w:r>
      <w:r>
        <w:rPr>
          <w:rFonts w:ascii="Courier New" w:cs="Courier New" w:eastAsia="Courier New" w:hAnsi="Courier New"/>
          <w:sz w:val="15"/>
          <w:szCs w:val="15"/>
          <w:color w:val="auto"/>
        </w:rPr>
        <w:t>1,366,127</w:t>
      </w:r>
      <w:r>
        <w:rPr>
          <w:sz w:val="20"/>
          <w:szCs w:val="20"/>
          <w:color w:val="auto"/>
        </w:rPr>
        <w:tab/>
      </w:r>
      <w:r>
        <w:rPr>
          <w:rFonts w:ascii="Courier New" w:cs="Courier New" w:eastAsia="Courier New" w:hAnsi="Courier New"/>
          <w:sz w:val="15"/>
          <w:szCs w:val="15"/>
          <w:color w:val="auto"/>
        </w:rPr>
        <w:t>1,563,178</w:t>
        <w:tab/>
        <w:t>TOTAL CURRENT LIABILITIES</w:t>
      </w:r>
      <w:r>
        <w:rPr>
          <w:sz w:val="20"/>
          <w:szCs w:val="20"/>
          <w:color w:val="auto"/>
        </w:rPr>
        <w:tab/>
      </w:r>
      <w:r>
        <w:rPr>
          <w:rFonts w:ascii="Courier New" w:cs="Courier New" w:eastAsia="Courier New" w:hAnsi="Courier New"/>
          <w:sz w:val="14"/>
          <w:szCs w:val="14"/>
          <w:color w:val="auto"/>
        </w:rPr>
        <w:t>7,235,508 6,135,901</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460" w:type="dxa"/>
            <w:vAlign w:val="bottom"/>
          </w:tcPr>
          <w:p>
            <w:pPr>
              <w:spacing w:after="0"/>
              <w:rPr>
                <w:sz w:val="20"/>
                <w:szCs w:val="20"/>
                <w:color w:val="auto"/>
              </w:rPr>
            </w:pPr>
            <w:r>
              <w:rPr>
                <w:rFonts w:ascii="Courier New" w:cs="Courier New" w:eastAsia="Courier New" w:hAnsi="Courier New"/>
                <w:sz w:val="15"/>
                <w:szCs w:val="15"/>
                <w:color w:val="auto"/>
              </w:rPr>
              <w:t>Accounts receivables (net)</w:t>
            </w:r>
          </w:p>
        </w:tc>
        <w:tc>
          <w:tcPr>
            <w:tcW w:w="18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p>
      <w:pPr>
        <w:ind w:left="9"/>
        <w:spacing w:after="0"/>
        <w:tabs>
          <w:tab w:leader="none" w:pos="4149" w:val="left"/>
          <w:tab w:leader="none" w:pos="5389" w:val="left"/>
          <w:tab w:leader="none" w:pos="6189" w:val="left"/>
          <w:tab w:leader="none" w:pos="9029" w:val="left"/>
          <w:tab w:leader="none" w:pos="9929" w:val="left"/>
        </w:tabs>
        <w:rPr>
          <w:sz w:val="20"/>
          <w:szCs w:val="20"/>
          <w:color w:val="auto"/>
        </w:rPr>
      </w:pPr>
      <w:r>
        <w:rPr>
          <w:rFonts w:ascii="Courier New" w:cs="Courier New" w:eastAsia="Courier New" w:hAnsi="Courier New"/>
          <w:sz w:val="15"/>
          <w:szCs w:val="15"/>
          <w:color w:val="auto"/>
        </w:rPr>
        <w:t>Other accounts receivables (net)</w:t>
      </w:r>
      <w:r>
        <w:rPr>
          <w:sz w:val="20"/>
          <w:szCs w:val="20"/>
          <w:color w:val="auto"/>
        </w:rPr>
        <w:tab/>
      </w:r>
      <w:r>
        <w:rPr>
          <w:rFonts w:ascii="Courier New" w:cs="Courier New" w:eastAsia="Courier New" w:hAnsi="Courier New"/>
          <w:sz w:val="15"/>
          <w:szCs w:val="15"/>
          <w:color w:val="auto"/>
        </w:rPr>
        <w:t>91,533</w:t>
      </w:r>
      <w:r>
        <w:rPr>
          <w:sz w:val="20"/>
          <w:szCs w:val="20"/>
          <w:color w:val="auto"/>
        </w:rPr>
        <w:tab/>
      </w:r>
      <w:r>
        <w:rPr>
          <w:rFonts w:ascii="Courier New" w:cs="Courier New" w:eastAsia="Courier New" w:hAnsi="Courier New"/>
          <w:sz w:val="15"/>
          <w:szCs w:val="15"/>
          <w:color w:val="auto"/>
        </w:rPr>
        <w:t>100,250</w:t>
        <w:tab/>
        <w:t>Debt and financial obligations</w:t>
        <w:tab/>
        <w:t>126,981</w:t>
      </w:r>
      <w:r>
        <w:rPr>
          <w:sz w:val="20"/>
          <w:szCs w:val="20"/>
          <w:color w:val="auto"/>
        </w:rPr>
        <w:tab/>
      </w:r>
      <w:r>
        <w:rPr>
          <w:rFonts w:ascii="Courier New" w:cs="Courier New" w:eastAsia="Courier New" w:hAnsi="Courier New"/>
          <w:sz w:val="14"/>
          <w:szCs w:val="14"/>
          <w:color w:val="auto"/>
        </w:rPr>
        <w:t>213,081</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w w:val="96"/>
              </w:rPr>
              <w:t>Disposable assets,</w:t>
            </w:r>
          </w:p>
        </w:tc>
        <w:tc>
          <w:tcPr>
            <w:tcW w:w="2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640" w:type="dxa"/>
            <w:vAlign w:val="bottom"/>
          </w:tcPr>
          <w:p>
            <w:pPr>
              <w:ind w:left="1100"/>
              <w:spacing w:after="0"/>
              <w:rPr>
                <w:sz w:val="20"/>
                <w:szCs w:val="20"/>
                <w:color w:val="auto"/>
              </w:rPr>
            </w:pPr>
            <w:r>
              <w:rPr>
                <w:rFonts w:ascii="Courier New" w:cs="Courier New" w:eastAsia="Courier New" w:hAnsi="Courier New"/>
                <w:sz w:val="15"/>
                <w:szCs w:val="15"/>
                <w:color w:val="auto"/>
              </w:rPr>
              <w:t>Securities, notes and</w:t>
            </w: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foreclosed assets</w:t>
            </w:r>
          </w:p>
        </w:tc>
        <w:tc>
          <w:tcPr>
            <w:tcW w:w="2220" w:type="dxa"/>
            <w:vAlign w:val="bottom"/>
          </w:tcPr>
          <w:p>
            <w:pPr>
              <w:ind w:left="40"/>
              <w:spacing w:after="0"/>
              <w:rPr>
                <w:sz w:val="20"/>
                <w:szCs w:val="20"/>
                <w:color w:val="auto"/>
              </w:rPr>
            </w:pPr>
            <w:r>
              <w:rPr>
                <w:rFonts w:ascii="Courier New" w:cs="Courier New" w:eastAsia="Courier New" w:hAnsi="Courier New"/>
                <w:sz w:val="15"/>
                <w:szCs w:val="15"/>
                <w:color w:val="auto"/>
              </w:rPr>
              <w:t>and out of use assets</w:t>
            </w: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92,091</w:t>
            </w:r>
          </w:p>
        </w:tc>
        <w:tc>
          <w:tcPr>
            <w:tcW w:w="3640" w:type="dxa"/>
            <w:vAlign w:val="bottom"/>
          </w:tcPr>
          <w:p>
            <w:pPr>
              <w:ind w:left="400"/>
              <w:spacing w:after="0"/>
              <w:rPr>
                <w:sz w:val="20"/>
                <w:szCs w:val="20"/>
                <w:color w:val="auto"/>
              </w:rPr>
            </w:pPr>
            <w:r>
              <w:rPr>
                <w:rFonts w:ascii="Courier New" w:cs="Courier New" w:eastAsia="Courier New" w:hAnsi="Courier New"/>
                <w:sz w:val="15"/>
                <w:szCs w:val="15"/>
                <w:color w:val="auto"/>
              </w:rPr>
              <w:t>75,750   obligations outstanding</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70,958</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61,871</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p>
      <w:pPr>
        <w:ind w:left="9"/>
        <w:spacing w:after="0"/>
        <w:tabs>
          <w:tab w:leader="none" w:pos="4069" w:val="left"/>
          <w:tab w:leader="none" w:pos="5389" w:val="left"/>
          <w:tab w:leader="none" w:pos="6189" w:val="left"/>
          <w:tab w:leader="none" w:pos="9129" w:val="left"/>
          <w:tab w:leader="none" w:pos="10009" w:val="left"/>
        </w:tabs>
        <w:rPr>
          <w:sz w:val="20"/>
          <w:szCs w:val="20"/>
          <w:color w:val="auto"/>
        </w:rPr>
      </w:pPr>
      <w:r>
        <w:rPr>
          <w:rFonts w:ascii="Courier New" w:cs="Courier New" w:eastAsia="Courier New" w:hAnsi="Courier New"/>
          <w:sz w:val="15"/>
          <w:szCs w:val="15"/>
          <w:color w:val="auto"/>
        </w:rPr>
        <w:t>Investment securities available for sale</w:t>
      </w:r>
      <w:r>
        <w:rPr>
          <w:sz w:val="20"/>
          <w:szCs w:val="20"/>
          <w:color w:val="auto"/>
        </w:rPr>
        <w:tab/>
      </w:r>
      <w:r>
        <w:rPr>
          <w:rFonts w:ascii="Courier New" w:cs="Courier New" w:eastAsia="Courier New" w:hAnsi="Courier New"/>
          <w:sz w:val="15"/>
          <w:szCs w:val="15"/>
          <w:color w:val="auto"/>
        </w:rPr>
        <w:t>633,131</w:t>
      </w:r>
      <w:r>
        <w:rPr>
          <w:sz w:val="20"/>
          <w:szCs w:val="20"/>
          <w:color w:val="auto"/>
        </w:rPr>
        <w:tab/>
      </w:r>
      <w:r>
        <w:rPr>
          <w:rFonts w:ascii="Courier New" w:cs="Courier New" w:eastAsia="Courier New" w:hAnsi="Courier New"/>
          <w:sz w:val="15"/>
          <w:szCs w:val="15"/>
          <w:color w:val="auto"/>
        </w:rPr>
        <w:t>587,349</w:t>
        <w:tab/>
        <w:t>Other accounts payables</w:t>
      </w:r>
      <w:r>
        <w:rPr>
          <w:sz w:val="20"/>
          <w:szCs w:val="20"/>
          <w:color w:val="auto"/>
        </w:rPr>
        <w:tab/>
      </w:r>
      <w:r>
        <w:rPr>
          <w:rFonts w:ascii="Courier New" w:cs="Courier New" w:eastAsia="Courier New" w:hAnsi="Courier New"/>
          <w:sz w:val="15"/>
          <w:szCs w:val="15"/>
          <w:color w:val="auto"/>
        </w:rPr>
        <w:t>23,252</w:t>
      </w:r>
      <w:r>
        <w:rPr>
          <w:sz w:val="20"/>
          <w:szCs w:val="20"/>
          <w:color w:val="auto"/>
        </w:rPr>
        <w:tab/>
      </w:r>
      <w:r>
        <w:rPr>
          <w:rFonts w:ascii="Courier New" w:cs="Courier New" w:eastAsia="Courier New" w:hAnsi="Courier New"/>
          <w:sz w:val="15"/>
          <w:szCs w:val="15"/>
          <w:color w:val="auto"/>
        </w:rPr>
        <w:t>23,801</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p>
      <w:pPr>
        <w:ind w:left="9"/>
        <w:spacing w:after="0"/>
        <w:tabs>
          <w:tab w:leader="none" w:pos="4589" w:val="left"/>
          <w:tab w:leader="none" w:pos="5929" w:val="left"/>
          <w:tab w:leader="none" w:pos="6189" w:val="left"/>
          <w:tab w:leader="none" w:pos="9029" w:val="left"/>
          <w:tab w:leader="none" w:pos="9929" w:val="left"/>
        </w:tabs>
        <w:rPr>
          <w:sz w:val="20"/>
          <w:szCs w:val="20"/>
          <w:color w:val="auto"/>
        </w:rPr>
      </w:pPr>
      <w:r>
        <w:rPr>
          <w:rFonts w:ascii="Courier New" w:cs="Courier New" w:eastAsia="Courier New" w:hAnsi="Courier New"/>
          <w:sz w:val="15"/>
          <w:szCs w:val="15"/>
          <w:color w:val="auto"/>
        </w:rPr>
        <w:t>Real state investments (net)</w:t>
      </w:r>
      <w:r>
        <w:rPr>
          <w:sz w:val="20"/>
          <w:szCs w:val="20"/>
          <w:color w:val="auto"/>
        </w:rPr>
        <w:tab/>
      </w:r>
      <w:r>
        <w:rPr>
          <w:rFonts w:ascii="Courier New" w:cs="Courier New" w:eastAsia="Courier New" w:hAnsi="Courier New"/>
          <w:sz w:val="15"/>
          <w:szCs w:val="15"/>
          <w:color w:val="auto"/>
        </w:rPr>
        <w:t>0</w:t>
      </w:r>
      <w:r>
        <w:rPr>
          <w:sz w:val="20"/>
          <w:szCs w:val="20"/>
          <w:color w:val="auto"/>
        </w:rPr>
        <w:tab/>
      </w:r>
      <w:r>
        <w:rPr>
          <w:rFonts w:ascii="Courier New" w:cs="Courier New" w:eastAsia="Courier New" w:hAnsi="Courier New"/>
          <w:sz w:val="15"/>
          <w:szCs w:val="15"/>
          <w:color w:val="auto"/>
        </w:rPr>
        <w:t>0</w:t>
        <w:tab/>
        <w:t>Provisions</w:t>
      </w:r>
      <w:r>
        <w:rPr>
          <w:sz w:val="20"/>
          <w:szCs w:val="20"/>
          <w:color w:val="auto"/>
        </w:rPr>
        <w:tab/>
      </w:r>
      <w:r>
        <w:rPr>
          <w:rFonts w:ascii="Courier New" w:cs="Courier New" w:eastAsia="Courier New" w:hAnsi="Courier New"/>
          <w:sz w:val="15"/>
          <w:szCs w:val="15"/>
          <w:color w:val="auto"/>
        </w:rPr>
        <w:t>273,457</w:t>
      </w:r>
      <w:r>
        <w:rPr>
          <w:sz w:val="20"/>
          <w:szCs w:val="20"/>
          <w:color w:val="auto"/>
        </w:rPr>
        <w:tab/>
      </w:r>
      <w:r>
        <w:rPr>
          <w:rFonts w:ascii="Courier New" w:cs="Courier New" w:eastAsia="Courier New" w:hAnsi="Courier New"/>
          <w:sz w:val="14"/>
          <w:szCs w:val="14"/>
          <w:color w:val="auto"/>
        </w:rPr>
        <w:t>238,159</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5040" w:type="dxa"/>
            <w:vAlign w:val="bottom"/>
          </w:tcPr>
          <w:p>
            <w:pPr>
              <w:jc w:val="right"/>
              <w:ind w:right="1966"/>
              <w:spacing w:after="0"/>
              <w:rPr>
                <w:sz w:val="20"/>
                <w:szCs w:val="20"/>
                <w:color w:val="auto"/>
              </w:rPr>
            </w:pPr>
            <w:r>
              <w:rPr>
                <w:rFonts w:ascii="Courier New" w:cs="Courier New" w:eastAsia="Courier New" w:hAnsi="Courier New"/>
                <w:sz w:val="15"/>
                <w:szCs w:val="15"/>
                <w:color w:val="auto"/>
                <w:w w:val="97"/>
              </w:rPr>
              <w:t>Property, plant and equipment, net</w:t>
            </w:r>
          </w:p>
        </w:tc>
        <w:tc>
          <w:tcPr>
            <w:tcW w:w="3880" w:type="dxa"/>
            <w:vAlign w:val="bottom"/>
          </w:tcPr>
          <w:p>
            <w:pPr>
              <w:ind w:left="1160"/>
              <w:spacing w:after="0"/>
              <w:rPr>
                <w:sz w:val="20"/>
                <w:szCs w:val="20"/>
                <w:color w:val="auto"/>
              </w:rPr>
            </w:pPr>
            <w:r>
              <w:rPr>
                <w:rFonts w:ascii="Courier New" w:cs="Courier New" w:eastAsia="Courier New" w:hAnsi="Courier New"/>
                <w:sz w:val="15"/>
                <w:szCs w:val="15"/>
                <w:color w:val="auto"/>
              </w:rPr>
              <w:t>Income tax and deferred</w:t>
            </w:r>
          </w:p>
        </w:tc>
        <w:tc>
          <w:tcPr>
            <w:tcW w:w="114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71"/>
        </w:trPr>
        <w:tc>
          <w:tcPr>
            <w:tcW w:w="50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288,889</w:t>
            </w:r>
          </w:p>
        </w:tc>
        <w:tc>
          <w:tcPr>
            <w:tcW w:w="3880" w:type="dxa"/>
            <w:vAlign w:val="bottom"/>
          </w:tcPr>
          <w:p>
            <w:pPr>
              <w:ind w:left="360"/>
              <w:spacing w:after="0"/>
              <w:rPr>
                <w:sz w:val="20"/>
                <w:szCs w:val="20"/>
                <w:color w:val="auto"/>
              </w:rPr>
            </w:pPr>
            <w:r>
              <w:rPr>
                <w:rFonts w:ascii="Courier New" w:cs="Courier New" w:eastAsia="Courier New" w:hAnsi="Courier New"/>
                <w:sz w:val="15"/>
                <w:szCs w:val="15"/>
                <w:color w:val="auto"/>
              </w:rPr>
              <w:t>258,870   liabilities</w:t>
            </w:r>
          </w:p>
        </w:tc>
        <w:tc>
          <w:tcPr>
            <w:tcW w:w="11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p>
      <w:pPr>
        <w:ind w:left="9"/>
        <w:spacing w:after="0"/>
        <w:tabs>
          <w:tab w:leader="none" w:pos="4149" w:val="left"/>
          <w:tab w:leader="none" w:pos="5489" w:val="left"/>
          <w:tab w:leader="none" w:pos="6189" w:val="left"/>
          <w:tab w:leader="none" w:pos="9569" w:val="left"/>
          <w:tab w:leader="none" w:pos="10449" w:val="left"/>
        </w:tabs>
        <w:rPr>
          <w:sz w:val="20"/>
          <w:szCs w:val="20"/>
          <w:color w:val="auto"/>
        </w:rPr>
      </w:pPr>
      <w:r>
        <w:rPr>
          <w:rFonts w:ascii="Courier New" w:cs="Courier New" w:eastAsia="Courier New" w:hAnsi="Courier New"/>
          <w:sz w:val="15"/>
          <w:szCs w:val="15"/>
          <w:color w:val="auto"/>
        </w:rPr>
        <w:t>Intangible assets (net)</w:t>
      </w:r>
      <w:r>
        <w:rPr>
          <w:sz w:val="20"/>
          <w:szCs w:val="20"/>
          <w:color w:val="auto"/>
        </w:rPr>
        <w:tab/>
      </w:r>
      <w:r>
        <w:rPr>
          <w:rFonts w:ascii="Courier New" w:cs="Courier New" w:eastAsia="Courier New" w:hAnsi="Courier New"/>
          <w:sz w:val="15"/>
          <w:szCs w:val="15"/>
          <w:color w:val="auto"/>
        </w:rPr>
        <w:t>30,456</w:t>
      </w:r>
      <w:r>
        <w:rPr>
          <w:sz w:val="20"/>
          <w:szCs w:val="20"/>
          <w:color w:val="auto"/>
        </w:rPr>
        <w:tab/>
      </w:r>
      <w:r>
        <w:rPr>
          <w:rFonts w:ascii="Courier New" w:cs="Courier New" w:eastAsia="Courier New" w:hAnsi="Courier New"/>
          <w:sz w:val="15"/>
          <w:szCs w:val="15"/>
          <w:color w:val="auto"/>
        </w:rPr>
        <w:t>29,496</w:t>
        <w:tab/>
        <w:t>Other liabilities</w:t>
      </w:r>
      <w:r>
        <w:rPr>
          <w:sz w:val="20"/>
          <w:szCs w:val="20"/>
          <w:color w:val="auto"/>
        </w:rPr>
        <w:tab/>
      </w:r>
      <w:r>
        <w:rPr>
          <w:rFonts w:ascii="Courier New" w:cs="Courier New" w:eastAsia="Courier New" w:hAnsi="Courier New"/>
          <w:sz w:val="15"/>
          <w:szCs w:val="15"/>
          <w:color w:val="auto"/>
        </w:rPr>
        <w:t>0</w:t>
      </w:r>
      <w:r>
        <w:rPr>
          <w:sz w:val="20"/>
          <w:szCs w:val="20"/>
          <w:color w:val="auto"/>
        </w:rPr>
        <w:tab/>
      </w:r>
      <w:r>
        <w:rPr>
          <w:rFonts w:ascii="Courier New" w:cs="Courier New" w:eastAsia="Courier New" w:hAnsi="Courier New"/>
          <w:sz w:val="15"/>
          <w:szCs w:val="15"/>
          <w:color w:val="auto"/>
        </w:rPr>
        <w:t>0</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620" w:type="dxa"/>
            <w:vAlign w:val="bottom"/>
            <w:gridSpan w:val="2"/>
          </w:tcPr>
          <w:p>
            <w:pPr>
              <w:spacing w:after="0"/>
              <w:rPr>
                <w:sz w:val="20"/>
                <w:szCs w:val="20"/>
                <w:color w:val="auto"/>
              </w:rPr>
            </w:pPr>
            <w:r>
              <w:rPr>
                <w:rFonts w:ascii="Courier New" w:cs="Courier New" w:eastAsia="Courier New" w:hAnsi="Courier New"/>
                <w:sz w:val="15"/>
                <w:szCs w:val="15"/>
                <w:color w:val="auto"/>
              </w:rPr>
              <w:t>Income tax and deferred assets</w:t>
            </w:r>
          </w:p>
        </w:tc>
        <w:tc>
          <w:tcPr>
            <w:tcW w:w="170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0</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w:t>
            </w:r>
          </w:p>
        </w:tc>
        <w:tc>
          <w:tcPr>
            <w:tcW w:w="580" w:type="dxa"/>
            <w:vAlign w:val="bottom"/>
          </w:tcPr>
          <w:p>
            <w:pPr>
              <w:ind w:left="80"/>
              <w:spacing w:after="0"/>
              <w:rPr>
                <w:sz w:val="20"/>
                <w:szCs w:val="20"/>
                <w:color w:val="auto"/>
              </w:rPr>
            </w:pPr>
            <w:r>
              <w:rPr>
                <w:rFonts w:ascii="Courier New" w:cs="Courier New" w:eastAsia="Courier New" w:hAnsi="Courier New"/>
                <w:sz w:val="15"/>
                <w:szCs w:val="15"/>
                <w:color w:val="auto"/>
              </w:rPr>
              <w:t>TOTAL</w:t>
            </w:r>
          </w:p>
        </w:tc>
        <w:tc>
          <w:tcPr>
            <w:tcW w:w="2120" w:type="dxa"/>
            <w:vAlign w:val="bottom"/>
          </w:tcPr>
          <w:p>
            <w:pPr>
              <w:ind w:left="40"/>
              <w:spacing w:after="0"/>
              <w:rPr>
                <w:sz w:val="20"/>
                <w:szCs w:val="20"/>
                <w:color w:val="auto"/>
              </w:rPr>
            </w:pPr>
            <w:r>
              <w:rPr>
                <w:rFonts w:ascii="Courier New" w:cs="Courier New" w:eastAsia="Courier New" w:hAnsi="Courier New"/>
                <w:sz w:val="15"/>
                <w:szCs w:val="15"/>
                <w:color w:val="auto"/>
                <w:w w:val="99"/>
              </w:rPr>
              <w:t>NON CURRENT LIABILITIES</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494,648</w:t>
            </w:r>
          </w:p>
        </w:tc>
        <w:tc>
          <w:tcPr>
            <w:tcW w:w="11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536,912</w:t>
            </w:r>
          </w:p>
        </w:tc>
      </w:tr>
      <w:tr>
        <w:trPr>
          <w:trHeight w:val="171"/>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0700" w:type="dxa"/>
            <w:vAlign w:val="bottom"/>
            <w:gridSpan w:val="7"/>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3620" w:type="dxa"/>
            <w:vAlign w:val="bottom"/>
            <w:gridSpan w:val="2"/>
          </w:tcPr>
          <w:p>
            <w:pPr>
              <w:spacing w:after="0"/>
              <w:rPr>
                <w:sz w:val="20"/>
                <w:szCs w:val="20"/>
                <w:color w:val="auto"/>
              </w:rPr>
            </w:pPr>
            <w:r>
              <w:rPr>
                <w:rFonts w:ascii="Courier New" w:cs="Courier New" w:eastAsia="Courier New" w:hAnsi="Courier New"/>
                <w:sz w:val="15"/>
                <w:szCs w:val="15"/>
                <w:color w:val="auto"/>
              </w:rPr>
              <w:t>Other Assets</w:t>
            </w:r>
          </w:p>
        </w:tc>
        <w:tc>
          <w:tcPr>
            <w:tcW w:w="170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0</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w:t>
            </w:r>
          </w:p>
        </w:tc>
        <w:tc>
          <w:tcPr>
            <w:tcW w:w="580" w:type="dxa"/>
            <w:vAlign w:val="bottom"/>
          </w:tcPr>
          <w:p>
            <w:pPr>
              <w:ind w:left="80"/>
              <w:spacing w:after="0"/>
              <w:rPr>
                <w:sz w:val="20"/>
                <w:szCs w:val="20"/>
                <w:color w:val="auto"/>
              </w:rPr>
            </w:pPr>
            <w:r>
              <w:rPr>
                <w:rFonts w:ascii="Courier New" w:cs="Courier New" w:eastAsia="Courier New" w:hAnsi="Courier New"/>
                <w:sz w:val="15"/>
                <w:szCs w:val="15"/>
                <w:color w:val="auto"/>
              </w:rPr>
              <w:t>TOTAL</w:t>
            </w:r>
          </w:p>
        </w:tc>
        <w:tc>
          <w:tcPr>
            <w:tcW w:w="2120" w:type="dxa"/>
            <w:vAlign w:val="bottom"/>
          </w:tcPr>
          <w:p>
            <w:pPr>
              <w:ind w:left="40"/>
              <w:spacing w:after="0"/>
              <w:rPr>
                <w:sz w:val="20"/>
                <w:szCs w:val="20"/>
                <w:color w:val="auto"/>
              </w:rPr>
            </w:pPr>
            <w:r>
              <w:rPr>
                <w:rFonts w:ascii="Courier New" w:cs="Courier New" w:eastAsia="Courier New" w:hAnsi="Courier New"/>
                <w:sz w:val="15"/>
                <w:szCs w:val="15"/>
                <w:color w:val="auto"/>
              </w:rPr>
              <w:t>LIABILITIES</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7,730,156</w:t>
            </w:r>
          </w:p>
        </w:tc>
        <w:tc>
          <w:tcPr>
            <w:tcW w:w="11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6,672,813</w:t>
            </w:r>
          </w:p>
        </w:tc>
      </w:tr>
      <w:tr>
        <w:trPr>
          <w:trHeight w:val="171"/>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0700" w:type="dxa"/>
            <w:vAlign w:val="bottom"/>
            <w:gridSpan w:val="7"/>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1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7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Minority Interest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64,742</w:t>
            </w:r>
          </w:p>
        </w:tc>
        <w:tc>
          <w:tcPr>
            <w:tcW w:w="11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112,255</w:t>
            </w:r>
          </w:p>
        </w:tc>
      </w:tr>
    </w:tbl>
    <w:p>
      <w:pPr>
        <w:spacing w:after="0" w:line="3" w:lineRule="exact"/>
        <w:rPr>
          <w:sz w:val="20"/>
          <w:szCs w:val="20"/>
          <w:color w:val="auto"/>
        </w:rPr>
      </w:pPr>
    </w:p>
    <w:p>
      <w:pPr>
        <w:ind w:left="169" w:hanging="169"/>
        <w:spacing w:after="0"/>
        <w:tabs>
          <w:tab w:leader="none" w:pos="169"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620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SHAREHOLDERS' EQUITY</w:t>
      </w:r>
    </w:p>
    <w:p>
      <w:pPr>
        <w:spacing w:after="0" w:line="3"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sz w:val="20"/>
          <w:szCs w:val="20"/>
          <w:color w:val="auto"/>
        </w:rPr>
      </w:pPr>
    </w:p>
    <w:tbl>
      <w:tblPr>
        <w:tblLayout w:type="fixed"/>
        <w:tblInd w:w="6209" w:type="dxa"/>
        <w:tblCellMar>
          <w:top w:w="0" w:type="dxa"/>
          <w:left w:w="0" w:type="dxa"/>
          <w:bottom w:w="0" w:type="dxa"/>
          <w:right w:w="0" w:type="dxa"/>
        </w:tblCellMar>
      </w:tblPr>
      <w:tr>
        <w:trPr>
          <w:trHeight w:val="170"/>
        </w:trPr>
        <w:tc>
          <w:tcPr>
            <w:tcW w:w="2080" w:type="dxa"/>
            <w:vAlign w:val="bottom"/>
          </w:tcPr>
          <w:p>
            <w:pPr>
              <w:spacing w:after="0"/>
              <w:rPr>
                <w:sz w:val="20"/>
                <w:szCs w:val="20"/>
                <w:color w:val="auto"/>
              </w:rPr>
            </w:pPr>
            <w:r>
              <w:rPr>
                <w:rFonts w:ascii="Courier New" w:cs="Courier New" w:eastAsia="Courier New" w:hAnsi="Courier New"/>
                <w:sz w:val="15"/>
                <w:szCs w:val="15"/>
                <w:color w:val="auto"/>
              </w:rPr>
              <w:t>Paid in Capital</w:t>
            </w:r>
          </w:p>
        </w:tc>
        <w:tc>
          <w:tcPr>
            <w:tcW w:w="2280" w:type="dxa"/>
            <w:vAlign w:val="bottom"/>
          </w:tcPr>
          <w:p>
            <w:pPr>
              <w:jc w:val="right"/>
              <w:spacing w:after="0"/>
              <w:rPr>
                <w:sz w:val="20"/>
                <w:szCs w:val="20"/>
                <w:color w:val="auto"/>
              </w:rPr>
            </w:pPr>
            <w:r>
              <w:rPr>
                <w:rFonts w:ascii="Courier New" w:cs="Courier New" w:eastAsia="Courier New" w:hAnsi="Courier New"/>
                <w:sz w:val="15"/>
                <w:szCs w:val="15"/>
                <w:color w:val="auto"/>
              </w:rPr>
              <w:t>398,735   397,307</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6209" w:type="dxa"/>
        <w:tblCellMar>
          <w:top w:w="0" w:type="dxa"/>
          <w:left w:w="0" w:type="dxa"/>
          <w:bottom w:w="0" w:type="dxa"/>
          <w:right w:w="0" w:type="dxa"/>
        </w:tblCellMar>
      </w:tblPr>
      <w:tr>
        <w:trPr>
          <w:trHeight w:val="170"/>
        </w:trPr>
        <w:tc>
          <w:tcPr>
            <w:tcW w:w="2220" w:type="dxa"/>
            <w:vAlign w:val="bottom"/>
          </w:tcPr>
          <w:p>
            <w:pPr>
              <w:spacing w:after="0"/>
              <w:rPr>
                <w:sz w:val="20"/>
                <w:szCs w:val="20"/>
                <w:color w:val="auto"/>
              </w:rPr>
            </w:pPr>
            <w:r>
              <w:rPr>
                <w:rFonts w:ascii="Courier New" w:cs="Courier New" w:eastAsia="Courier New" w:hAnsi="Courier New"/>
                <w:sz w:val="15"/>
                <w:szCs w:val="15"/>
                <w:color w:val="auto"/>
              </w:rPr>
              <w:t>Additional Capital</w:t>
            </w:r>
          </w:p>
        </w:tc>
        <w:tc>
          <w:tcPr>
            <w:tcW w:w="2140" w:type="dxa"/>
            <w:vAlign w:val="bottom"/>
          </w:tcPr>
          <w:p>
            <w:pPr>
              <w:jc w:val="right"/>
              <w:spacing w:after="0"/>
              <w:rPr>
                <w:sz w:val="20"/>
                <w:szCs w:val="20"/>
                <w:color w:val="auto"/>
              </w:rPr>
            </w:pPr>
            <w:r>
              <w:rPr>
                <w:rFonts w:ascii="Courier New" w:cs="Courier New" w:eastAsia="Courier New" w:hAnsi="Courier New"/>
                <w:sz w:val="15"/>
                <w:szCs w:val="15"/>
                <w:color w:val="auto"/>
              </w:rPr>
              <w:t>140,500   139,020</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120" w:type="dxa"/>
            <w:vAlign w:val="bottom"/>
          </w:tcPr>
          <w:p>
            <w:pPr>
              <w:spacing w:after="0"/>
              <w:rPr>
                <w:sz w:val="14"/>
                <w:szCs w:val="14"/>
                <w:color w:val="auto"/>
              </w:rPr>
            </w:pPr>
          </w:p>
        </w:tc>
        <w:tc>
          <w:tcPr>
            <w:tcW w:w="8260" w:type="dxa"/>
            <w:vAlign w:val="bottom"/>
          </w:tcPr>
          <w:p>
            <w:pPr>
              <w:ind w:left="6080"/>
              <w:spacing w:after="0"/>
              <w:rPr>
                <w:sz w:val="20"/>
                <w:szCs w:val="20"/>
                <w:color w:val="auto"/>
              </w:rPr>
            </w:pPr>
            <w:r>
              <w:rPr>
                <w:rFonts w:ascii="Courier New" w:cs="Courier New" w:eastAsia="Courier New" w:hAnsi="Courier New"/>
                <w:sz w:val="15"/>
                <w:szCs w:val="15"/>
                <w:color w:val="auto"/>
              </w:rPr>
              <w:t>Reserves</w:t>
            </w:r>
          </w:p>
        </w:tc>
        <w:tc>
          <w:tcPr>
            <w:tcW w:w="14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69,527</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69,527</w:t>
            </w:r>
          </w:p>
        </w:tc>
      </w:tr>
      <w:tr>
        <w:trPr>
          <w:trHeight w:val="171"/>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07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120" w:type="dxa"/>
            <w:vAlign w:val="bottom"/>
          </w:tcPr>
          <w:p>
            <w:pPr>
              <w:spacing w:after="0"/>
              <w:rPr>
                <w:sz w:val="14"/>
                <w:szCs w:val="14"/>
                <w:color w:val="auto"/>
              </w:rPr>
            </w:pPr>
          </w:p>
        </w:tc>
        <w:tc>
          <w:tcPr>
            <w:tcW w:w="8260" w:type="dxa"/>
            <w:vAlign w:val="bottom"/>
          </w:tcPr>
          <w:p>
            <w:pPr>
              <w:ind w:left="6080"/>
              <w:spacing w:after="0"/>
              <w:rPr>
                <w:sz w:val="20"/>
                <w:szCs w:val="20"/>
                <w:color w:val="auto"/>
              </w:rPr>
            </w:pPr>
            <w:r>
              <w:rPr>
                <w:rFonts w:ascii="Courier New" w:cs="Courier New" w:eastAsia="Courier New" w:hAnsi="Courier New"/>
                <w:sz w:val="15"/>
                <w:szCs w:val="15"/>
                <w:color w:val="auto"/>
              </w:rPr>
              <w:t>Other Reserves</w:t>
            </w:r>
          </w:p>
        </w:tc>
        <w:tc>
          <w:tcPr>
            <w:tcW w:w="14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34,577</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34,577</w:t>
            </w:r>
          </w:p>
        </w:tc>
      </w:tr>
      <w:tr>
        <w:trPr>
          <w:trHeight w:val="171"/>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07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120" w:type="dxa"/>
            <w:vAlign w:val="bottom"/>
          </w:tcPr>
          <w:p>
            <w:pPr>
              <w:spacing w:after="0"/>
              <w:rPr>
                <w:sz w:val="14"/>
                <w:szCs w:val="14"/>
                <w:color w:val="auto"/>
              </w:rPr>
            </w:pPr>
          </w:p>
        </w:tc>
        <w:tc>
          <w:tcPr>
            <w:tcW w:w="8260" w:type="dxa"/>
            <w:vAlign w:val="bottom"/>
          </w:tcPr>
          <w:p>
            <w:pPr>
              <w:ind w:left="6080"/>
              <w:spacing w:after="0"/>
              <w:rPr>
                <w:sz w:val="20"/>
                <w:szCs w:val="20"/>
                <w:color w:val="auto"/>
              </w:rPr>
            </w:pPr>
            <w:r>
              <w:rPr>
                <w:rFonts w:ascii="Courier New" w:cs="Courier New" w:eastAsia="Courier New" w:hAnsi="Courier New"/>
                <w:sz w:val="15"/>
                <w:szCs w:val="15"/>
                <w:color w:val="auto"/>
              </w:rPr>
              <w:t>Retained earnings</w:t>
            </w:r>
          </w:p>
        </w:tc>
        <w:tc>
          <w:tcPr>
            <w:tcW w:w="14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180,461</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156,342</w:t>
            </w:r>
          </w:p>
        </w:tc>
      </w:tr>
    </w:tbl>
    <w:p>
      <w:pPr>
        <w:spacing w:after="0" w:line="3" w:lineRule="exact"/>
        <w:rPr>
          <w:sz w:val="20"/>
          <w:szCs w:val="20"/>
          <w:color w:val="auto"/>
        </w:rPr>
      </w:pPr>
    </w:p>
    <w:p>
      <w:pPr>
        <w:ind w:left="169" w:hanging="169"/>
        <w:spacing w:after="0"/>
        <w:tabs>
          <w:tab w:leader="none" w:pos="169"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2"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9"/>
        <w:spacing w:after="0"/>
        <w:tabs>
          <w:tab w:leader="none" w:pos="3889" w:val="left"/>
          <w:tab w:leader="none" w:pos="5209" w:val="left"/>
          <w:tab w:leader="none" w:pos="6189" w:val="left"/>
          <w:tab w:leader="none" w:pos="9029" w:val="left"/>
          <w:tab w:leader="none" w:pos="9929" w:val="left"/>
        </w:tabs>
        <w:rPr>
          <w:sz w:val="20"/>
          <w:szCs w:val="20"/>
          <w:color w:val="auto"/>
        </w:rPr>
      </w:pPr>
      <w:r>
        <w:rPr>
          <w:rFonts w:ascii="Courier New" w:cs="Courier New" w:eastAsia="Courier New" w:hAnsi="Courier New"/>
          <w:sz w:val="15"/>
          <w:szCs w:val="15"/>
          <w:color w:val="auto"/>
        </w:rPr>
        <w:t>TOTAL NON CURRENT ASSETS</w:t>
      </w:r>
      <w:r>
        <w:rPr>
          <w:sz w:val="20"/>
          <w:szCs w:val="20"/>
          <w:color w:val="auto"/>
        </w:rPr>
        <w:tab/>
      </w:r>
      <w:r>
        <w:rPr>
          <w:rFonts w:ascii="Courier New" w:cs="Courier New" w:eastAsia="Courier New" w:hAnsi="Courier New"/>
          <w:sz w:val="15"/>
          <w:szCs w:val="15"/>
          <w:color w:val="auto"/>
        </w:rPr>
        <w:t>2,502,227</w:t>
      </w:r>
      <w:r>
        <w:rPr>
          <w:sz w:val="20"/>
          <w:szCs w:val="20"/>
          <w:color w:val="auto"/>
        </w:rPr>
        <w:tab/>
      </w:r>
      <w:r>
        <w:rPr>
          <w:rFonts w:ascii="Courier New" w:cs="Courier New" w:eastAsia="Courier New" w:hAnsi="Courier New"/>
          <w:sz w:val="15"/>
          <w:szCs w:val="15"/>
          <w:color w:val="auto"/>
        </w:rPr>
        <w:t>2,614,893</w:t>
        <w:tab/>
        <w:t>TOTAL SHAREHOLDERS' EQUITY</w:t>
      </w:r>
      <w:r>
        <w:rPr>
          <w:sz w:val="20"/>
          <w:szCs w:val="20"/>
          <w:color w:val="auto"/>
        </w:rPr>
        <w:tab/>
      </w:r>
      <w:r>
        <w:rPr>
          <w:rFonts w:ascii="Courier New" w:cs="Courier New" w:eastAsia="Courier New" w:hAnsi="Courier New"/>
          <w:sz w:val="15"/>
          <w:szCs w:val="15"/>
          <w:color w:val="auto"/>
        </w:rPr>
        <w:t>823,800</w:t>
      </w:r>
      <w:r>
        <w:rPr>
          <w:sz w:val="20"/>
          <w:szCs w:val="20"/>
          <w:color w:val="auto"/>
        </w:rPr>
        <w:tab/>
      </w:r>
      <w:r>
        <w:rPr>
          <w:rFonts w:ascii="Courier New" w:cs="Courier New" w:eastAsia="Courier New" w:hAnsi="Courier New"/>
          <w:sz w:val="14"/>
          <w:szCs w:val="14"/>
          <w:color w:val="auto"/>
        </w:rPr>
        <w:t>796,773</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960" w:type="dxa"/>
            <w:vAlign w:val="bottom"/>
          </w:tcPr>
          <w:p>
            <w:pPr>
              <w:jc w:val="right"/>
              <w:ind w:right="3826"/>
              <w:spacing w:after="0"/>
              <w:rPr>
                <w:sz w:val="20"/>
                <w:szCs w:val="20"/>
                <w:color w:val="auto"/>
              </w:rPr>
            </w:pPr>
            <w:r>
              <w:rPr>
                <w:rFonts w:ascii="Courier New" w:cs="Courier New" w:eastAsia="Courier New" w:hAnsi="Courier New"/>
                <w:sz w:val="15"/>
                <w:szCs w:val="15"/>
                <w:color w:val="auto"/>
                <w:w w:val="96"/>
              </w:rPr>
              <w:t>TOTAL ASSETS</w:t>
            </w:r>
          </w:p>
        </w:tc>
        <w:tc>
          <w:tcPr>
            <w:tcW w:w="3680" w:type="dxa"/>
            <w:vAlign w:val="bottom"/>
          </w:tcPr>
          <w:p>
            <w:pPr>
              <w:ind w:left="1240"/>
              <w:spacing w:after="0"/>
              <w:rPr>
                <w:sz w:val="20"/>
                <w:szCs w:val="20"/>
                <w:color w:val="auto"/>
              </w:rPr>
            </w:pPr>
            <w:r>
              <w:rPr>
                <w:rFonts w:ascii="Courier New" w:cs="Courier New" w:eastAsia="Courier New" w:hAnsi="Courier New"/>
                <w:sz w:val="15"/>
                <w:szCs w:val="15"/>
                <w:color w:val="auto"/>
              </w:rPr>
              <w:t>TOTAL LIABILITIES AND NET</w:t>
            </w:r>
          </w:p>
        </w:tc>
        <w:tc>
          <w:tcPr>
            <w:tcW w:w="1920" w:type="dxa"/>
            <w:vAlign w:val="bottom"/>
          </w:tcPr>
          <w:p>
            <w:pPr>
              <w:spacing w:after="0"/>
              <w:rPr>
                <w:sz w:val="14"/>
                <w:szCs w:val="14"/>
                <w:color w:val="auto"/>
              </w:rPr>
            </w:pPr>
          </w:p>
        </w:tc>
      </w:tr>
      <w:tr>
        <w:trPr>
          <w:trHeight w:val="171"/>
        </w:trPr>
        <w:tc>
          <w:tcPr>
            <w:tcW w:w="49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8,618,698</w:t>
            </w:r>
          </w:p>
        </w:tc>
        <w:tc>
          <w:tcPr>
            <w:tcW w:w="3680" w:type="dxa"/>
            <w:vAlign w:val="bottom"/>
          </w:tcPr>
          <w:p>
            <w:pPr>
              <w:ind w:left="260"/>
              <w:spacing w:after="0"/>
              <w:rPr>
                <w:sz w:val="20"/>
                <w:szCs w:val="20"/>
                <w:color w:val="auto"/>
              </w:rPr>
            </w:pPr>
            <w:r>
              <w:rPr>
                <w:rFonts w:ascii="Courier New" w:cs="Courier New" w:eastAsia="Courier New" w:hAnsi="Courier New"/>
                <w:sz w:val="15"/>
                <w:szCs w:val="15"/>
                <w:color w:val="auto"/>
              </w:rPr>
              <w:t>7,581,841   SHAREHOLDERS'S EQUITY</w:t>
            </w:r>
          </w:p>
        </w:tc>
        <w:tc>
          <w:tcPr>
            <w:tcW w:w="1920" w:type="dxa"/>
            <w:vAlign w:val="bottom"/>
          </w:tcPr>
          <w:p>
            <w:pPr>
              <w:jc w:val="right"/>
              <w:spacing w:after="0"/>
              <w:rPr>
                <w:sz w:val="20"/>
                <w:szCs w:val="20"/>
                <w:color w:val="auto"/>
              </w:rPr>
            </w:pPr>
            <w:r>
              <w:rPr>
                <w:rFonts w:ascii="Courier New" w:cs="Courier New" w:eastAsia="Courier New" w:hAnsi="Courier New"/>
                <w:sz w:val="15"/>
                <w:szCs w:val="15"/>
                <w:color w:val="auto"/>
              </w:rPr>
              <w:t>8,618,698 7,581,841</w:t>
            </w:r>
          </w:p>
        </w:tc>
      </w:tr>
    </w:tbl>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829"/>
          </w:cols>
          <w:pgMar w:left="231" w:top="1140" w:right="839" w:bottom="1440" w:gutter="0" w:footer="0" w:header="0"/>
        </w:sectPr>
      </w:pPr>
    </w:p>
    <w:bookmarkStart w:id="3" w:name="page4"/>
    <w:bookmarkEnd w:id="3"/>
    <w:p>
      <w:pPr>
        <w:spacing w:after="0" w:line="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CREDICORP LTD. AND SUBSIDIARIES</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INCOME STATEMENTS</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For the periods ended December 31, 2002 and 2001</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(In Thousands of U.S. Dollars)</w:t>
      </w:r>
    </w:p>
    <w:p>
      <w:pPr>
        <w:spacing w:after="0" w:line="342" w:lineRule="exact"/>
        <w:rPr>
          <w:sz w:val="20"/>
          <w:szCs w:val="20"/>
          <w:color w:val="auto"/>
        </w:rPr>
      </w:pPr>
    </w:p>
    <w:tbl>
      <w:tblPr>
        <w:tblLayout w:type="fixed"/>
        <w:tblInd w:w="4889" w:type="dxa"/>
        <w:tblCellMar>
          <w:top w:w="0" w:type="dxa"/>
          <w:left w:w="0" w:type="dxa"/>
          <w:bottom w:w="0" w:type="dxa"/>
          <w:right w:w="0" w:type="dxa"/>
        </w:tblCellMar>
      </w:tblPr>
      <w:tr>
        <w:trPr>
          <w:trHeight w:val="170"/>
        </w:trPr>
        <w:tc>
          <w:tcPr>
            <w:tcW w:w="1100" w:type="dxa"/>
            <w:vAlign w:val="bottom"/>
          </w:tcPr>
          <w:p>
            <w:pPr>
              <w:spacing w:after="0"/>
              <w:rPr>
                <w:sz w:val="20"/>
                <w:szCs w:val="20"/>
                <w:color w:val="auto"/>
              </w:rPr>
            </w:pPr>
            <w:r>
              <w:rPr>
                <w:rFonts w:ascii="Courier New" w:cs="Courier New" w:eastAsia="Courier New" w:hAnsi="Courier New"/>
                <w:sz w:val="15"/>
                <w:szCs w:val="15"/>
                <w:color w:val="auto"/>
              </w:rPr>
              <w:t>For the 3</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For the</w:t>
            </w:r>
          </w:p>
        </w:tc>
        <w:tc>
          <w:tcPr>
            <w:tcW w:w="180" w:type="dxa"/>
            <w:vAlign w:val="bottom"/>
          </w:tcPr>
          <w:p>
            <w:pPr>
              <w:jc w:val="right"/>
              <w:ind w:right="29"/>
              <w:spacing w:after="0"/>
              <w:rPr>
                <w:sz w:val="20"/>
                <w:szCs w:val="20"/>
                <w:color w:val="auto"/>
              </w:rPr>
            </w:pPr>
            <w:r>
              <w:rPr>
                <w:rFonts w:ascii="Courier New" w:cs="Courier New" w:eastAsia="Courier New" w:hAnsi="Courier New"/>
                <w:sz w:val="14"/>
                <w:szCs w:val="14"/>
                <w:color w:val="auto"/>
                <w:w w:val="70"/>
              </w:rPr>
              <w:t>3</w:t>
            </w:r>
          </w:p>
        </w:tc>
        <w:tc>
          <w:tcPr>
            <w:tcW w:w="18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For the 12For the 12</w:t>
            </w:r>
          </w:p>
        </w:tc>
      </w:tr>
      <w:tr>
        <w:trPr>
          <w:trHeight w:val="171"/>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month period</w:t>
            </w:r>
          </w:p>
        </w:tc>
        <w:tc>
          <w:tcPr>
            <w:tcW w:w="760" w:type="dxa"/>
            <w:vAlign w:val="bottom"/>
          </w:tcPr>
          <w:p>
            <w:pPr>
              <w:ind w:left="220"/>
              <w:spacing w:after="0"/>
              <w:rPr>
                <w:sz w:val="20"/>
                <w:szCs w:val="20"/>
                <w:color w:val="auto"/>
              </w:rPr>
            </w:pPr>
            <w:r>
              <w:rPr>
                <w:rFonts w:ascii="Courier New" w:cs="Courier New" w:eastAsia="Courier New" w:hAnsi="Courier New"/>
                <w:sz w:val="15"/>
                <w:szCs w:val="15"/>
                <w:color w:val="auto"/>
              </w:rPr>
              <w:t>month</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ind w:left="140"/>
              <w:spacing w:after="0"/>
              <w:rPr>
                <w:sz w:val="20"/>
                <w:szCs w:val="20"/>
                <w:color w:val="auto"/>
              </w:rPr>
            </w:pPr>
            <w:r>
              <w:rPr>
                <w:rFonts w:ascii="Courier New" w:cs="Courier New" w:eastAsia="Courier New" w:hAnsi="Courier New"/>
                <w:sz w:val="15"/>
                <w:szCs w:val="15"/>
                <w:color w:val="auto"/>
              </w:rPr>
              <w:t>month</w:t>
            </w:r>
          </w:p>
        </w:tc>
        <w:tc>
          <w:tcPr>
            <w:tcW w:w="9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month</w:t>
            </w:r>
          </w:p>
        </w:tc>
      </w:tr>
      <w:tr>
        <w:trPr>
          <w:trHeight w:val="171"/>
        </w:trPr>
        <w:tc>
          <w:tcPr>
            <w:tcW w:w="1100" w:type="dxa"/>
            <w:vAlign w:val="bottom"/>
          </w:tcPr>
          <w:p>
            <w:pPr>
              <w:spacing w:after="0"/>
              <w:rPr>
                <w:sz w:val="20"/>
                <w:szCs w:val="20"/>
                <w:color w:val="auto"/>
              </w:rPr>
            </w:pPr>
            <w:r>
              <w:rPr>
                <w:rFonts w:ascii="Courier New" w:cs="Courier New" w:eastAsia="Courier New" w:hAnsi="Courier New"/>
                <w:sz w:val="15"/>
                <w:szCs w:val="15"/>
                <w:color w:val="auto"/>
              </w:rPr>
              <w:t>October 1st</w:t>
            </w:r>
          </w:p>
        </w:tc>
        <w:tc>
          <w:tcPr>
            <w:tcW w:w="760" w:type="dxa"/>
            <w:vAlign w:val="bottom"/>
          </w:tcPr>
          <w:p>
            <w:pPr>
              <w:ind w:left="220"/>
              <w:spacing w:after="0"/>
              <w:rPr>
                <w:sz w:val="20"/>
                <w:szCs w:val="20"/>
                <w:color w:val="auto"/>
              </w:rPr>
            </w:pPr>
            <w:r>
              <w:rPr>
                <w:rFonts w:ascii="Courier New" w:cs="Courier New" w:eastAsia="Courier New" w:hAnsi="Courier New"/>
                <w:sz w:val="15"/>
                <w:szCs w:val="15"/>
                <w:color w:val="auto"/>
                <w:w w:val="96"/>
              </w:rPr>
              <w:t>period</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Courier New" w:cs="Courier New" w:eastAsia="Courier New" w:hAnsi="Courier New"/>
                <w:sz w:val="15"/>
                <w:szCs w:val="15"/>
                <w:color w:val="auto"/>
                <w:w w:val="99"/>
              </w:rPr>
              <w:t>period</w:t>
            </w:r>
          </w:p>
        </w:tc>
        <w:tc>
          <w:tcPr>
            <w:tcW w:w="9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period</w:t>
            </w:r>
          </w:p>
        </w:tc>
      </w:tr>
      <w:tr>
        <w:trPr>
          <w:trHeight w:val="171"/>
        </w:trPr>
        <w:tc>
          <w:tcPr>
            <w:tcW w:w="1100" w:type="dxa"/>
            <w:vAlign w:val="bottom"/>
          </w:tcPr>
          <w:p>
            <w:pPr>
              <w:spacing w:after="0"/>
              <w:rPr>
                <w:sz w:val="20"/>
                <w:szCs w:val="20"/>
                <w:color w:val="auto"/>
              </w:rPr>
            </w:pPr>
            <w:r>
              <w:rPr>
                <w:rFonts w:ascii="Courier New" w:cs="Courier New" w:eastAsia="Courier New" w:hAnsi="Courier New"/>
                <w:sz w:val="15"/>
                <w:szCs w:val="15"/>
                <w:color w:val="auto"/>
              </w:rPr>
              <w:t>to December</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October</w:t>
            </w:r>
          </w:p>
        </w:tc>
        <w:tc>
          <w:tcPr>
            <w:tcW w:w="300" w:type="dxa"/>
            <w:vAlign w:val="bottom"/>
            <w:gridSpan w:val="2"/>
          </w:tcPr>
          <w:p>
            <w:pPr>
              <w:spacing w:after="0"/>
              <w:rPr>
                <w:sz w:val="20"/>
                <w:szCs w:val="20"/>
                <w:color w:val="auto"/>
              </w:rPr>
            </w:pPr>
            <w:r>
              <w:rPr>
                <w:rFonts w:ascii="Courier New" w:cs="Courier New" w:eastAsia="Courier New" w:hAnsi="Courier New"/>
                <w:sz w:val="15"/>
                <w:szCs w:val="15"/>
                <w:color w:val="auto"/>
              </w:rPr>
              <w:t>1st</w:t>
            </w:r>
          </w:p>
        </w:tc>
        <w:tc>
          <w:tcPr>
            <w:tcW w:w="840" w:type="dxa"/>
            <w:vAlign w:val="bottom"/>
          </w:tcPr>
          <w:p>
            <w:pPr>
              <w:jc w:val="center"/>
              <w:spacing w:after="0"/>
              <w:rPr>
                <w:sz w:val="20"/>
                <w:szCs w:val="20"/>
                <w:color w:val="auto"/>
              </w:rPr>
            </w:pPr>
            <w:r>
              <w:rPr>
                <w:rFonts w:ascii="Courier New" w:cs="Courier New" w:eastAsia="Courier New" w:hAnsi="Courier New"/>
                <w:sz w:val="15"/>
                <w:szCs w:val="15"/>
                <w:color w:val="auto"/>
                <w:w w:val="97"/>
              </w:rPr>
              <w:t>Jan. 1st</w:t>
            </w:r>
          </w:p>
        </w:tc>
        <w:tc>
          <w:tcPr>
            <w:tcW w:w="9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Jan. 1st</w:t>
            </w:r>
          </w:p>
        </w:tc>
      </w:tr>
      <w:tr>
        <w:trPr>
          <w:trHeight w:val="171"/>
        </w:trPr>
        <w:tc>
          <w:tcPr>
            <w:tcW w:w="1100" w:type="dxa"/>
            <w:vAlign w:val="bottom"/>
          </w:tcPr>
          <w:p>
            <w:pPr>
              <w:ind w:left="160"/>
              <w:spacing w:after="0"/>
              <w:rPr>
                <w:sz w:val="20"/>
                <w:szCs w:val="20"/>
                <w:color w:val="auto"/>
              </w:rPr>
            </w:pPr>
            <w:r>
              <w:rPr>
                <w:rFonts w:ascii="Courier New" w:cs="Courier New" w:eastAsia="Courier New" w:hAnsi="Courier New"/>
                <w:sz w:val="15"/>
                <w:szCs w:val="15"/>
                <w:color w:val="auto"/>
              </w:rPr>
              <w:t>31, 2002</w:t>
            </w:r>
          </w:p>
        </w:tc>
        <w:tc>
          <w:tcPr>
            <w:tcW w:w="106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to December</w:t>
            </w:r>
          </w:p>
        </w:tc>
        <w:tc>
          <w:tcPr>
            <w:tcW w:w="840" w:type="dxa"/>
            <w:vAlign w:val="bottom"/>
          </w:tcPr>
          <w:p>
            <w:pPr>
              <w:jc w:val="center"/>
              <w:spacing w:after="0"/>
              <w:rPr>
                <w:sz w:val="20"/>
                <w:szCs w:val="20"/>
                <w:color w:val="auto"/>
              </w:rPr>
            </w:pPr>
            <w:r>
              <w:rPr>
                <w:rFonts w:ascii="Courier New" w:cs="Courier New" w:eastAsia="Courier New" w:hAnsi="Courier New"/>
                <w:sz w:val="15"/>
                <w:szCs w:val="15"/>
                <w:color w:val="auto"/>
                <w:w w:val="99"/>
              </w:rPr>
              <w:t>to</w:t>
            </w:r>
          </w:p>
        </w:tc>
        <w:tc>
          <w:tcPr>
            <w:tcW w:w="360" w:type="dxa"/>
            <w:vAlign w:val="bottom"/>
          </w:tcPr>
          <w:p>
            <w:pPr>
              <w:spacing w:after="0"/>
              <w:rPr>
                <w:sz w:val="14"/>
                <w:szCs w:val="14"/>
                <w:color w:val="auto"/>
              </w:rPr>
            </w:pPr>
          </w:p>
        </w:tc>
        <w:tc>
          <w:tcPr>
            <w:tcW w:w="540" w:type="dxa"/>
            <w:vAlign w:val="bottom"/>
          </w:tcPr>
          <w:p>
            <w:pPr>
              <w:jc w:val="center"/>
              <w:ind w:right="286"/>
              <w:spacing w:after="0"/>
              <w:rPr>
                <w:sz w:val="20"/>
                <w:szCs w:val="20"/>
                <w:color w:val="auto"/>
              </w:rPr>
            </w:pPr>
            <w:r>
              <w:rPr>
                <w:rFonts w:ascii="Courier New" w:cs="Courier New" w:eastAsia="Courier New" w:hAnsi="Courier New"/>
                <w:sz w:val="15"/>
                <w:szCs w:val="15"/>
                <w:color w:val="auto"/>
                <w:w w:val="99"/>
              </w:rPr>
              <w:t>to</w:t>
            </w:r>
          </w:p>
        </w:tc>
      </w:tr>
      <w:tr>
        <w:trPr>
          <w:trHeight w:val="171"/>
        </w:trPr>
        <w:tc>
          <w:tcPr>
            <w:tcW w:w="1100" w:type="dxa"/>
            <w:vAlign w:val="bottom"/>
          </w:tcPr>
          <w:p>
            <w:pPr>
              <w:spacing w:after="0"/>
              <w:rPr>
                <w:sz w:val="14"/>
                <w:szCs w:val="14"/>
                <w:color w:val="auto"/>
              </w:rPr>
            </w:pPr>
          </w:p>
        </w:tc>
        <w:tc>
          <w:tcPr>
            <w:tcW w:w="940" w:type="dxa"/>
            <w:vAlign w:val="bottom"/>
            <w:gridSpan w:val="2"/>
          </w:tcPr>
          <w:p>
            <w:pPr>
              <w:jc w:val="right"/>
              <w:ind w:right="29"/>
              <w:spacing w:after="0"/>
              <w:rPr>
                <w:sz w:val="20"/>
                <w:szCs w:val="20"/>
                <w:color w:val="auto"/>
              </w:rPr>
            </w:pPr>
            <w:r>
              <w:rPr>
                <w:rFonts w:ascii="Courier New" w:cs="Courier New" w:eastAsia="Courier New" w:hAnsi="Courier New"/>
                <w:sz w:val="15"/>
                <w:szCs w:val="15"/>
                <w:color w:val="auto"/>
              </w:rPr>
              <w:t>31, 2001</w:t>
            </w:r>
          </w:p>
        </w:tc>
        <w:tc>
          <w:tcPr>
            <w:tcW w:w="1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Courier New" w:cs="Courier New" w:eastAsia="Courier New" w:hAnsi="Courier New"/>
                <w:sz w:val="15"/>
                <w:szCs w:val="15"/>
                <w:color w:val="auto"/>
                <w:w w:val="97"/>
              </w:rPr>
              <w:t>December</w:t>
            </w:r>
          </w:p>
        </w:tc>
        <w:tc>
          <w:tcPr>
            <w:tcW w:w="9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December</w:t>
            </w:r>
          </w:p>
        </w:tc>
      </w:tr>
      <w:tr>
        <w:trPr>
          <w:trHeight w:val="171"/>
        </w:trPr>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Courier New" w:cs="Courier New" w:eastAsia="Courier New" w:hAnsi="Courier New"/>
                <w:sz w:val="15"/>
                <w:szCs w:val="15"/>
                <w:color w:val="auto"/>
                <w:w w:val="97"/>
              </w:rPr>
              <w:t>31, 2002</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2001</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880" w:type="dxa"/>
            <w:vAlign w:val="bottom"/>
          </w:tcPr>
          <w:p>
            <w:pPr>
              <w:spacing w:after="0"/>
              <w:rPr>
                <w:sz w:val="20"/>
                <w:szCs w:val="20"/>
                <w:color w:val="auto"/>
              </w:rPr>
            </w:pPr>
            <w:r>
              <w:rPr>
                <w:rFonts w:ascii="Courier New" w:cs="Courier New" w:eastAsia="Courier New" w:hAnsi="Courier New"/>
                <w:sz w:val="15"/>
                <w:szCs w:val="15"/>
                <w:color w:val="auto"/>
              </w:rPr>
              <w:t>INCOME</w:t>
            </w:r>
          </w:p>
        </w:tc>
        <w:tc>
          <w:tcPr>
            <w:tcW w:w="32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131,379</w:t>
            </w:r>
          </w:p>
        </w:tc>
        <w:tc>
          <w:tcPr>
            <w:tcW w:w="18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151,765   513,346</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683,639</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89" w:type="dxa"/>
        <w:tblCellMar>
          <w:top w:w="0" w:type="dxa"/>
          <w:left w:w="0" w:type="dxa"/>
          <w:bottom w:w="0" w:type="dxa"/>
          <w:right w:w="0" w:type="dxa"/>
        </w:tblCellMar>
      </w:tblPr>
      <w:tr>
        <w:trPr>
          <w:trHeight w:val="170"/>
        </w:trPr>
        <w:tc>
          <w:tcPr>
            <w:tcW w:w="3240" w:type="dxa"/>
            <w:vAlign w:val="bottom"/>
          </w:tcPr>
          <w:p>
            <w:pPr>
              <w:spacing w:after="0"/>
              <w:rPr>
                <w:sz w:val="20"/>
                <w:szCs w:val="20"/>
                <w:color w:val="auto"/>
              </w:rPr>
            </w:pPr>
            <w:r>
              <w:rPr>
                <w:rFonts w:ascii="Courier New" w:cs="Courier New" w:eastAsia="Courier New" w:hAnsi="Courier New"/>
                <w:sz w:val="15"/>
                <w:szCs w:val="15"/>
                <w:color w:val="auto"/>
              </w:rPr>
              <w:t>Interest Income</w:t>
            </w:r>
          </w:p>
        </w:tc>
        <w:tc>
          <w:tcPr>
            <w:tcW w:w="27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131,379</w:t>
            </w:r>
          </w:p>
        </w:tc>
        <w:tc>
          <w:tcPr>
            <w:tcW w:w="18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151,765   513,346</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683,639</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169" w:type="dxa"/>
        <w:tblCellMar>
          <w:top w:w="0" w:type="dxa"/>
          <w:left w:w="0" w:type="dxa"/>
          <w:bottom w:w="0" w:type="dxa"/>
          <w:right w:w="0" w:type="dxa"/>
        </w:tblCellMar>
      </w:tblPr>
      <w:tr>
        <w:trPr>
          <w:trHeight w:val="170"/>
        </w:trPr>
        <w:tc>
          <w:tcPr>
            <w:tcW w:w="4000" w:type="dxa"/>
            <w:vAlign w:val="bottom"/>
          </w:tcPr>
          <w:p>
            <w:pPr>
              <w:spacing w:after="0"/>
              <w:rPr>
                <w:sz w:val="20"/>
                <w:szCs w:val="20"/>
                <w:color w:val="auto"/>
              </w:rPr>
            </w:pPr>
            <w:r>
              <w:rPr>
                <w:rFonts w:ascii="Courier New" w:cs="Courier New" w:eastAsia="Courier New" w:hAnsi="Courier New"/>
                <w:sz w:val="15"/>
                <w:szCs w:val="15"/>
                <w:color w:val="auto"/>
              </w:rPr>
              <w:t>Interest on Deposits with banks</w:t>
            </w:r>
          </w:p>
        </w:tc>
        <w:tc>
          <w:tcPr>
            <w:tcW w:w="19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9,602</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10,409</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35,050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62,447</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169" w:type="dxa"/>
        <w:tblCellMar>
          <w:top w:w="0" w:type="dxa"/>
          <w:left w:w="0" w:type="dxa"/>
          <w:bottom w:w="0" w:type="dxa"/>
          <w:right w:w="0" w:type="dxa"/>
        </w:tblCellMar>
      </w:tblPr>
      <w:tr>
        <w:trPr>
          <w:trHeight w:val="170"/>
        </w:trPr>
        <w:tc>
          <w:tcPr>
            <w:tcW w:w="4720" w:type="dxa"/>
            <w:vAlign w:val="bottom"/>
          </w:tcPr>
          <w:p>
            <w:pPr>
              <w:spacing w:after="0"/>
              <w:rPr>
                <w:sz w:val="20"/>
                <w:szCs w:val="20"/>
                <w:color w:val="auto"/>
              </w:rPr>
            </w:pPr>
            <w:r>
              <w:rPr>
                <w:rFonts w:ascii="Courier New" w:cs="Courier New" w:eastAsia="Courier New" w:hAnsi="Courier New"/>
                <w:sz w:val="15"/>
                <w:szCs w:val="15"/>
                <w:color w:val="auto"/>
              </w:rPr>
              <w:t>Interest and commissions from Interbank funds</w:t>
            </w:r>
          </w:p>
        </w:tc>
        <w:tc>
          <w:tcPr>
            <w:tcW w:w="13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628</w:t>
            </w: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125</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1,465</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3,076</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169" w:type="dxa"/>
        <w:tblCellMar>
          <w:top w:w="0" w:type="dxa"/>
          <w:left w:w="0" w:type="dxa"/>
          <w:bottom w:w="0" w:type="dxa"/>
          <w:right w:w="0" w:type="dxa"/>
        </w:tblCellMar>
      </w:tblP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Interest on trading securities</w:t>
            </w:r>
          </w:p>
        </w:tc>
        <w:tc>
          <w:tcPr>
            <w:tcW w:w="20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17,456</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15,064</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45,493</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65,063</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169" w:type="dxa"/>
        <w:tblCellMar>
          <w:top w:w="0" w:type="dxa"/>
          <w:left w:w="0" w:type="dxa"/>
          <w:bottom w:w="0" w:type="dxa"/>
          <w:right w:w="0" w:type="dxa"/>
        </w:tblCellMar>
      </w:tblP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Interest on Loans</w:t>
            </w:r>
          </w:p>
        </w:tc>
        <w:tc>
          <w:tcPr>
            <w:tcW w:w="26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101,314</w:t>
            </w:r>
          </w:p>
        </w:tc>
        <w:tc>
          <w:tcPr>
            <w:tcW w:w="18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123,786   420,341</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544,255</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169" w:type="dxa"/>
        <w:tblCellMar>
          <w:top w:w="0" w:type="dxa"/>
          <w:left w:w="0" w:type="dxa"/>
          <w:bottom w:w="0" w:type="dxa"/>
          <w:right w:w="0" w:type="dxa"/>
        </w:tblCellMar>
      </w:tblPr>
      <w:tr>
        <w:trPr>
          <w:trHeight w:val="170"/>
        </w:trPr>
        <w:tc>
          <w:tcPr>
            <w:tcW w:w="4000" w:type="dxa"/>
            <w:vAlign w:val="bottom"/>
          </w:tcPr>
          <w:p>
            <w:pPr>
              <w:spacing w:after="0"/>
              <w:rPr>
                <w:sz w:val="20"/>
                <w:szCs w:val="20"/>
                <w:color w:val="auto"/>
              </w:rPr>
            </w:pPr>
            <w:r>
              <w:rPr>
                <w:rFonts w:ascii="Courier New" w:cs="Courier New" w:eastAsia="Courier New" w:hAnsi="Courier New"/>
                <w:sz w:val="15"/>
                <w:szCs w:val="15"/>
                <w:color w:val="auto"/>
              </w:rPr>
              <w:t>Income on notes receivables</w:t>
            </w:r>
          </w:p>
        </w:tc>
        <w:tc>
          <w:tcPr>
            <w:tcW w:w="21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0</w:t>
            </w:r>
          </w:p>
        </w:tc>
        <w:tc>
          <w:tcPr>
            <w:tcW w:w="9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w:t>
            </w:r>
          </w:p>
        </w:tc>
        <w:tc>
          <w:tcPr>
            <w:tcW w:w="8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169" w:type="dxa"/>
        <w:tblCellMar>
          <w:top w:w="0" w:type="dxa"/>
          <w:left w:w="0" w:type="dxa"/>
          <w:bottom w:w="0" w:type="dxa"/>
          <w:right w:w="0" w:type="dxa"/>
        </w:tblCellMar>
      </w:tblPr>
      <w:tr>
        <w:trPr>
          <w:trHeight w:val="170"/>
        </w:trPr>
        <w:tc>
          <w:tcPr>
            <w:tcW w:w="4320" w:type="dxa"/>
            <w:vAlign w:val="bottom"/>
          </w:tcPr>
          <w:p>
            <w:pPr>
              <w:spacing w:after="0"/>
              <w:rPr>
                <w:sz w:val="20"/>
                <w:szCs w:val="20"/>
                <w:color w:val="auto"/>
              </w:rPr>
            </w:pPr>
            <w:r>
              <w:rPr>
                <w:rFonts w:ascii="Courier New" w:cs="Courier New" w:eastAsia="Courier New" w:hAnsi="Courier New"/>
                <w:sz w:val="15"/>
                <w:szCs w:val="15"/>
                <w:color w:val="auto"/>
              </w:rPr>
              <w:t>Interest and dividends on investment</w:t>
            </w:r>
          </w:p>
        </w:tc>
        <w:tc>
          <w:tcPr>
            <w:tcW w:w="17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490</w:t>
            </w: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380</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2,293</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2,387</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169" w:type="dxa"/>
        <w:tblCellMar>
          <w:top w:w="0" w:type="dxa"/>
          <w:left w:w="0" w:type="dxa"/>
          <w:bottom w:w="0" w:type="dxa"/>
          <w:right w:w="0" w:type="dxa"/>
        </w:tblCellMar>
      </w:tblPr>
      <w:tr>
        <w:trPr>
          <w:trHeight w:val="170"/>
        </w:trPr>
        <w:tc>
          <w:tcPr>
            <w:tcW w:w="4620" w:type="dxa"/>
            <w:vAlign w:val="bottom"/>
          </w:tcPr>
          <w:p>
            <w:pPr>
              <w:spacing w:after="0"/>
              <w:rPr>
                <w:sz w:val="20"/>
                <w:szCs w:val="20"/>
                <w:color w:val="auto"/>
              </w:rPr>
            </w:pPr>
            <w:r>
              <w:rPr>
                <w:rFonts w:ascii="Courier New" w:cs="Courier New" w:eastAsia="Courier New" w:hAnsi="Courier New"/>
                <w:sz w:val="15"/>
                <w:szCs w:val="15"/>
                <w:color w:val="auto"/>
              </w:rPr>
              <w:t>Fees and other income on financial operations</w:t>
            </w:r>
          </w:p>
        </w:tc>
        <w:tc>
          <w:tcPr>
            <w:tcW w:w="13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1,889</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2,001</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8,704</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6,411</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120" w:type="dxa"/>
            <w:vAlign w:val="bottom"/>
          </w:tcPr>
          <w:p>
            <w:pPr>
              <w:spacing w:after="0"/>
              <w:rPr>
                <w:sz w:val="14"/>
                <w:szCs w:val="14"/>
                <w:color w:val="auto"/>
              </w:rPr>
            </w:pPr>
          </w:p>
        </w:tc>
        <w:tc>
          <w:tcPr>
            <w:tcW w:w="3780" w:type="dxa"/>
            <w:vAlign w:val="bottom"/>
          </w:tcPr>
          <w:p>
            <w:pPr>
              <w:ind w:left="40"/>
              <w:spacing w:after="0"/>
              <w:rPr>
                <w:sz w:val="20"/>
                <w:szCs w:val="20"/>
                <w:color w:val="auto"/>
              </w:rPr>
            </w:pPr>
            <w:r>
              <w:rPr>
                <w:rFonts w:ascii="Courier New" w:cs="Courier New" w:eastAsia="Courier New" w:hAnsi="Courier New"/>
                <w:sz w:val="15"/>
                <w:szCs w:val="15"/>
                <w:color w:val="auto"/>
              </w:rPr>
              <w:t>Others</w:t>
            </w:r>
          </w:p>
        </w:tc>
        <w:tc>
          <w:tcPr>
            <w:tcW w:w="24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0</w:t>
            </w:r>
          </w:p>
        </w:tc>
        <w:tc>
          <w:tcPr>
            <w:tcW w:w="9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w:t>
            </w:r>
          </w:p>
        </w:tc>
        <w:tc>
          <w:tcPr>
            <w:tcW w:w="8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w:t>
            </w:r>
          </w:p>
        </w:tc>
        <w:tc>
          <w:tcPr>
            <w:tcW w:w="7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0</w:t>
            </w:r>
          </w:p>
        </w:tc>
      </w:tr>
      <w:tr>
        <w:trPr>
          <w:trHeight w:val="171"/>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840" w:type="dxa"/>
            <w:vAlign w:val="bottom"/>
            <w:gridSpan w:val="5"/>
          </w:tcPr>
          <w:p>
            <w:pPr>
              <w:ind w:left="40"/>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3900" w:type="dxa"/>
            <w:vAlign w:val="bottom"/>
            <w:gridSpan w:val="2"/>
          </w:tcPr>
          <w:p>
            <w:pPr>
              <w:spacing w:after="0"/>
              <w:rPr>
                <w:sz w:val="20"/>
                <w:szCs w:val="20"/>
                <w:color w:val="auto"/>
              </w:rPr>
            </w:pPr>
            <w:r>
              <w:rPr>
                <w:rFonts w:ascii="Courier New" w:cs="Courier New" w:eastAsia="Courier New" w:hAnsi="Courier New"/>
                <w:sz w:val="15"/>
                <w:szCs w:val="15"/>
                <w:color w:val="auto"/>
              </w:rPr>
              <w:t>Operating Income</w:t>
            </w:r>
          </w:p>
        </w:tc>
        <w:tc>
          <w:tcPr>
            <w:tcW w:w="24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0</w:t>
            </w:r>
          </w:p>
        </w:tc>
        <w:tc>
          <w:tcPr>
            <w:tcW w:w="9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w:t>
            </w:r>
          </w:p>
        </w:tc>
        <w:tc>
          <w:tcPr>
            <w:tcW w:w="8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w:t>
            </w:r>
          </w:p>
        </w:tc>
        <w:tc>
          <w:tcPr>
            <w:tcW w:w="7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0</w:t>
            </w:r>
          </w:p>
        </w:tc>
      </w:tr>
      <w:tr>
        <w:trPr>
          <w:trHeight w:val="171"/>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840" w:type="dxa"/>
            <w:vAlign w:val="bottom"/>
            <w:gridSpan w:val="5"/>
          </w:tcPr>
          <w:p>
            <w:pPr>
              <w:ind w:left="40"/>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3900" w:type="dxa"/>
            <w:vAlign w:val="bottom"/>
            <w:gridSpan w:val="2"/>
          </w:tcPr>
          <w:p>
            <w:pPr>
              <w:spacing w:after="0"/>
              <w:rPr>
                <w:sz w:val="20"/>
                <w:szCs w:val="20"/>
                <w:color w:val="auto"/>
              </w:rPr>
            </w:pPr>
            <w:r>
              <w:rPr>
                <w:rFonts w:ascii="Courier New" w:cs="Courier New" w:eastAsia="Courier New" w:hAnsi="Courier New"/>
                <w:sz w:val="15"/>
                <w:szCs w:val="15"/>
                <w:color w:val="auto"/>
              </w:rPr>
              <w:t>Other operating revenue</w:t>
            </w:r>
          </w:p>
        </w:tc>
        <w:tc>
          <w:tcPr>
            <w:tcW w:w="24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0</w:t>
            </w:r>
          </w:p>
        </w:tc>
        <w:tc>
          <w:tcPr>
            <w:tcW w:w="9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w:t>
            </w:r>
          </w:p>
        </w:tc>
        <w:tc>
          <w:tcPr>
            <w:tcW w:w="8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w:t>
            </w:r>
          </w:p>
        </w:tc>
        <w:tc>
          <w:tcPr>
            <w:tcW w:w="7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0</w:t>
            </w:r>
          </w:p>
        </w:tc>
      </w:tr>
    </w:tbl>
    <w:p>
      <w:pPr>
        <w:spacing w:after="0" w:line="3" w:lineRule="exact"/>
        <w:rPr>
          <w:sz w:val="20"/>
          <w:szCs w:val="20"/>
          <w:color w:val="auto"/>
        </w:rPr>
      </w:pPr>
    </w:p>
    <w:p>
      <w:pPr>
        <w:ind w:left="169" w:hanging="169"/>
        <w:spacing w:after="0"/>
        <w:tabs>
          <w:tab w:leader="none" w:pos="169"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2"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96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31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-43,587</w:t>
            </w:r>
          </w:p>
        </w:tc>
        <w:tc>
          <w:tcPr>
            <w:tcW w:w="2600" w:type="dxa"/>
            <w:vAlign w:val="bottom"/>
          </w:tcPr>
          <w:p>
            <w:pPr>
              <w:jc w:val="right"/>
              <w:spacing w:after="0"/>
              <w:rPr>
                <w:sz w:val="20"/>
                <w:szCs w:val="20"/>
                <w:color w:val="auto"/>
              </w:rPr>
            </w:pPr>
            <w:r>
              <w:rPr>
                <w:rFonts w:ascii="Courier New" w:cs="Courier New" w:eastAsia="Courier New" w:hAnsi="Courier New"/>
                <w:sz w:val="15"/>
                <w:szCs w:val="15"/>
                <w:color w:val="auto"/>
              </w:rPr>
              <w:t>-60,561  -178,070  -318,542</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169" w:type="dxa"/>
        <w:tblCellMar>
          <w:top w:w="0" w:type="dxa"/>
          <w:left w:w="0" w:type="dxa"/>
          <w:bottom w:w="0" w:type="dxa"/>
          <w:right w:w="0" w:type="dxa"/>
        </w:tblCellMar>
      </w:tblPr>
      <w:tr>
        <w:trPr>
          <w:trHeight w:val="170"/>
        </w:trPr>
        <w:tc>
          <w:tcPr>
            <w:tcW w:w="324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26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-43,587</w:t>
            </w:r>
          </w:p>
        </w:tc>
        <w:tc>
          <w:tcPr>
            <w:tcW w:w="2600" w:type="dxa"/>
            <w:vAlign w:val="bottom"/>
          </w:tcPr>
          <w:p>
            <w:pPr>
              <w:jc w:val="right"/>
              <w:spacing w:after="0"/>
              <w:rPr>
                <w:sz w:val="20"/>
                <w:szCs w:val="20"/>
                <w:color w:val="auto"/>
              </w:rPr>
            </w:pPr>
            <w:r>
              <w:rPr>
                <w:rFonts w:ascii="Courier New" w:cs="Courier New" w:eastAsia="Courier New" w:hAnsi="Courier New"/>
                <w:sz w:val="15"/>
                <w:szCs w:val="15"/>
                <w:color w:val="auto"/>
              </w:rPr>
              <w:t>-60,561  -178,070  -318,542</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169" w:type="dxa"/>
        <w:tblCellMar>
          <w:top w:w="0" w:type="dxa"/>
          <w:left w:w="0" w:type="dxa"/>
          <w:bottom w:w="0" w:type="dxa"/>
          <w:right w:w="0" w:type="dxa"/>
        </w:tblCellMar>
      </w:tblPr>
      <w:tr>
        <w:trPr>
          <w:trHeight w:val="170"/>
        </w:trPr>
        <w:tc>
          <w:tcPr>
            <w:tcW w:w="4660" w:type="dxa"/>
            <w:vAlign w:val="bottom"/>
          </w:tcPr>
          <w:p>
            <w:pPr>
              <w:spacing w:after="0"/>
              <w:rPr>
                <w:sz w:val="20"/>
                <w:szCs w:val="20"/>
                <w:color w:val="auto"/>
              </w:rPr>
            </w:pPr>
            <w:r>
              <w:rPr>
                <w:rFonts w:ascii="Courier New" w:cs="Courier New" w:eastAsia="Courier New" w:hAnsi="Courier New"/>
                <w:sz w:val="15"/>
                <w:szCs w:val="15"/>
                <w:color w:val="auto"/>
              </w:rPr>
              <w:t>Interest and fees on obligations with the public</w:t>
            </w:r>
          </w:p>
        </w:tc>
        <w:tc>
          <w:tcPr>
            <w:tcW w:w="12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-27,866</w:t>
            </w:r>
          </w:p>
        </w:tc>
        <w:tc>
          <w:tcPr>
            <w:tcW w:w="2600" w:type="dxa"/>
            <w:vAlign w:val="bottom"/>
          </w:tcPr>
          <w:p>
            <w:pPr>
              <w:jc w:val="right"/>
              <w:spacing w:after="0"/>
              <w:rPr>
                <w:sz w:val="20"/>
                <w:szCs w:val="20"/>
                <w:color w:val="auto"/>
              </w:rPr>
            </w:pPr>
            <w:r>
              <w:rPr>
                <w:rFonts w:ascii="Courier New" w:cs="Courier New" w:eastAsia="Courier New" w:hAnsi="Courier New"/>
                <w:sz w:val="15"/>
                <w:szCs w:val="15"/>
                <w:color w:val="auto"/>
              </w:rPr>
              <w:t>-41,163  -117,258  -220,024</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p>
      <w:pPr>
        <w:ind w:left="169"/>
        <w:spacing w:after="0"/>
        <w:tabs>
          <w:tab w:leader="none" w:pos="5489" w:val="left"/>
          <w:tab w:leader="none" w:pos="6549" w:val="left"/>
          <w:tab w:leader="none" w:pos="7429" w:val="left"/>
          <w:tab w:leader="none" w:pos="8149" w:val="left"/>
        </w:tabs>
        <w:rPr>
          <w:sz w:val="20"/>
          <w:szCs w:val="20"/>
          <w:color w:val="auto"/>
        </w:rPr>
      </w:pPr>
      <w:r>
        <w:rPr>
          <w:rFonts w:ascii="Courier New" w:cs="Courier New" w:eastAsia="Courier New" w:hAnsi="Courier New"/>
          <w:sz w:val="15"/>
          <w:szCs w:val="15"/>
          <w:color w:val="auto"/>
        </w:rPr>
        <w:t>Interest and fees on interbank funds</w:t>
      </w:r>
      <w:r>
        <w:rPr>
          <w:sz w:val="20"/>
          <w:szCs w:val="20"/>
          <w:color w:val="auto"/>
        </w:rPr>
        <w:tab/>
      </w:r>
      <w:r>
        <w:rPr>
          <w:rFonts w:ascii="Courier New" w:cs="Courier New" w:eastAsia="Courier New" w:hAnsi="Courier New"/>
          <w:sz w:val="15"/>
          <w:szCs w:val="15"/>
          <w:color w:val="auto"/>
        </w:rPr>
        <w:t>-222</w:t>
      </w:r>
      <w:r>
        <w:rPr>
          <w:sz w:val="20"/>
          <w:szCs w:val="20"/>
          <w:color w:val="auto"/>
        </w:rPr>
        <w:tab/>
      </w:r>
      <w:r>
        <w:rPr>
          <w:rFonts w:ascii="Courier New" w:cs="Courier New" w:eastAsia="Courier New" w:hAnsi="Courier New"/>
          <w:sz w:val="15"/>
          <w:szCs w:val="15"/>
          <w:color w:val="auto"/>
        </w:rPr>
        <w:t>-287</w:t>
      </w:r>
      <w:r>
        <w:rPr>
          <w:sz w:val="20"/>
          <w:szCs w:val="20"/>
          <w:color w:val="auto"/>
        </w:rPr>
        <w:tab/>
      </w:r>
      <w:r>
        <w:rPr>
          <w:rFonts w:ascii="Courier New" w:cs="Courier New" w:eastAsia="Courier New" w:hAnsi="Courier New"/>
          <w:sz w:val="15"/>
          <w:szCs w:val="15"/>
          <w:color w:val="auto"/>
        </w:rPr>
        <w:t>-918</w:t>
      </w:r>
      <w:r>
        <w:rPr>
          <w:sz w:val="20"/>
          <w:szCs w:val="20"/>
          <w:color w:val="auto"/>
        </w:rPr>
        <w:tab/>
      </w:r>
      <w:r>
        <w:rPr>
          <w:rFonts w:ascii="Courier New" w:cs="Courier New" w:eastAsia="Courier New" w:hAnsi="Courier New"/>
          <w:sz w:val="14"/>
          <w:szCs w:val="14"/>
          <w:color w:val="auto"/>
        </w:rPr>
        <w:t>-1,762</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Interest on deposits from other</w:t>
      </w:r>
    </w:p>
    <w:p>
      <w:pPr>
        <w:spacing w:after="0" w:line="1" w:lineRule="exact"/>
        <w:rPr>
          <w:sz w:val="20"/>
          <w:szCs w:val="20"/>
          <w:color w:val="auto"/>
        </w:rPr>
      </w:pPr>
    </w:p>
    <w:p>
      <w:pPr>
        <w:ind w:left="269"/>
        <w:spacing w:after="0"/>
        <w:tabs>
          <w:tab w:leader="none" w:pos="5489" w:val="left"/>
          <w:tab w:leader="none" w:pos="6369" w:val="left"/>
          <w:tab w:leader="none" w:pos="7249" w:val="left"/>
          <w:tab w:leader="none" w:pos="8149" w:val="left"/>
        </w:tabs>
        <w:rPr>
          <w:sz w:val="20"/>
          <w:szCs w:val="20"/>
          <w:color w:val="auto"/>
        </w:rPr>
      </w:pPr>
      <w:r>
        <w:rPr>
          <w:rFonts w:ascii="Courier New" w:cs="Courier New" w:eastAsia="Courier New" w:hAnsi="Courier New"/>
          <w:sz w:val="15"/>
          <w:szCs w:val="15"/>
          <w:color w:val="auto"/>
        </w:rPr>
        <w:t>financial and international institutions</w:t>
      </w:r>
      <w:r>
        <w:rPr>
          <w:sz w:val="20"/>
          <w:szCs w:val="20"/>
          <w:color w:val="auto"/>
        </w:rPr>
        <w:tab/>
      </w:r>
      <w:r>
        <w:rPr>
          <w:rFonts w:ascii="Courier New" w:cs="Courier New" w:eastAsia="Courier New" w:hAnsi="Courier New"/>
          <w:sz w:val="15"/>
          <w:szCs w:val="15"/>
          <w:color w:val="auto"/>
        </w:rPr>
        <w:t>-214</w:t>
      </w:r>
      <w:r>
        <w:rPr>
          <w:sz w:val="20"/>
          <w:szCs w:val="20"/>
          <w:color w:val="auto"/>
        </w:rPr>
        <w:tab/>
      </w:r>
      <w:r>
        <w:rPr>
          <w:rFonts w:ascii="Courier New" w:cs="Courier New" w:eastAsia="Courier New" w:hAnsi="Courier New"/>
          <w:sz w:val="15"/>
          <w:szCs w:val="15"/>
          <w:color w:val="auto"/>
        </w:rPr>
        <w:t>-1,463</w:t>
      </w:r>
      <w:r>
        <w:rPr>
          <w:sz w:val="20"/>
          <w:szCs w:val="20"/>
          <w:color w:val="auto"/>
        </w:rPr>
        <w:tab/>
      </w:r>
      <w:r>
        <w:rPr>
          <w:rFonts w:ascii="Courier New" w:cs="Courier New" w:eastAsia="Courier New" w:hAnsi="Courier New"/>
          <w:sz w:val="15"/>
          <w:szCs w:val="15"/>
          <w:color w:val="auto"/>
        </w:rPr>
        <w:t>-2,350</w:t>
      </w:r>
      <w:r>
        <w:rPr>
          <w:sz w:val="20"/>
          <w:szCs w:val="20"/>
          <w:color w:val="auto"/>
        </w:rPr>
        <w:tab/>
      </w:r>
      <w:r>
        <w:rPr>
          <w:rFonts w:ascii="Courier New" w:cs="Courier New" w:eastAsia="Courier New" w:hAnsi="Courier New"/>
          <w:sz w:val="14"/>
          <w:szCs w:val="14"/>
          <w:color w:val="auto"/>
        </w:rPr>
        <w:t>-4,320</w:t>
      </w:r>
    </w:p>
    <w:p>
      <w:pPr>
        <w:spacing w:after="0" w:line="3" w:lineRule="exact"/>
        <w:rPr>
          <w:sz w:val="20"/>
          <w:szCs w:val="20"/>
          <w:color w:val="auto"/>
        </w:rPr>
      </w:pPr>
    </w:p>
    <w:p>
      <w:pPr>
        <w:ind w:left="169" w:hanging="169"/>
        <w:spacing w:after="0"/>
        <w:tabs>
          <w:tab w:leader="none" w:pos="169"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16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Interest on short term debt to banks and</w:t>
      </w:r>
    </w:p>
    <w:p>
      <w:pPr>
        <w:spacing w:after="0" w:line="1" w:lineRule="exact"/>
        <w:rPr>
          <w:sz w:val="20"/>
          <w:szCs w:val="20"/>
          <w:color w:val="auto"/>
        </w:rPr>
      </w:pPr>
    </w:p>
    <w:tbl>
      <w:tblPr>
        <w:tblLayout w:type="fixed"/>
        <w:tblInd w:w="269" w:type="dxa"/>
        <w:tblCellMar>
          <w:top w:w="0" w:type="dxa"/>
          <w:left w:w="0" w:type="dxa"/>
          <w:bottom w:w="0" w:type="dxa"/>
          <w:right w:w="0" w:type="dxa"/>
        </w:tblCellMar>
      </w:tblPr>
      <w:tr>
        <w:trPr>
          <w:trHeight w:val="170"/>
        </w:trPr>
        <w:tc>
          <w:tcPr>
            <w:tcW w:w="3100" w:type="dxa"/>
            <w:vAlign w:val="bottom"/>
          </w:tcPr>
          <w:p>
            <w:pPr>
              <w:spacing w:after="0"/>
              <w:rPr>
                <w:sz w:val="20"/>
                <w:szCs w:val="20"/>
                <w:color w:val="auto"/>
              </w:rPr>
            </w:pPr>
            <w:r>
              <w:rPr>
                <w:rFonts w:ascii="Courier New" w:cs="Courier New" w:eastAsia="Courier New" w:hAnsi="Courier New"/>
                <w:sz w:val="15"/>
                <w:szCs w:val="15"/>
                <w:color w:val="auto"/>
              </w:rPr>
              <w:t>correspondets</w:t>
            </w:r>
          </w:p>
        </w:tc>
        <w:tc>
          <w:tcPr>
            <w:tcW w:w="27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-4,914</w:t>
            </w:r>
          </w:p>
        </w:tc>
        <w:tc>
          <w:tcPr>
            <w:tcW w:w="18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-10,100   -24,367</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-57,415</w:t>
            </w:r>
          </w:p>
        </w:tc>
      </w:tr>
    </w:tbl>
    <w:p>
      <w:pPr>
        <w:spacing w:after="0" w:line="3" w:lineRule="exact"/>
        <w:rPr>
          <w:sz w:val="20"/>
          <w:szCs w:val="20"/>
          <w:color w:val="auto"/>
        </w:rPr>
      </w:pPr>
    </w:p>
    <w:p>
      <w:pPr>
        <w:ind w:left="169" w:hanging="169"/>
        <w:spacing w:after="0"/>
        <w:tabs>
          <w:tab w:leader="none" w:pos="169"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16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Interest on long term debt to banks and</w:t>
      </w:r>
    </w:p>
    <w:p>
      <w:pPr>
        <w:spacing w:after="0" w:line="1" w:lineRule="exact"/>
        <w:rPr>
          <w:sz w:val="20"/>
          <w:szCs w:val="20"/>
          <w:color w:val="auto"/>
        </w:rPr>
      </w:pPr>
    </w:p>
    <w:tbl>
      <w:tblPr>
        <w:tblLayout w:type="fixed"/>
        <w:tblInd w:w="269" w:type="dxa"/>
        <w:tblCellMar>
          <w:top w:w="0" w:type="dxa"/>
          <w:left w:w="0" w:type="dxa"/>
          <w:bottom w:w="0" w:type="dxa"/>
          <w:right w:w="0" w:type="dxa"/>
        </w:tblCellMar>
      </w:tblPr>
      <w:tr>
        <w:trPr>
          <w:trHeight w:val="170"/>
        </w:trPr>
        <w:tc>
          <w:tcPr>
            <w:tcW w:w="3360" w:type="dxa"/>
            <w:vAlign w:val="bottom"/>
          </w:tcPr>
          <w:p>
            <w:pPr>
              <w:spacing w:after="0"/>
              <w:rPr>
                <w:sz w:val="20"/>
                <w:szCs w:val="20"/>
                <w:color w:val="auto"/>
              </w:rPr>
            </w:pPr>
            <w:r>
              <w:rPr>
                <w:rFonts w:ascii="Courier New" w:cs="Courier New" w:eastAsia="Courier New" w:hAnsi="Courier New"/>
                <w:sz w:val="15"/>
                <w:szCs w:val="15"/>
                <w:color w:val="auto"/>
              </w:rPr>
              <w:t>correspondents</w:t>
            </w:r>
          </w:p>
        </w:tc>
        <w:tc>
          <w:tcPr>
            <w:tcW w:w="27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0</w:t>
            </w:r>
          </w:p>
        </w:tc>
        <w:tc>
          <w:tcPr>
            <w:tcW w:w="9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w:t>
            </w:r>
          </w:p>
        </w:tc>
        <w:tc>
          <w:tcPr>
            <w:tcW w:w="8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120" w:type="dxa"/>
            <w:vAlign w:val="bottom"/>
          </w:tcPr>
          <w:p>
            <w:pPr>
              <w:spacing w:after="0"/>
              <w:rPr>
                <w:sz w:val="14"/>
                <w:szCs w:val="14"/>
                <w:color w:val="auto"/>
              </w:rPr>
            </w:pPr>
          </w:p>
        </w:tc>
        <w:tc>
          <w:tcPr>
            <w:tcW w:w="4760" w:type="dxa"/>
            <w:vAlign w:val="bottom"/>
          </w:tcPr>
          <w:p>
            <w:pPr>
              <w:ind w:left="40"/>
              <w:spacing w:after="0"/>
              <w:rPr>
                <w:sz w:val="20"/>
                <w:szCs w:val="20"/>
                <w:color w:val="auto"/>
              </w:rPr>
            </w:pPr>
            <w:r>
              <w:rPr>
                <w:rFonts w:ascii="Courier New" w:cs="Courier New" w:eastAsia="Courier New" w:hAnsi="Courier New"/>
                <w:sz w:val="15"/>
                <w:szCs w:val="15"/>
                <w:color w:val="auto"/>
              </w:rPr>
              <w:t>Interest and fees on other financial obligations</w:t>
            </w:r>
          </w:p>
        </w:tc>
        <w:tc>
          <w:tcPr>
            <w:tcW w:w="12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-407</w:t>
            </w: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-9</w:t>
            </w:r>
          </w:p>
        </w:tc>
        <w:tc>
          <w:tcPr>
            <w:tcW w:w="9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-514</w:t>
            </w:r>
          </w:p>
        </w:tc>
        <w:tc>
          <w:tcPr>
            <w:tcW w:w="10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-63</w:t>
            </w:r>
          </w:p>
        </w:tc>
      </w:tr>
      <w:tr>
        <w:trPr>
          <w:trHeight w:val="171"/>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840" w:type="dxa"/>
            <w:vAlign w:val="bottom"/>
            <w:gridSpan w:val="5"/>
          </w:tcPr>
          <w:p>
            <w:pPr>
              <w:ind w:left="40"/>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120" w:type="dxa"/>
            <w:vAlign w:val="bottom"/>
          </w:tcPr>
          <w:p>
            <w:pPr>
              <w:spacing w:after="0"/>
              <w:rPr>
                <w:sz w:val="14"/>
                <w:szCs w:val="14"/>
                <w:color w:val="auto"/>
              </w:rPr>
            </w:pPr>
          </w:p>
        </w:tc>
        <w:tc>
          <w:tcPr>
            <w:tcW w:w="4760" w:type="dxa"/>
            <w:vAlign w:val="bottom"/>
          </w:tcPr>
          <w:p>
            <w:pPr>
              <w:ind w:left="40"/>
              <w:spacing w:after="0"/>
              <w:rPr>
                <w:sz w:val="20"/>
                <w:szCs w:val="20"/>
                <w:color w:val="auto"/>
              </w:rPr>
            </w:pPr>
            <w:r>
              <w:rPr>
                <w:rFonts w:ascii="Courier New" w:cs="Courier New" w:eastAsia="Courier New" w:hAnsi="Courier New"/>
                <w:sz w:val="15"/>
                <w:szCs w:val="15"/>
                <w:color w:val="auto"/>
              </w:rPr>
              <w:t>Other interest expense</w:t>
            </w:r>
          </w:p>
        </w:tc>
        <w:tc>
          <w:tcPr>
            <w:tcW w:w="12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-9,964</w:t>
            </w: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-7,539</w:t>
            </w:r>
          </w:p>
        </w:tc>
        <w:tc>
          <w:tcPr>
            <w:tcW w:w="9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-32,663</w:t>
            </w:r>
          </w:p>
        </w:tc>
        <w:tc>
          <w:tcPr>
            <w:tcW w:w="10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-34,958</w:t>
            </w:r>
          </w:p>
        </w:tc>
      </w:tr>
      <w:tr>
        <w:trPr>
          <w:trHeight w:val="171"/>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840" w:type="dxa"/>
            <w:vAlign w:val="bottom"/>
            <w:gridSpan w:val="5"/>
          </w:tcPr>
          <w:p>
            <w:pPr>
              <w:ind w:left="40"/>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4880" w:type="dxa"/>
            <w:vAlign w:val="bottom"/>
            <w:gridSpan w:val="2"/>
          </w:tcPr>
          <w:p>
            <w:pPr>
              <w:spacing w:after="0"/>
              <w:rPr>
                <w:sz w:val="20"/>
                <w:szCs w:val="20"/>
                <w:color w:val="auto"/>
              </w:rPr>
            </w:pPr>
            <w:r>
              <w:rPr>
                <w:rFonts w:ascii="Courier New" w:cs="Courier New" w:eastAsia="Courier New" w:hAnsi="Courier New"/>
                <w:sz w:val="15"/>
                <w:szCs w:val="15"/>
                <w:color w:val="auto"/>
              </w:rPr>
              <w:t>Operating costs</w:t>
            </w:r>
          </w:p>
        </w:tc>
        <w:tc>
          <w:tcPr>
            <w:tcW w:w="12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0</w:t>
            </w: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0</w:t>
            </w:r>
          </w:p>
        </w:tc>
        <w:tc>
          <w:tcPr>
            <w:tcW w:w="9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w:t>
            </w:r>
          </w:p>
        </w:tc>
        <w:tc>
          <w:tcPr>
            <w:tcW w:w="10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0</w:t>
            </w:r>
          </w:p>
        </w:tc>
      </w:tr>
    </w:tbl>
    <w:p>
      <w:pPr>
        <w:spacing w:after="0" w:line="3" w:lineRule="exact"/>
        <w:rPr>
          <w:sz w:val="20"/>
          <w:szCs w:val="20"/>
          <w:color w:val="auto"/>
        </w:rPr>
      </w:pPr>
    </w:p>
    <w:p>
      <w:pPr>
        <w:ind w:left="169" w:hanging="169"/>
        <w:spacing w:after="0"/>
        <w:tabs>
          <w:tab w:leader="none" w:pos="169"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2"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700" w:type="dxa"/>
            <w:vAlign w:val="bottom"/>
            <w:gridSpan w:val="2"/>
          </w:tcPr>
          <w:p>
            <w:pPr>
              <w:spacing w:after="0"/>
              <w:rPr>
                <w:sz w:val="20"/>
                <w:szCs w:val="20"/>
                <w:color w:val="auto"/>
              </w:rPr>
            </w:pPr>
            <w:r>
              <w:rPr>
                <w:rFonts w:ascii="Courier New" w:cs="Courier New" w:eastAsia="Courier New" w:hAnsi="Courier New"/>
                <w:sz w:val="15"/>
                <w:szCs w:val="15"/>
                <w:color w:val="auto"/>
              </w:rPr>
              <w:t>GROSS FINANCIAL MARGIN</w:t>
            </w:r>
          </w:p>
        </w:tc>
        <w:tc>
          <w:tcPr>
            <w:tcW w:w="13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87,792</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91,204</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335,276</w:t>
            </w: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365,097</w:t>
            </w:r>
          </w:p>
        </w:tc>
      </w:tr>
      <w:tr>
        <w:trPr>
          <w:trHeight w:val="171"/>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84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4700" w:type="dxa"/>
            <w:vAlign w:val="bottom"/>
            <w:gridSpan w:val="2"/>
          </w:tcPr>
          <w:p>
            <w:pPr>
              <w:spacing w:after="0"/>
              <w:rPr>
                <w:sz w:val="20"/>
                <w:szCs w:val="20"/>
                <w:color w:val="auto"/>
              </w:rPr>
            </w:pPr>
            <w:r>
              <w:rPr>
                <w:rFonts w:ascii="Courier New" w:cs="Courier New" w:eastAsia="Courier New" w:hAnsi="Courier New"/>
                <w:sz w:val="15"/>
                <w:szCs w:val="15"/>
                <w:color w:val="auto"/>
              </w:rPr>
              <w:t>Provision for lower market value of investments</w:t>
            </w:r>
          </w:p>
        </w:tc>
        <w:tc>
          <w:tcPr>
            <w:tcW w:w="13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0</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0</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0</w:t>
            </w: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0</w:t>
            </w:r>
          </w:p>
        </w:tc>
      </w:tr>
      <w:tr>
        <w:trPr>
          <w:trHeight w:val="171"/>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84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4700" w:type="dxa"/>
            <w:vAlign w:val="bottom"/>
            <w:gridSpan w:val="2"/>
          </w:tcPr>
          <w:p>
            <w:pPr>
              <w:spacing w:after="0"/>
              <w:rPr>
                <w:sz w:val="20"/>
                <w:szCs w:val="20"/>
                <w:color w:val="auto"/>
              </w:rPr>
            </w:pPr>
            <w:r>
              <w:rPr>
                <w:rFonts w:ascii="Courier New" w:cs="Courier New" w:eastAsia="Courier New" w:hAnsi="Courier New"/>
                <w:sz w:val="15"/>
                <w:szCs w:val="15"/>
                <w:color w:val="auto"/>
              </w:rPr>
              <w:t>Provision for possible loan losses, net</w:t>
            </w:r>
          </w:p>
        </w:tc>
        <w:tc>
          <w:tcPr>
            <w:tcW w:w="13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-23,735</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-40,394</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-111,646</w:t>
            </w: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-134,357</w:t>
            </w:r>
          </w:p>
        </w:tc>
      </w:tr>
    </w:tbl>
    <w:p>
      <w:pPr>
        <w:spacing w:after="0" w:line="3" w:lineRule="exact"/>
        <w:rPr>
          <w:sz w:val="20"/>
          <w:szCs w:val="20"/>
          <w:color w:val="auto"/>
        </w:rPr>
      </w:pPr>
    </w:p>
    <w:p>
      <w:pPr>
        <w:ind w:left="169" w:hanging="169"/>
        <w:spacing w:after="0"/>
        <w:tabs>
          <w:tab w:leader="none" w:pos="169"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2"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460" w:type="dxa"/>
            <w:vAlign w:val="bottom"/>
            <w:gridSpan w:val="2"/>
          </w:tcPr>
          <w:p>
            <w:pPr>
              <w:spacing w:after="0"/>
              <w:rPr>
                <w:sz w:val="20"/>
                <w:szCs w:val="20"/>
                <w:color w:val="auto"/>
              </w:rPr>
            </w:pPr>
            <w:r>
              <w:rPr>
                <w:rFonts w:ascii="Courier New" w:cs="Courier New" w:eastAsia="Courier New" w:hAnsi="Courier New"/>
                <w:sz w:val="15"/>
                <w:szCs w:val="15"/>
                <w:color w:val="auto"/>
              </w:rPr>
              <w:t>NET INTEREST INCOME</w:t>
            </w:r>
          </w:p>
        </w:tc>
        <w:tc>
          <w:tcPr>
            <w:tcW w:w="26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64,057</w:t>
            </w:r>
          </w:p>
        </w:tc>
        <w:tc>
          <w:tcPr>
            <w:tcW w:w="9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50,810</w:t>
            </w:r>
          </w:p>
        </w:tc>
        <w:tc>
          <w:tcPr>
            <w:tcW w:w="9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223,630</w:t>
            </w:r>
          </w:p>
        </w:tc>
        <w:tc>
          <w:tcPr>
            <w:tcW w:w="10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230,740</w:t>
            </w:r>
          </w:p>
        </w:tc>
      </w:tr>
      <w:tr>
        <w:trPr>
          <w:trHeight w:val="171"/>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84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3460" w:type="dxa"/>
            <w:vAlign w:val="bottom"/>
            <w:gridSpan w:val="2"/>
          </w:tcPr>
          <w:p>
            <w:pPr>
              <w:spacing w:after="0"/>
              <w:rPr>
                <w:sz w:val="20"/>
                <w:szCs w:val="20"/>
                <w:color w:val="auto"/>
              </w:rPr>
            </w:pPr>
            <w:r>
              <w:rPr>
                <w:rFonts w:ascii="Courier New" w:cs="Courier New" w:eastAsia="Courier New" w:hAnsi="Courier New"/>
                <w:sz w:val="15"/>
                <w:szCs w:val="15"/>
                <w:color w:val="auto"/>
              </w:rPr>
              <w:t>Other Income</w:t>
            </w:r>
          </w:p>
        </w:tc>
        <w:tc>
          <w:tcPr>
            <w:tcW w:w="26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48,167</w:t>
            </w:r>
          </w:p>
        </w:tc>
        <w:tc>
          <w:tcPr>
            <w:tcW w:w="9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41,353</w:t>
            </w:r>
          </w:p>
        </w:tc>
        <w:tc>
          <w:tcPr>
            <w:tcW w:w="9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180,892</w:t>
            </w:r>
          </w:p>
        </w:tc>
        <w:tc>
          <w:tcPr>
            <w:tcW w:w="10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165,463</w:t>
            </w:r>
          </w:p>
        </w:tc>
      </w:tr>
      <w:tr>
        <w:trPr>
          <w:trHeight w:val="171"/>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84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3460" w:type="dxa"/>
            <w:vAlign w:val="bottom"/>
            <w:gridSpan w:val="2"/>
          </w:tcPr>
          <w:p>
            <w:pPr>
              <w:spacing w:after="0"/>
              <w:rPr>
                <w:sz w:val="20"/>
                <w:szCs w:val="20"/>
                <w:color w:val="auto"/>
              </w:rPr>
            </w:pPr>
            <w:r>
              <w:rPr>
                <w:rFonts w:ascii="Courier New" w:cs="Courier New" w:eastAsia="Courier New" w:hAnsi="Courier New"/>
                <w:sz w:val="15"/>
                <w:szCs w:val="15"/>
                <w:color w:val="auto"/>
              </w:rPr>
              <w:t>Other expense</w:t>
            </w:r>
          </w:p>
        </w:tc>
        <w:tc>
          <w:tcPr>
            <w:tcW w:w="26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-24,506</w:t>
            </w:r>
          </w:p>
        </w:tc>
        <w:tc>
          <w:tcPr>
            <w:tcW w:w="9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-22,001</w:t>
            </w:r>
          </w:p>
        </w:tc>
        <w:tc>
          <w:tcPr>
            <w:tcW w:w="9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-97,901</w:t>
            </w:r>
          </w:p>
        </w:tc>
        <w:tc>
          <w:tcPr>
            <w:tcW w:w="10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-97,017</w:t>
            </w:r>
          </w:p>
        </w:tc>
      </w:tr>
    </w:tbl>
    <w:p>
      <w:pPr>
        <w:spacing w:after="0" w:line="3" w:lineRule="exact"/>
        <w:rPr>
          <w:sz w:val="20"/>
          <w:szCs w:val="20"/>
          <w:color w:val="auto"/>
        </w:rPr>
      </w:pPr>
    </w:p>
    <w:p>
      <w:pPr>
        <w:ind w:left="169" w:hanging="169"/>
        <w:spacing w:after="0"/>
        <w:tabs>
          <w:tab w:leader="none" w:pos="169"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2"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360" w:type="dxa"/>
            <w:vAlign w:val="bottom"/>
          </w:tcPr>
          <w:p>
            <w:pPr>
              <w:spacing w:after="0"/>
              <w:rPr>
                <w:sz w:val="20"/>
                <w:szCs w:val="20"/>
                <w:color w:val="auto"/>
              </w:rPr>
            </w:pPr>
            <w:r>
              <w:rPr>
                <w:rFonts w:ascii="Courier New" w:cs="Courier New" w:eastAsia="Courier New" w:hAnsi="Courier New"/>
                <w:sz w:val="15"/>
                <w:szCs w:val="15"/>
                <w:color w:val="auto"/>
              </w:rPr>
              <w:t>OPERATING MARGIN</w:t>
            </w:r>
          </w:p>
        </w:tc>
        <w:tc>
          <w:tcPr>
            <w:tcW w:w="27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87,718</w:t>
            </w:r>
          </w:p>
        </w:tc>
        <w:tc>
          <w:tcPr>
            <w:tcW w:w="18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70,162   306,621</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299,186</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p>
      <w:pPr>
        <w:ind w:left="9"/>
        <w:spacing w:after="0"/>
        <w:tabs>
          <w:tab w:leader="none" w:pos="5129" w:val="left"/>
          <w:tab w:leader="none" w:pos="6189" w:val="left"/>
          <w:tab w:leader="none" w:pos="7089" w:val="left"/>
          <w:tab w:leader="none" w:pos="7969" w:val="left"/>
        </w:tabs>
        <w:rPr>
          <w:sz w:val="20"/>
          <w:szCs w:val="20"/>
          <w:color w:val="auto"/>
        </w:rPr>
      </w:pPr>
      <w:r>
        <w:rPr>
          <w:rFonts w:ascii="Courier New" w:cs="Courier New" w:eastAsia="Courier New" w:hAnsi="Courier New"/>
          <w:sz w:val="15"/>
          <w:szCs w:val="15"/>
          <w:color w:val="auto"/>
        </w:rPr>
        <w:t>Administrative expenses</w:t>
      </w:r>
      <w:r>
        <w:rPr>
          <w:sz w:val="20"/>
          <w:szCs w:val="20"/>
          <w:color w:val="auto"/>
        </w:rPr>
        <w:tab/>
      </w:r>
      <w:r>
        <w:rPr>
          <w:rFonts w:ascii="Courier New" w:cs="Courier New" w:eastAsia="Courier New" w:hAnsi="Courier New"/>
          <w:sz w:val="15"/>
          <w:szCs w:val="15"/>
          <w:color w:val="auto"/>
        </w:rPr>
        <w:t>-108,246</w:t>
      </w:r>
      <w:r>
        <w:rPr>
          <w:sz w:val="20"/>
          <w:szCs w:val="20"/>
          <w:color w:val="auto"/>
        </w:rPr>
        <w:tab/>
      </w:r>
      <w:r>
        <w:rPr>
          <w:rFonts w:ascii="Courier New" w:cs="Courier New" w:eastAsia="Courier New" w:hAnsi="Courier New"/>
          <w:sz w:val="15"/>
          <w:szCs w:val="15"/>
          <w:color w:val="auto"/>
        </w:rPr>
        <w:t>-103,249</w:t>
        <w:tab/>
        <w:t>-391,242</w:t>
      </w:r>
      <w:r>
        <w:rPr>
          <w:sz w:val="20"/>
          <w:szCs w:val="20"/>
          <w:color w:val="auto"/>
        </w:rPr>
        <w:tab/>
      </w:r>
      <w:r>
        <w:rPr>
          <w:rFonts w:ascii="Courier New" w:cs="Courier New" w:eastAsia="Courier New" w:hAnsi="Courier New"/>
          <w:sz w:val="14"/>
          <w:szCs w:val="14"/>
          <w:color w:val="auto"/>
        </w:rPr>
        <w:t>-403,855</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p>
      <w:pPr>
        <w:ind w:left="9"/>
        <w:spacing w:after="0"/>
        <w:tabs>
          <w:tab w:leader="none" w:pos="5309" w:val="left"/>
          <w:tab w:leader="none" w:pos="6369" w:val="left"/>
          <w:tab w:leader="none" w:pos="7169" w:val="left"/>
          <w:tab w:leader="none" w:pos="8049" w:val="left"/>
        </w:tabs>
        <w:rPr>
          <w:sz w:val="20"/>
          <w:szCs w:val="20"/>
          <w:color w:val="auto"/>
        </w:rPr>
      </w:pPr>
      <w:r>
        <w:rPr>
          <w:rFonts w:ascii="Courier New" w:cs="Courier New" w:eastAsia="Courier New" w:hAnsi="Courier New"/>
          <w:sz w:val="15"/>
          <w:szCs w:val="15"/>
          <w:color w:val="auto"/>
        </w:rPr>
        <w:t>Cost of sales</w:t>
      </w:r>
      <w:r>
        <w:rPr>
          <w:sz w:val="20"/>
          <w:szCs w:val="20"/>
          <w:color w:val="auto"/>
        </w:rPr>
        <w:tab/>
      </w:r>
      <w:r>
        <w:rPr>
          <w:rFonts w:ascii="Courier New" w:cs="Courier New" w:eastAsia="Courier New" w:hAnsi="Courier New"/>
          <w:sz w:val="15"/>
          <w:szCs w:val="15"/>
          <w:color w:val="auto"/>
        </w:rPr>
        <w:t>-5,300</w:t>
      </w:r>
      <w:r>
        <w:rPr>
          <w:sz w:val="20"/>
          <w:szCs w:val="20"/>
          <w:color w:val="auto"/>
        </w:rPr>
        <w:tab/>
      </w:r>
      <w:r>
        <w:rPr>
          <w:rFonts w:ascii="Courier New" w:cs="Courier New" w:eastAsia="Courier New" w:hAnsi="Courier New"/>
          <w:sz w:val="15"/>
          <w:szCs w:val="15"/>
          <w:color w:val="auto"/>
        </w:rPr>
        <w:t>-5,377</w:t>
        <w:tab/>
        <w:t>-18,181</w:t>
      </w:r>
      <w:r>
        <w:rPr>
          <w:sz w:val="20"/>
          <w:szCs w:val="20"/>
          <w:color w:val="auto"/>
        </w:rPr>
        <w:tab/>
      </w:r>
      <w:r>
        <w:rPr>
          <w:rFonts w:ascii="Courier New" w:cs="Courier New" w:eastAsia="Courier New" w:hAnsi="Courier New"/>
          <w:sz w:val="14"/>
          <w:szCs w:val="14"/>
          <w:color w:val="auto"/>
        </w:rPr>
        <w:t>-16,296</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28"/>
          </w:cols>
          <w:pgMar w:left="231" w:top="1440" w:right="1440" w:bottom="0" w:gutter="0" w:footer="0" w:header="0"/>
        </w:sectPr>
      </w:pPr>
    </w:p>
    <w:bookmarkStart w:id="4" w:name="page5"/>
    <w:bookmarkEnd w:id="4"/>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360" w:type="dxa"/>
            <w:vAlign w:val="bottom"/>
          </w:tcPr>
          <w:p>
            <w:pPr>
              <w:spacing w:after="0"/>
              <w:rPr>
                <w:sz w:val="20"/>
                <w:szCs w:val="20"/>
                <w:color w:val="auto"/>
              </w:rPr>
            </w:pPr>
            <w:r>
              <w:rPr>
                <w:rFonts w:ascii="Courier New" w:cs="Courier New" w:eastAsia="Courier New" w:hAnsi="Courier New"/>
                <w:sz w:val="15"/>
                <w:szCs w:val="15"/>
                <w:color w:val="auto"/>
              </w:rPr>
              <w:t>OPERATING RESULTS</w:t>
            </w:r>
          </w:p>
        </w:tc>
        <w:tc>
          <w:tcPr>
            <w:tcW w:w="27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-25,828</w:t>
            </w:r>
          </w:p>
        </w:tc>
        <w:tc>
          <w:tcPr>
            <w:tcW w:w="2600" w:type="dxa"/>
            <w:vAlign w:val="bottom"/>
          </w:tcPr>
          <w:p>
            <w:pPr>
              <w:jc w:val="right"/>
              <w:spacing w:after="0"/>
              <w:rPr>
                <w:sz w:val="20"/>
                <w:szCs w:val="20"/>
                <w:color w:val="auto"/>
              </w:rPr>
            </w:pPr>
            <w:r>
              <w:rPr>
                <w:rFonts w:ascii="Courier New" w:cs="Courier New" w:eastAsia="Courier New" w:hAnsi="Courier New"/>
                <w:sz w:val="15"/>
                <w:szCs w:val="15"/>
                <w:color w:val="auto"/>
              </w:rPr>
              <w:t>-38,464  -102,802  -120,965</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360" w:type="dxa"/>
            <w:vAlign w:val="bottom"/>
          </w:tcPr>
          <w:p>
            <w:pPr>
              <w:spacing w:after="0"/>
              <w:rPr>
                <w:sz w:val="20"/>
                <w:szCs w:val="20"/>
                <w:color w:val="auto"/>
              </w:rPr>
            </w:pPr>
            <w:r>
              <w:rPr>
                <w:rFonts w:ascii="Courier New" w:cs="Courier New" w:eastAsia="Courier New" w:hAnsi="Courier New"/>
                <w:sz w:val="15"/>
                <w:szCs w:val="15"/>
                <w:color w:val="auto"/>
              </w:rPr>
              <w:t>Financial income</w:t>
            </w:r>
          </w:p>
        </w:tc>
        <w:tc>
          <w:tcPr>
            <w:tcW w:w="27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48,059</w:t>
            </w:r>
          </w:p>
        </w:tc>
        <w:tc>
          <w:tcPr>
            <w:tcW w:w="18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82,171   190,582</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215,449</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260" w:type="dxa"/>
            <w:vAlign w:val="bottom"/>
            <w:gridSpan w:val="2"/>
          </w:tcPr>
          <w:p>
            <w:pPr>
              <w:spacing w:after="0"/>
              <w:rPr>
                <w:sz w:val="20"/>
                <w:szCs w:val="20"/>
                <w:color w:val="auto"/>
              </w:rPr>
            </w:pPr>
            <w:r>
              <w:rPr>
                <w:rFonts w:ascii="Courier New" w:cs="Courier New" w:eastAsia="Courier New" w:hAnsi="Courier New"/>
                <w:sz w:val="15"/>
                <w:szCs w:val="15"/>
                <w:color w:val="auto"/>
              </w:rPr>
              <w:t>Financial expense</w:t>
            </w:r>
          </w:p>
        </w:tc>
        <w:tc>
          <w:tcPr>
            <w:tcW w:w="19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w:t>
            </w:r>
          </w:p>
        </w:tc>
        <w:tc>
          <w:tcPr>
            <w:tcW w:w="8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w:t>
            </w: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0</w:t>
            </w:r>
          </w:p>
        </w:tc>
      </w:tr>
      <w:tr>
        <w:trPr>
          <w:trHeight w:val="171"/>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84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4260" w:type="dxa"/>
            <w:vAlign w:val="bottom"/>
            <w:gridSpan w:val="2"/>
          </w:tcPr>
          <w:p>
            <w:pPr>
              <w:spacing w:after="0"/>
              <w:rPr>
                <w:sz w:val="20"/>
                <w:szCs w:val="20"/>
                <w:color w:val="auto"/>
              </w:rPr>
            </w:pPr>
            <w:r>
              <w:rPr>
                <w:rFonts w:ascii="Courier New" w:cs="Courier New" w:eastAsia="Courier New" w:hAnsi="Courier New"/>
                <w:sz w:val="15"/>
                <w:szCs w:val="15"/>
                <w:color w:val="auto"/>
              </w:rPr>
              <w:t>Other income and expense</w:t>
            </w:r>
          </w:p>
        </w:tc>
        <w:tc>
          <w:tcPr>
            <w:tcW w:w="19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w:t>
            </w:r>
          </w:p>
        </w:tc>
        <w:tc>
          <w:tcPr>
            <w:tcW w:w="8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w:t>
            </w: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0</w:t>
            </w:r>
          </w:p>
        </w:tc>
      </w:tr>
      <w:tr>
        <w:trPr>
          <w:trHeight w:val="171"/>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84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4260" w:type="dxa"/>
            <w:vAlign w:val="bottom"/>
            <w:gridSpan w:val="2"/>
          </w:tcPr>
          <w:p>
            <w:pPr>
              <w:spacing w:after="0"/>
              <w:rPr>
                <w:sz w:val="20"/>
                <w:szCs w:val="20"/>
                <w:color w:val="auto"/>
              </w:rPr>
            </w:pPr>
            <w:r>
              <w:rPr>
                <w:rFonts w:ascii="Courier New" w:cs="Courier New" w:eastAsia="Courier New" w:hAnsi="Courier New"/>
                <w:sz w:val="15"/>
                <w:szCs w:val="15"/>
                <w:color w:val="auto"/>
              </w:rPr>
              <w:t>Result from exposure to inflation</w:t>
            </w:r>
          </w:p>
        </w:tc>
        <w:tc>
          <w:tcPr>
            <w:tcW w:w="19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384</w:t>
            </w:r>
          </w:p>
        </w:tc>
        <w:tc>
          <w:tcPr>
            <w:tcW w:w="8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835</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-2,482</w:t>
            </w: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-2,575</w:t>
            </w:r>
          </w:p>
        </w:tc>
      </w:tr>
    </w:tbl>
    <w:p>
      <w:pPr>
        <w:spacing w:after="0" w:line="3" w:lineRule="exact"/>
        <w:rPr>
          <w:sz w:val="20"/>
          <w:szCs w:val="20"/>
          <w:color w:val="auto"/>
        </w:rPr>
      </w:pPr>
    </w:p>
    <w:p>
      <w:pPr>
        <w:ind w:left="169" w:hanging="169"/>
        <w:spacing w:after="0"/>
        <w:tabs>
          <w:tab w:leader="none" w:pos="169"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2"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880" w:type="dxa"/>
            <w:vAlign w:val="bottom"/>
          </w:tcPr>
          <w:p>
            <w:pPr>
              <w:spacing w:after="0"/>
              <w:rPr>
                <w:sz w:val="20"/>
                <w:szCs w:val="20"/>
                <w:color w:val="auto"/>
              </w:rPr>
            </w:pPr>
            <w:r>
              <w:rPr>
                <w:rFonts w:ascii="Courier New" w:cs="Courier New" w:eastAsia="Courier New" w:hAnsi="Courier New"/>
                <w:sz w:val="15"/>
                <w:szCs w:val="15"/>
                <w:color w:val="auto"/>
              </w:rPr>
              <w:t>Income before income taxes and extraordinary items</w:t>
            </w:r>
          </w:p>
        </w:tc>
        <w:tc>
          <w:tcPr>
            <w:tcW w:w="12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22,615</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44,542</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85,298</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91,909</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500" w:type="dxa"/>
            <w:vAlign w:val="bottom"/>
          </w:tcPr>
          <w:p>
            <w:pPr>
              <w:spacing w:after="0"/>
              <w:rPr>
                <w:sz w:val="20"/>
                <w:szCs w:val="20"/>
                <w:color w:val="auto"/>
              </w:rPr>
            </w:pPr>
            <w:r>
              <w:rPr>
                <w:rFonts w:ascii="Courier New" w:cs="Courier New" w:eastAsia="Courier New" w:hAnsi="Courier New"/>
                <w:sz w:val="15"/>
                <w:szCs w:val="15"/>
                <w:color w:val="auto"/>
              </w:rPr>
              <w:t>Participations</w:t>
            </w:r>
          </w:p>
        </w:tc>
        <w:tc>
          <w:tcPr>
            <w:tcW w:w="28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0</w:t>
            </w:r>
          </w:p>
        </w:tc>
        <w:tc>
          <w:tcPr>
            <w:tcW w:w="9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w:t>
            </w:r>
          </w:p>
        </w:tc>
        <w:tc>
          <w:tcPr>
            <w:tcW w:w="8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18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29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-5,987</w:t>
            </w:r>
          </w:p>
        </w:tc>
        <w:tc>
          <w:tcPr>
            <w:tcW w:w="18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-8,605   -32,628</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-21,557</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120" w:type="dxa"/>
            <w:vAlign w:val="bottom"/>
          </w:tcPr>
          <w:p>
            <w:pPr>
              <w:spacing w:after="0"/>
              <w:rPr>
                <w:sz w:val="20"/>
                <w:szCs w:val="20"/>
                <w:color w:val="auto"/>
              </w:rPr>
            </w:pPr>
            <w:r>
              <w:rPr>
                <w:rFonts w:ascii="Courier New" w:cs="Courier New" w:eastAsia="Courier New" w:hAnsi="Courier New"/>
                <w:sz w:val="15"/>
                <w:szCs w:val="15"/>
                <w:color w:val="auto"/>
              </w:rPr>
              <w:t>Income before extraordinary items</w:t>
            </w:r>
          </w:p>
        </w:tc>
        <w:tc>
          <w:tcPr>
            <w:tcW w:w="20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16,628</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35,937</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52,670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70,352</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760" w:type="dxa"/>
            <w:vAlign w:val="bottom"/>
          </w:tcPr>
          <w:p>
            <w:pPr>
              <w:spacing w:after="0"/>
              <w:rPr>
                <w:sz w:val="20"/>
                <w:szCs w:val="20"/>
                <w:color w:val="auto"/>
              </w:rPr>
            </w:pPr>
            <w:r>
              <w:rPr>
                <w:rFonts w:ascii="Courier New" w:cs="Courier New" w:eastAsia="Courier New" w:hAnsi="Courier New"/>
                <w:sz w:val="15"/>
                <w:szCs w:val="15"/>
                <w:color w:val="auto"/>
              </w:rPr>
              <w:t>Extraordinary income</w:t>
            </w:r>
          </w:p>
        </w:tc>
        <w:tc>
          <w:tcPr>
            <w:tcW w:w="25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0</w:t>
            </w:r>
          </w:p>
        </w:tc>
        <w:tc>
          <w:tcPr>
            <w:tcW w:w="9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w:t>
            </w:r>
          </w:p>
        </w:tc>
        <w:tc>
          <w:tcPr>
            <w:tcW w:w="8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Extraordinary expenses</w:t>
            </w:r>
          </w:p>
        </w:tc>
        <w:tc>
          <w:tcPr>
            <w:tcW w:w="24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0</w:t>
            </w:r>
          </w:p>
        </w:tc>
        <w:tc>
          <w:tcPr>
            <w:tcW w:w="9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w:t>
            </w:r>
          </w:p>
        </w:tc>
        <w:tc>
          <w:tcPr>
            <w:tcW w:w="8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080" w:type="dxa"/>
            <w:vAlign w:val="bottom"/>
          </w:tcPr>
          <w:p>
            <w:pPr>
              <w:spacing w:after="0"/>
              <w:rPr>
                <w:sz w:val="20"/>
                <w:szCs w:val="20"/>
                <w:color w:val="auto"/>
              </w:rPr>
            </w:pPr>
            <w:r>
              <w:rPr>
                <w:rFonts w:ascii="Courier New" w:cs="Courier New" w:eastAsia="Courier New" w:hAnsi="Courier New"/>
                <w:sz w:val="15"/>
                <w:szCs w:val="15"/>
                <w:color w:val="auto"/>
              </w:rPr>
              <w:t>Income before minority interests</w:t>
            </w:r>
          </w:p>
        </w:tc>
        <w:tc>
          <w:tcPr>
            <w:tcW w:w="20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16,628</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35,937</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52,670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70,352</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400" w:type="dxa"/>
            <w:vAlign w:val="bottom"/>
          </w:tcPr>
          <w:p>
            <w:pPr>
              <w:spacing w:after="0"/>
              <w:rPr>
                <w:sz w:val="20"/>
                <w:szCs w:val="20"/>
                <w:color w:val="auto"/>
              </w:rPr>
            </w:pPr>
            <w:r>
              <w:rPr>
                <w:rFonts w:ascii="Courier New" w:cs="Courier New" w:eastAsia="Courier New" w:hAnsi="Courier New"/>
                <w:sz w:val="15"/>
                <w:szCs w:val="15"/>
                <w:color w:val="auto"/>
              </w:rPr>
              <w:t>Minority interest</w:t>
            </w:r>
          </w:p>
        </w:tc>
        <w:tc>
          <w:tcPr>
            <w:tcW w:w="27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-3,110</w:t>
            </w:r>
          </w:p>
        </w:tc>
        <w:tc>
          <w:tcPr>
            <w:tcW w:w="18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-9,427   -10,287</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-15,839</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1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30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13,518</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26,510</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42,383</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54,513</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680" w:type="dxa"/>
            <w:vAlign w:val="bottom"/>
          </w:tcPr>
          <w:p>
            <w:pPr>
              <w:spacing w:after="0"/>
              <w:rPr>
                <w:sz w:val="20"/>
                <w:szCs w:val="20"/>
                <w:color w:val="auto"/>
              </w:rPr>
            </w:pPr>
            <w:r>
              <w:rPr>
                <w:rFonts w:ascii="Courier New" w:cs="Courier New" w:eastAsia="Courier New" w:hAnsi="Courier New"/>
                <w:sz w:val="15"/>
                <w:szCs w:val="15"/>
                <w:color w:val="auto"/>
              </w:rPr>
              <w:t>Prefered dividends</w:t>
            </w:r>
          </w:p>
        </w:tc>
        <w:tc>
          <w:tcPr>
            <w:tcW w:w="266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0</w:t>
            </w:r>
          </w:p>
        </w:tc>
        <w:tc>
          <w:tcPr>
            <w:tcW w:w="9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w:t>
            </w:r>
          </w:p>
        </w:tc>
        <w:tc>
          <w:tcPr>
            <w:tcW w:w="8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680" w:type="dxa"/>
            <w:vAlign w:val="bottom"/>
          </w:tcPr>
          <w:p>
            <w:pPr>
              <w:spacing w:after="0"/>
              <w:rPr>
                <w:sz w:val="20"/>
                <w:szCs w:val="20"/>
                <w:color w:val="auto"/>
              </w:rPr>
            </w:pPr>
            <w:r>
              <w:rPr>
                <w:rFonts w:ascii="Courier New" w:cs="Courier New" w:eastAsia="Courier New" w:hAnsi="Courier New"/>
                <w:sz w:val="15"/>
                <w:szCs w:val="15"/>
                <w:color w:val="auto"/>
              </w:rPr>
              <w:t>NET ATTRIBUTABLE INCOME</w:t>
            </w:r>
          </w:p>
        </w:tc>
        <w:tc>
          <w:tcPr>
            <w:tcW w:w="24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13,518</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26,510</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42,383</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54,513</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p>
      <w:pPr>
        <w:ind w:left="9"/>
        <w:spacing w:after="0"/>
        <w:tabs>
          <w:tab w:leader="none" w:pos="5129" w:val="left"/>
          <w:tab w:leader="none" w:pos="6189" w:val="left"/>
          <w:tab w:leader="none" w:pos="7089" w:val="left"/>
          <w:tab w:leader="none" w:pos="7969" w:val="left"/>
        </w:tabs>
        <w:rPr>
          <w:sz w:val="20"/>
          <w:szCs w:val="20"/>
          <w:color w:val="auto"/>
        </w:rPr>
      </w:pPr>
      <w:r>
        <w:rPr>
          <w:rFonts w:ascii="Courier New" w:cs="Courier New" w:eastAsia="Courier New" w:hAnsi="Courier New"/>
          <w:sz w:val="15"/>
          <w:szCs w:val="15"/>
          <w:color w:val="auto"/>
        </w:rPr>
        <w:t>Earnings per share</w:t>
      </w:r>
      <w:r>
        <w:rPr>
          <w:sz w:val="20"/>
          <w:szCs w:val="20"/>
          <w:color w:val="auto"/>
        </w:rPr>
        <w:tab/>
      </w:r>
      <w:r>
        <w:rPr>
          <w:rFonts w:ascii="Courier New" w:cs="Courier New" w:eastAsia="Courier New" w:hAnsi="Courier New"/>
          <w:sz w:val="15"/>
          <w:szCs w:val="15"/>
          <w:color w:val="auto"/>
        </w:rPr>
        <w:t>0.169511</w:t>
      </w:r>
      <w:r>
        <w:rPr>
          <w:sz w:val="20"/>
          <w:szCs w:val="20"/>
          <w:color w:val="auto"/>
        </w:rPr>
        <w:tab/>
      </w:r>
      <w:r>
        <w:rPr>
          <w:rFonts w:ascii="Courier New" w:cs="Courier New" w:eastAsia="Courier New" w:hAnsi="Courier New"/>
          <w:sz w:val="15"/>
          <w:szCs w:val="15"/>
          <w:color w:val="auto"/>
        </w:rPr>
        <w:t>0.330875</w:t>
        <w:tab/>
        <w:t>0.531468</w:t>
      </w:r>
      <w:r>
        <w:rPr>
          <w:sz w:val="20"/>
          <w:szCs w:val="20"/>
          <w:color w:val="auto"/>
        </w:rPr>
        <w:tab/>
      </w:r>
      <w:r>
        <w:rPr>
          <w:rFonts w:ascii="Courier New" w:cs="Courier New" w:eastAsia="Courier New" w:hAnsi="Courier New"/>
          <w:sz w:val="14"/>
          <w:szCs w:val="14"/>
          <w:color w:val="auto"/>
        </w:rPr>
        <w:t>0.680383</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p>
      <w:pPr>
        <w:ind w:left="9"/>
        <w:spacing w:after="0"/>
        <w:tabs>
          <w:tab w:leader="none" w:pos="5129" w:val="left"/>
          <w:tab w:leader="none" w:pos="6189" w:val="left"/>
          <w:tab w:leader="none" w:pos="7089" w:val="left"/>
          <w:tab w:leader="none" w:pos="7969" w:val="left"/>
        </w:tabs>
        <w:rPr>
          <w:sz w:val="20"/>
          <w:szCs w:val="20"/>
          <w:color w:val="auto"/>
        </w:rPr>
      </w:pPr>
      <w:r>
        <w:rPr>
          <w:rFonts w:ascii="Courier New" w:cs="Courier New" w:eastAsia="Courier New" w:hAnsi="Courier New"/>
          <w:sz w:val="15"/>
          <w:szCs w:val="15"/>
          <w:color w:val="auto"/>
        </w:rPr>
        <w:t>Diluted earnings per share</w:t>
      </w:r>
      <w:r>
        <w:rPr>
          <w:sz w:val="20"/>
          <w:szCs w:val="20"/>
          <w:color w:val="auto"/>
        </w:rPr>
        <w:tab/>
      </w:r>
      <w:r>
        <w:rPr>
          <w:rFonts w:ascii="Courier New" w:cs="Courier New" w:eastAsia="Courier New" w:hAnsi="Courier New"/>
          <w:sz w:val="15"/>
          <w:szCs w:val="15"/>
          <w:color w:val="auto"/>
        </w:rPr>
        <w:t>0.169511</w:t>
      </w:r>
      <w:r>
        <w:rPr>
          <w:sz w:val="20"/>
          <w:szCs w:val="20"/>
          <w:color w:val="auto"/>
        </w:rPr>
        <w:tab/>
      </w:r>
      <w:r>
        <w:rPr>
          <w:rFonts w:ascii="Courier New" w:cs="Courier New" w:eastAsia="Courier New" w:hAnsi="Courier New"/>
          <w:sz w:val="15"/>
          <w:szCs w:val="15"/>
          <w:color w:val="auto"/>
        </w:rPr>
        <w:t>0.330875</w:t>
        <w:tab/>
        <w:t>0.531468</w:t>
      </w:r>
      <w:r>
        <w:rPr>
          <w:sz w:val="20"/>
          <w:szCs w:val="20"/>
          <w:color w:val="auto"/>
        </w:rPr>
        <w:tab/>
      </w:r>
      <w:r>
        <w:rPr>
          <w:rFonts w:ascii="Courier New" w:cs="Courier New" w:eastAsia="Courier New" w:hAnsi="Courier New"/>
          <w:sz w:val="14"/>
          <w:szCs w:val="14"/>
          <w:color w:val="auto"/>
        </w:rPr>
        <w:t>0.680383</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28"/>
          </w:cols>
          <w:pgMar w:left="231" w:top="141" w:right="1440" w:bottom="1440" w:gutter="0" w:footer="0" w:header="0"/>
        </w:sectPr>
      </w:pPr>
    </w:p>
    <w:bookmarkStart w:id="5" w:name="page6"/>
    <w:bookmarkEnd w:id="5"/>
    <w:p>
      <w:pPr>
        <w:spacing w:after="0" w:line="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CREDICORP LTD. AND SUBSIDIARIES</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Changes in Shareholder's Equity</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For the periods ended December 31 of 2002 and 2001</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(In Thousands of U.S. Dollars)</w:t>
      </w:r>
    </w:p>
    <w:p>
      <w:pPr>
        <w:spacing w:after="0" w:line="342" w:lineRule="exact"/>
        <w:rPr>
          <w:sz w:val="20"/>
          <w:szCs w:val="20"/>
          <w:color w:val="auto"/>
        </w:rPr>
      </w:pPr>
    </w:p>
    <w:p>
      <w:pPr>
        <w:ind w:left="4609"/>
        <w:spacing w:after="0"/>
        <w:tabs>
          <w:tab w:leader="none" w:pos="5389" w:val="left"/>
          <w:tab w:leader="none" w:pos="6369" w:val="left"/>
          <w:tab w:leader="none" w:pos="7089" w:val="left"/>
          <w:tab w:leader="none" w:pos="7869" w:val="left"/>
          <w:tab w:leader="none" w:pos="8949" w:val="left"/>
        </w:tabs>
        <w:rPr>
          <w:sz w:val="20"/>
          <w:szCs w:val="20"/>
          <w:color w:val="auto"/>
        </w:rPr>
      </w:pPr>
      <w:r>
        <w:rPr>
          <w:rFonts w:ascii="Courier New" w:cs="Courier New" w:eastAsia="Courier New" w:hAnsi="Courier New"/>
          <w:sz w:val="15"/>
          <w:szCs w:val="15"/>
          <w:color w:val="auto"/>
        </w:rPr>
        <w:t>Common</w:t>
        <w:tab/>
        <w:t>Capital</w:t>
      </w:r>
      <w:r>
        <w:rPr>
          <w:sz w:val="20"/>
          <w:szCs w:val="20"/>
          <w:color w:val="auto"/>
        </w:rPr>
        <w:tab/>
      </w:r>
      <w:r>
        <w:rPr>
          <w:rFonts w:ascii="Courier New" w:cs="Courier New" w:eastAsia="Courier New" w:hAnsi="Courier New"/>
          <w:sz w:val="15"/>
          <w:szCs w:val="15"/>
          <w:color w:val="auto"/>
        </w:rPr>
        <w:t>Legal</w:t>
      </w:r>
      <w:r>
        <w:rPr>
          <w:sz w:val="20"/>
          <w:szCs w:val="20"/>
          <w:color w:val="auto"/>
        </w:rPr>
        <w:tab/>
      </w:r>
      <w:r>
        <w:rPr>
          <w:rFonts w:ascii="Courier New" w:cs="Courier New" w:eastAsia="Courier New" w:hAnsi="Courier New"/>
          <w:sz w:val="15"/>
          <w:szCs w:val="15"/>
          <w:color w:val="auto"/>
        </w:rPr>
        <w:t>Special</w:t>
        <w:tab/>
        <w:t>Retained</w:t>
      </w:r>
      <w:r>
        <w:rPr>
          <w:sz w:val="20"/>
          <w:szCs w:val="20"/>
          <w:color w:val="auto"/>
        </w:rPr>
        <w:tab/>
      </w:r>
      <w:r>
        <w:rPr>
          <w:rFonts w:ascii="Courier New" w:cs="Courier New" w:eastAsia="Courier New" w:hAnsi="Courier New"/>
          <w:sz w:val="14"/>
          <w:szCs w:val="14"/>
          <w:color w:val="auto"/>
        </w:rPr>
        <w:t>Total</w:t>
      </w:r>
    </w:p>
    <w:p>
      <w:pPr>
        <w:spacing w:after="0" w:line="1" w:lineRule="exact"/>
        <w:rPr>
          <w:sz w:val="20"/>
          <w:szCs w:val="20"/>
          <w:color w:val="auto"/>
        </w:rPr>
      </w:pPr>
    </w:p>
    <w:p>
      <w:pPr>
        <w:ind w:left="4709"/>
        <w:spacing w:after="0"/>
        <w:tabs>
          <w:tab w:leader="none" w:pos="5489" w:val="left"/>
          <w:tab w:leader="none" w:pos="6369" w:val="left"/>
          <w:tab w:leader="none" w:pos="7169" w:val="left"/>
          <w:tab w:leader="none" w:pos="7969" w:val="left"/>
        </w:tabs>
        <w:rPr>
          <w:sz w:val="20"/>
          <w:szCs w:val="20"/>
          <w:color w:val="auto"/>
        </w:rPr>
      </w:pP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5"/>
          <w:szCs w:val="15"/>
          <w:color w:val="auto"/>
        </w:rPr>
        <w:t>Surplus</w:t>
        <w:tab/>
        <w:t>Reserve</w:t>
        <w:tab/>
        <w:t>Reserve</w:t>
      </w:r>
      <w:r>
        <w:rPr>
          <w:sz w:val="20"/>
          <w:szCs w:val="20"/>
          <w:color w:val="auto"/>
        </w:rPr>
        <w:tab/>
      </w:r>
      <w:r>
        <w:rPr>
          <w:rFonts w:ascii="Courier New" w:cs="Courier New" w:eastAsia="Courier New" w:hAnsi="Courier New"/>
          <w:sz w:val="14"/>
          <w:szCs w:val="14"/>
          <w:color w:val="auto"/>
        </w:rPr>
        <w:t>Earnings</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540" w:type="dxa"/>
            <w:vAlign w:val="bottom"/>
          </w:tcPr>
          <w:p>
            <w:pPr>
              <w:spacing w:after="0"/>
              <w:rPr>
                <w:sz w:val="20"/>
                <w:szCs w:val="20"/>
                <w:color w:val="auto"/>
              </w:rPr>
            </w:pPr>
            <w:r>
              <w:rPr>
                <w:rFonts w:ascii="Courier New" w:cs="Courier New" w:eastAsia="Courier New" w:hAnsi="Courier New"/>
                <w:sz w:val="15"/>
                <w:szCs w:val="15"/>
                <w:color w:val="auto"/>
              </w:rPr>
              <w:t>Balances at January 1, 2001</w:t>
            </w:r>
          </w:p>
        </w:tc>
        <w:tc>
          <w:tcPr>
            <w:tcW w:w="2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400,607  145,064</w:t>
            </w:r>
          </w:p>
        </w:tc>
        <w:tc>
          <w:tcPr>
            <w:tcW w:w="16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69,527   28,659</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138,873  782,730</w:t>
            </w:r>
          </w:p>
        </w:tc>
      </w:tr>
    </w:tbl>
    <w:p>
      <w:pPr>
        <w:spacing w:after="0" w:line="3" w:lineRule="exact"/>
        <w:rPr>
          <w:sz w:val="20"/>
          <w:szCs w:val="20"/>
          <w:color w:val="auto"/>
        </w:rPr>
      </w:pPr>
    </w:p>
    <w:p>
      <w:pPr>
        <w:ind w:left="169" w:hanging="169"/>
        <w:spacing w:after="0"/>
        <w:tabs>
          <w:tab w:leader="none" w:pos="169"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449" w:hanging="360"/>
        <w:spacing w:after="0"/>
        <w:tabs>
          <w:tab w:leader="none" w:pos="449" w:val="left"/>
        </w:tabs>
        <w:numPr>
          <w:ilvl w:val="1"/>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accounting practices</w:t>
      </w:r>
    </w:p>
    <w:p>
      <w:pPr>
        <w:spacing w:after="0" w:line="1" w:lineRule="exact"/>
        <w:rPr>
          <w:sz w:val="20"/>
          <w:szCs w:val="20"/>
          <w:color w:val="auto"/>
        </w:rPr>
      </w:pPr>
    </w:p>
    <w:tbl>
      <w:tblPr>
        <w:tblLayout w:type="fixed"/>
        <w:tblInd w:w="449" w:type="dxa"/>
        <w:tblCellMar>
          <w:top w:w="0" w:type="dxa"/>
          <w:left w:w="0" w:type="dxa"/>
          <w:bottom w:w="0" w:type="dxa"/>
          <w:right w:w="0" w:type="dxa"/>
        </w:tblCellMar>
      </w:tblP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and correction of material errors</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w:t>
            </w: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w:t>
            </w:r>
          </w:p>
        </w:tc>
        <w:tc>
          <w:tcPr>
            <w:tcW w:w="8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w:t>
            </w: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4,461</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4,461</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89" w:type="dxa"/>
        <w:tblCellMar>
          <w:top w:w="0" w:type="dxa"/>
          <w:left w:w="0" w:type="dxa"/>
          <w:bottom w:w="0" w:type="dxa"/>
          <w:right w:w="0" w:type="dxa"/>
        </w:tblCellMar>
      </w:tblPr>
      <w:tr>
        <w:trPr>
          <w:trHeight w:val="170"/>
        </w:trPr>
        <w:tc>
          <w:tcPr>
            <w:tcW w:w="4520" w:type="dxa"/>
            <w:vAlign w:val="bottom"/>
          </w:tcPr>
          <w:p>
            <w:pPr>
              <w:spacing w:after="0"/>
              <w:rPr>
                <w:sz w:val="20"/>
                <w:szCs w:val="20"/>
                <w:color w:val="auto"/>
              </w:rPr>
            </w:pPr>
            <w:r>
              <w:rPr>
                <w:rFonts w:ascii="Courier New" w:cs="Courier New" w:eastAsia="Courier New" w:hAnsi="Courier New"/>
                <w:sz w:val="15"/>
                <w:szCs w:val="15"/>
                <w:color w:val="auto"/>
              </w:rPr>
              <w:t>2. Distribution and appropriation of profits</w:t>
            </w:r>
          </w:p>
        </w:tc>
        <w:tc>
          <w:tcPr>
            <w:tcW w:w="10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w:t>
            </w: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w:t>
            </w:r>
          </w:p>
        </w:tc>
        <w:tc>
          <w:tcPr>
            <w:tcW w:w="8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w:t>
            </w: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w:t>
            </w:r>
          </w:p>
        </w:tc>
        <w:tc>
          <w:tcPr>
            <w:tcW w:w="8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89" w:type="dxa"/>
        <w:tblCellMar>
          <w:top w:w="0" w:type="dxa"/>
          <w:left w:w="0" w:type="dxa"/>
          <w:bottom w:w="0" w:type="dxa"/>
          <w:right w:w="0" w:type="dxa"/>
        </w:tblCellMar>
      </w:tblPr>
      <w:tr>
        <w:trPr>
          <w:trHeight w:val="170"/>
        </w:trPr>
        <w:tc>
          <w:tcPr>
            <w:tcW w:w="3940" w:type="dxa"/>
            <w:vAlign w:val="bottom"/>
          </w:tcPr>
          <w:p>
            <w:pPr>
              <w:spacing w:after="0"/>
              <w:rPr>
                <w:sz w:val="20"/>
                <w:szCs w:val="20"/>
                <w:color w:val="auto"/>
              </w:rPr>
            </w:pPr>
            <w:r>
              <w:rPr>
                <w:rFonts w:ascii="Courier New" w:cs="Courier New" w:eastAsia="Courier New" w:hAnsi="Courier New"/>
                <w:sz w:val="15"/>
                <w:szCs w:val="15"/>
                <w:color w:val="auto"/>
              </w:rPr>
              <w:t>3. Dividends and participations</w:t>
            </w:r>
          </w:p>
        </w:tc>
        <w:tc>
          <w:tcPr>
            <w:tcW w:w="16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w:t>
            </w: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w:t>
            </w:r>
          </w:p>
        </w:tc>
        <w:tc>
          <w:tcPr>
            <w:tcW w:w="8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w:t>
            </w:r>
          </w:p>
        </w:tc>
        <w:tc>
          <w:tcPr>
            <w:tcW w:w="5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-23,908  -23,908</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89" w:type="dxa"/>
        <w:tblCellMar>
          <w:top w:w="0" w:type="dxa"/>
          <w:left w:w="0" w:type="dxa"/>
          <w:bottom w:w="0" w:type="dxa"/>
          <w:right w:w="0" w:type="dxa"/>
        </w:tblCellMar>
      </w:tblPr>
      <w:tr>
        <w:trPr>
          <w:trHeight w:val="170"/>
        </w:trPr>
        <w:tc>
          <w:tcPr>
            <w:tcW w:w="3640" w:type="dxa"/>
            <w:vAlign w:val="bottom"/>
          </w:tcPr>
          <w:p>
            <w:pPr>
              <w:spacing w:after="0"/>
              <w:rPr>
                <w:sz w:val="20"/>
                <w:szCs w:val="20"/>
                <w:color w:val="auto"/>
              </w:rPr>
            </w:pPr>
            <w:r>
              <w:rPr>
                <w:rFonts w:ascii="Courier New" w:cs="Courier New" w:eastAsia="Courier New" w:hAnsi="Courier New"/>
                <w:sz w:val="15"/>
                <w:szCs w:val="15"/>
                <w:color w:val="auto"/>
              </w:rPr>
              <w:t>4. New capital additions</w:t>
            </w:r>
          </w:p>
        </w:tc>
        <w:tc>
          <w:tcPr>
            <w:tcW w:w="19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w:t>
            </w: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w:t>
            </w:r>
          </w:p>
        </w:tc>
        <w:tc>
          <w:tcPr>
            <w:tcW w:w="8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w:t>
            </w: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w:t>
            </w:r>
          </w:p>
        </w:tc>
        <w:tc>
          <w:tcPr>
            <w:tcW w:w="8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89" w:type="dxa"/>
        <w:tblCellMar>
          <w:top w:w="0" w:type="dxa"/>
          <w:left w:w="0" w:type="dxa"/>
          <w:bottom w:w="0" w:type="dxa"/>
          <w:right w:w="0" w:type="dxa"/>
        </w:tblCellMar>
      </w:tblPr>
      <w:tr>
        <w:trPr>
          <w:trHeight w:val="170"/>
        </w:trPr>
        <w:tc>
          <w:tcPr>
            <w:tcW w:w="4180" w:type="dxa"/>
            <w:vAlign w:val="bottom"/>
          </w:tcPr>
          <w:p>
            <w:pPr>
              <w:spacing w:after="0"/>
              <w:rPr>
                <w:sz w:val="20"/>
                <w:szCs w:val="20"/>
                <w:color w:val="auto"/>
              </w:rPr>
            </w:pPr>
            <w:r>
              <w:rPr>
                <w:rFonts w:ascii="Courier New" w:cs="Courier New" w:eastAsia="Courier New" w:hAnsi="Courier New"/>
                <w:sz w:val="15"/>
                <w:szCs w:val="15"/>
                <w:color w:val="auto"/>
              </w:rPr>
              <w:t>5. Changes in premiums and donations</w:t>
            </w:r>
          </w:p>
        </w:tc>
        <w:tc>
          <w:tcPr>
            <w:tcW w:w="14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w:t>
            </w: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w:t>
            </w:r>
          </w:p>
        </w:tc>
        <w:tc>
          <w:tcPr>
            <w:tcW w:w="8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w:t>
            </w: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w:t>
            </w:r>
          </w:p>
        </w:tc>
        <w:tc>
          <w:tcPr>
            <w:tcW w:w="8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89" w:type="dxa"/>
        <w:tblCellMar>
          <w:top w:w="0" w:type="dxa"/>
          <w:left w:w="0" w:type="dxa"/>
          <w:bottom w:w="0" w:type="dxa"/>
          <w:right w:w="0" w:type="dxa"/>
        </w:tblCellMar>
      </w:tblPr>
      <w:tr>
        <w:trPr>
          <w:trHeight w:val="170"/>
        </w:trPr>
        <w:tc>
          <w:tcPr>
            <w:tcW w:w="4800" w:type="dxa"/>
            <w:vAlign w:val="bottom"/>
          </w:tcPr>
          <w:p>
            <w:pPr>
              <w:spacing w:after="0"/>
              <w:rPr>
                <w:sz w:val="20"/>
                <w:szCs w:val="20"/>
                <w:color w:val="auto"/>
              </w:rPr>
            </w:pPr>
            <w:r>
              <w:rPr>
                <w:rFonts w:ascii="Courier New" w:cs="Courier New" w:eastAsia="Courier New" w:hAnsi="Courier New"/>
                <w:sz w:val="15"/>
                <w:szCs w:val="15"/>
                <w:color w:val="auto"/>
              </w:rPr>
              <w:t>6. Increase or decrease due to mergers or spinoffs</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w:t>
            </w: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w:t>
            </w:r>
          </w:p>
        </w:tc>
        <w:tc>
          <w:tcPr>
            <w:tcW w:w="8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w:t>
            </w: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w:t>
            </w:r>
          </w:p>
        </w:tc>
        <w:tc>
          <w:tcPr>
            <w:tcW w:w="8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89" w:type="dxa"/>
        <w:tblCellMar>
          <w:top w:w="0" w:type="dxa"/>
          <w:left w:w="0" w:type="dxa"/>
          <w:bottom w:w="0" w:type="dxa"/>
          <w:right w:w="0" w:type="dxa"/>
        </w:tblCellMar>
      </w:tblPr>
      <w:tr>
        <w:trPr>
          <w:trHeight w:val="170"/>
        </w:trPr>
        <w:tc>
          <w:tcPr>
            <w:tcW w:w="3500" w:type="dxa"/>
            <w:vAlign w:val="bottom"/>
          </w:tcPr>
          <w:p>
            <w:pPr>
              <w:spacing w:after="0"/>
              <w:rPr>
                <w:sz w:val="20"/>
                <w:szCs w:val="20"/>
                <w:color w:val="auto"/>
              </w:rPr>
            </w:pPr>
            <w:r>
              <w:rPr>
                <w:rFonts w:ascii="Courier New" w:cs="Courier New" w:eastAsia="Courier New" w:hAnsi="Courier New"/>
                <w:sz w:val="15"/>
                <w:szCs w:val="15"/>
                <w:color w:val="auto"/>
              </w:rPr>
              <w:t>7. Asset revaluations</w:t>
            </w:r>
          </w:p>
        </w:tc>
        <w:tc>
          <w:tcPr>
            <w:tcW w:w="21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w:t>
            </w: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w:t>
            </w:r>
          </w:p>
        </w:tc>
        <w:tc>
          <w:tcPr>
            <w:tcW w:w="8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w:t>
            </w: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w:t>
            </w:r>
          </w:p>
        </w:tc>
        <w:tc>
          <w:tcPr>
            <w:tcW w:w="8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89" w:type="dxa"/>
        <w:tblCellMar>
          <w:top w:w="0" w:type="dxa"/>
          <w:left w:w="0" w:type="dxa"/>
          <w:bottom w:w="0" w:type="dxa"/>
          <w:right w:w="0" w:type="dxa"/>
        </w:tblCellMar>
      </w:tblPr>
      <w:tr>
        <w:trPr>
          <w:trHeight w:val="170"/>
        </w:trPr>
        <w:tc>
          <w:tcPr>
            <w:tcW w:w="4180" w:type="dxa"/>
            <w:vAlign w:val="bottom"/>
          </w:tcPr>
          <w:p>
            <w:pPr>
              <w:spacing w:after="0"/>
              <w:rPr>
                <w:sz w:val="20"/>
                <w:szCs w:val="20"/>
                <w:color w:val="auto"/>
              </w:rPr>
            </w:pPr>
            <w:r>
              <w:rPr>
                <w:rFonts w:ascii="Courier New" w:cs="Courier New" w:eastAsia="Courier New" w:hAnsi="Courier New"/>
                <w:sz w:val="15"/>
                <w:szCs w:val="15"/>
                <w:color w:val="auto"/>
              </w:rPr>
              <w:t>8. Capitalization of equity accounts</w:t>
            </w:r>
          </w:p>
        </w:tc>
        <w:tc>
          <w:tcPr>
            <w:tcW w:w="14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w:t>
            </w: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w:t>
            </w:r>
          </w:p>
        </w:tc>
        <w:tc>
          <w:tcPr>
            <w:tcW w:w="8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w:t>
            </w: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w:t>
            </w:r>
          </w:p>
        </w:tc>
        <w:tc>
          <w:tcPr>
            <w:tcW w:w="8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89" w:type="dxa"/>
        <w:tblCellMar>
          <w:top w:w="0" w:type="dxa"/>
          <w:left w:w="0" w:type="dxa"/>
          <w:bottom w:w="0" w:type="dxa"/>
          <w:right w:w="0" w:type="dxa"/>
        </w:tblCellMar>
      </w:tblPr>
      <w:tr>
        <w:trPr>
          <w:trHeight w:val="170"/>
        </w:trPr>
        <w:tc>
          <w:tcPr>
            <w:tcW w:w="3500" w:type="dxa"/>
            <w:vAlign w:val="bottom"/>
          </w:tcPr>
          <w:p>
            <w:pPr>
              <w:spacing w:after="0"/>
              <w:rPr>
                <w:sz w:val="20"/>
                <w:szCs w:val="20"/>
                <w:color w:val="auto"/>
              </w:rPr>
            </w:pPr>
            <w:r>
              <w:rPr>
                <w:rFonts w:ascii="Courier New" w:cs="Courier New" w:eastAsia="Courier New" w:hAnsi="Courier New"/>
                <w:sz w:val="15"/>
                <w:szCs w:val="15"/>
                <w:color w:val="auto"/>
              </w:rPr>
              <w:t>9. Capital reductions</w:t>
            </w:r>
          </w:p>
        </w:tc>
        <w:tc>
          <w:tcPr>
            <w:tcW w:w="21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w:t>
            </w: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w:t>
            </w:r>
          </w:p>
        </w:tc>
        <w:tc>
          <w:tcPr>
            <w:tcW w:w="8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w:t>
            </w: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w:t>
            </w:r>
          </w:p>
        </w:tc>
        <w:tc>
          <w:tcPr>
            <w:tcW w:w="8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520" w:type="dxa"/>
            <w:vAlign w:val="bottom"/>
          </w:tcPr>
          <w:p>
            <w:pPr>
              <w:spacing w:after="0"/>
              <w:rPr>
                <w:sz w:val="20"/>
                <w:szCs w:val="20"/>
                <w:color w:val="auto"/>
              </w:rPr>
            </w:pPr>
            <w:r>
              <w:rPr>
                <w:rFonts w:ascii="Courier New" w:cs="Courier New" w:eastAsia="Courier New" w:hAnsi="Courier New"/>
                <w:sz w:val="15"/>
                <w:szCs w:val="15"/>
                <w:color w:val="auto"/>
              </w:rPr>
              <w:t>10. Profit (loss) net of the current period</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w:t>
            </w: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w:t>
            </w:r>
          </w:p>
        </w:tc>
        <w:tc>
          <w:tcPr>
            <w:tcW w:w="8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w:t>
            </w: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54,513   54,513</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480" w:type="dxa"/>
            <w:vAlign w:val="bottom"/>
            <w:gridSpan w:val="4"/>
          </w:tcPr>
          <w:p>
            <w:pPr>
              <w:spacing w:after="0"/>
              <w:rPr>
                <w:sz w:val="20"/>
                <w:szCs w:val="20"/>
                <w:color w:val="auto"/>
              </w:rPr>
            </w:pPr>
            <w:r>
              <w:rPr>
                <w:rFonts w:ascii="Courier New" w:cs="Courier New" w:eastAsia="Courier New" w:hAnsi="Courier New"/>
                <w:sz w:val="15"/>
                <w:szCs w:val="15"/>
                <w:color w:val="auto"/>
              </w:rPr>
              <w:t>11. Other increase (decrease) of equity accounts</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-3,300</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-6,044</w:t>
            </w: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w:t>
            </w: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5,918</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-17,597</w:t>
            </w: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-21,023</w:t>
            </w:r>
          </w:p>
        </w:tc>
      </w:tr>
      <w:tr>
        <w:trPr>
          <w:trHeight w:val="171"/>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640" w:type="dxa"/>
            <w:vAlign w:val="bottom"/>
            <w:gridSpan w:val="9"/>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740" w:type="dxa"/>
            <w:vAlign w:val="bottom"/>
            <w:gridSpan w:val="2"/>
          </w:tcPr>
          <w:p>
            <w:pPr>
              <w:spacing w:after="0"/>
              <w:rPr>
                <w:sz w:val="20"/>
                <w:szCs w:val="20"/>
                <w:color w:val="auto"/>
              </w:rPr>
            </w:pPr>
            <w:r>
              <w:rPr>
                <w:rFonts w:ascii="Courier New" w:cs="Courier New" w:eastAsia="Courier New" w:hAnsi="Courier New"/>
                <w:sz w:val="15"/>
                <w:szCs w:val="15"/>
                <w:color w:val="auto"/>
                <w:w w:val="99"/>
              </w:rPr>
              <w:t>Balances</w:t>
            </w:r>
          </w:p>
        </w:tc>
        <w:tc>
          <w:tcPr>
            <w:tcW w:w="280" w:type="dxa"/>
            <w:vAlign w:val="bottom"/>
          </w:tcPr>
          <w:p>
            <w:pPr>
              <w:ind w:left="40"/>
              <w:spacing w:after="0"/>
              <w:rPr>
                <w:sz w:val="20"/>
                <w:szCs w:val="20"/>
                <w:color w:val="auto"/>
              </w:rPr>
            </w:pPr>
            <w:r>
              <w:rPr>
                <w:rFonts w:ascii="Courier New" w:cs="Courier New" w:eastAsia="Courier New" w:hAnsi="Courier New"/>
                <w:sz w:val="15"/>
                <w:szCs w:val="15"/>
                <w:color w:val="auto"/>
              </w:rPr>
              <w:t>at</w:t>
            </w:r>
          </w:p>
        </w:tc>
        <w:tc>
          <w:tcPr>
            <w:tcW w:w="3460" w:type="dxa"/>
            <w:vAlign w:val="bottom"/>
          </w:tcPr>
          <w:p>
            <w:pPr>
              <w:ind w:left="40"/>
              <w:spacing w:after="0"/>
              <w:rPr>
                <w:sz w:val="20"/>
                <w:szCs w:val="20"/>
                <w:color w:val="auto"/>
              </w:rPr>
            </w:pPr>
            <w:r>
              <w:rPr>
                <w:rFonts w:ascii="Courier New" w:cs="Courier New" w:eastAsia="Courier New" w:hAnsi="Courier New"/>
                <w:sz w:val="15"/>
                <w:szCs w:val="15"/>
                <w:color w:val="auto"/>
              </w:rPr>
              <w:t>December 31, 2001</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397,307</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139,020</w:t>
            </w: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69,527</w:t>
            </w: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34,577</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156,342</w:t>
            </w: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796,773</w:t>
            </w:r>
          </w:p>
        </w:tc>
      </w:tr>
      <w:tr>
        <w:trPr>
          <w:trHeight w:val="171"/>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640" w:type="dxa"/>
            <w:vAlign w:val="bottom"/>
            <w:gridSpan w:val="9"/>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740" w:type="dxa"/>
            <w:vAlign w:val="bottom"/>
            <w:gridSpan w:val="2"/>
          </w:tcPr>
          <w:p>
            <w:pPr>
              <w:spacing w:after="0"/>
              <w:rPr>
                <w:sz w:val="20"/>
                <w:szCs w:val="20"/>
                <w:color w:val="auto"/>
              </w:rPr>
            </w:pPr>
            <w:r>
              <w:rPr>
                <w:rFonts w:ascii="Courier New" w:cs="Courier New" w:eastAsia="Courier New" w:hAnsi="Courier New"/>
                <w:sz w:val="15"/>
                <w:szCs w:val="15"/>
                <w:color w:val="auto"/>
                <w:w w:val="99"/>
              </w:rPr>
              <w:t>Balances</w:t>
            </w:r>
          </w:p>
        </w:tc>
        <w:tc>
          <w:tcPr>
            <w:tcW w:w="280" w:type="dxa"/>
            <w:vAlign w:val="bottom"/>
          </w:tcPr>
          <w:p>
            <w:pPr>
              <w:ind w:left="40"/>
              <w:spacing w:after="0"/>
              <w:rPr>
                <w:sz w:val="20"/>
                <w:szCs w:val="20"/>
                <w:color w:val="auto"/>
              </w:rPr>
            </w:pPr>
            <w:r>
              <w:rPr>
                <w:rFonts w:ascii="Courier New" w:cs="Courier New" w:eastAsia="Courier New" w:hAnsi="Courier New"/>
                <w:sz w:val="15"/>
                <w:szCs w:val="15"/>
                <w:color w:val="auto"/>
              </w:rPr>
              <w:t>at</w:t>
            </w:r>
          </w:p>
        </w:tc>
        <w:tc>
          <w:tcPr>
            <w:tcW w:w="3460" w:type="dxa"/>
            <w:vAlign w:val="bottom"/>
          </w:tcPr>
          <w:p>
            <w:pPr>
              <w:ind w:left="40"/>
              <w:spacing w:after="0"/>
              <w:rPr>
                <w:sz w:val="20"/>
                <w:szCs w:val="20"/>
                <w:color w:val="auto"/>
              </w:rPr>
            </w:pPr>
            <w:r>
              <w:rPr>
                <w:rFonts w:ascii="Courier New" w:cs="Courier New" w:eastAsia="Courier New" w:hAnsi="Courier New"/>
                <w:sz w:val="15"/>
                <w:szCs w:val="15"/>
                <w:color w:val="auto"/>
              </w:rPr>
              <w:t>January 1, 2002</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397,307</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139,020</w:t>
            </w: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69,527</w:t>
            </w: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34,577</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156,342</w:t>
            </w: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796,773</w:t>
            </w:r>
          </w:p>
        </w:tc>
      </w:tr>
    </w:tbl>
    <w:p>
      <w:pPr>
        <w:spacing w:after="0" w:line="3" w:lineRule="exact"/>
        <w:rPr>
          <w:sz w:val="20"/>
          <w:szCs w:val="20"/>
          <w:color w:val="auto"/>
        </w:rPr>
      </w:pPr>
    </w:p>
    <w:p>
      <w:pPr>
        <w:ind w:left="169" w:hanging="169"/>
        <w:spacing w:after="0"/>
        <w:tabs>
          <w:tab w:leader="none" w:pos="169"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34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Changes in accounting practices</w:t>
      </w:r>
    </w:p>
    <w:p>
      <w:pPr>
        <w:spacing w:after="0" w:line="1" w:lineRule="exact"/>
        <w:rPr>
          <w:sz w:val="20"/>
          <w:szCs w:val="20"/>
          <w:color w:val="auto"/>
        </w:rPr>
      </w:pPr>
    </w:p>
    <w:tbl>
      <w:tblPr>
        <w:tblLayout w:type="fixed"/>
        <w:tblInd w:w="89" w:type="dxa"/>
        <w:tblCellMar>
          <w:top w:w="0" w:type="dxa"/>
          <w:left w:w="0" w:type="dxa"/>
          <w:bottom w:w="0" w:type="dxa"/>
          <w:right w:w="0" w:type="dxa"/>
        </w:tblCellMar>
      </w:tblP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1.  and correction of material errors</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w:t>
            </w: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w:t>
            </w:r>
          </w:p>
        </w:tc>
        <w:tc>
          <w:tcPr>
            <w:tcW w:w="8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w:t>
            </w: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w:t>
            </w:r>
          </w:p>
        </w:tc>
        <w:tc>
          <w:tcPr>
            <w:tcW w:w="8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89" w:type="dxa"/>
        <w:tblCellMar>
          <w:top w:w="0" w:type="dxa"/>
          <w:left w:w="0" w:type="dxa"/>
          <w:bottom w:w="0" w:type="dxa"/>
          <w:right w:w="0" w:type="dxa"/>
        </w:tblCellMar>
      </w:tblPr>
      <w:tr>
        <w:trPr>
          <w:trHeight w:val="170"/>
        </w:trPr>
        <w:tc>
          <w:tcPr>
            <w:tcW w:w="4520" w:type="dxa"/>
            <w:vAlign w:val="bottom"/>
          </w:tcPr>
          <w:p>
            <w:pPr>
              <w:spacing w:after="0"/>
              <w:rPr>
                <w:sz w:val="20"/>
                <w:szCs w:val="20"/>
                <w:color w:val="auto"/>
              </w:rPr>
            </w:pPr>
            <w:r>
              <w:rPr>
                <w:rFonts w:ascii="Courier New" w:cs="Courier New" w:eastAsia="Courier New" w:hAnsi="Courier New"/>
                <w:sz w:val="15"/>
                <w:szCs w:val="15"/>
                <w:color w:val="auto"/>
              </w:rPr>
              <w:t>2. Distribution and appropriation of profits</w:t>
            </w:r>
          </w:p>
        </w:tc>
        <w:tc>
          <w:tcPr>
            <w:tcW w:w="10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w:t>
            </w: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w:t>
            </w:r>
          </w:p>
        </w:tc>
        <w:tc>
          <w:tcPr>
            <w:tcW w:w="8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w:t>
            </w: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w:t>
            </w:r>
          </w:p>
        </w:tc>
        <w:tc>
          <w:tcPr>
            <w:tcW w:w="8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89" w:type="dxa"/>
        <w:tblCellMar>
          <w:top w:w="0" w:type="dxa"/>
          <w:left w:w="0" w:type="dxa"/>
          <w:bottom w:w="0" w:type="dxa"/>
          <w:right w:w="0" w:type="dxa"/>
        </w:tblCellMar>
      </w:tblPr>
      <w:tr>
        <w:trPr>
          <w:trHeight w:val="170"/>
        </w:trPr>
        <w:tc>
          <w:tcPr>
            <w:tcW w:w="3940" w:type="dxa"/>
            <w:vAlign w:val="bottom"/>
          </w:tcPr>
          <w:p>
            <w:pPr>
              <w:spacing w:after="0"/>
              <w:rPr>
                <w:sz w:val="20"/>
                <w:szCs w:val="20"/>
                <w:color w:val="auto"/>
              </w:rPr>
            </w:pPr>
            <w:r>
              <w:rPr>
                <w:rFonts w:ascii="Courier New" w:cs="Courier New" w:eastAsia="Courier New" w:hAnsi="Courier New"/>
                <w:sz w:val="15"/>
                <w:szCs w:val="15"/>
                <w:color w:val="auto"/>
              </w:rPr>
              <w:t>3. Dividends and participations</w:t>
            </w:r>
          </w:p>
        </w:tc>
        <w:tc>
          <w:tcPr>
            <w:tcW w:w="16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w:t>
            </w: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w:t>
            </w:r>
          </w:p>
        </w:tc>
        <w:tc>
          <w:tcPr>
            <w:tcW w:w="8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w:t>
            </w:r>
          </w:p>
        </w:tc>
        <w:tc>
          <w:tcPr>
            <w:tcW w:w="5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-15,987  -15,987</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89" w:type="dxa"/>
        <w:tblCellMar>
          <w:top w:w="0" w:type="dxa"/>
          <w:left w:w="0" w:type="dxa"/>
          <w:bottom w:w="0" w:type="dxa"/>
          <w:right w:w="0" w:type="dxa"/>
        </w:tblCellMar>
      </w:tblPr>
      <w:tr>
        <w:trPr>
          <w:trHeight w:val="170"/>
        </w:trPr>
        <w:tc>
          <w:tcPr>
            <w:tcW w:w="3640" w:type="dxa"/>
            <w:vAlign w:val="bottom"/>
          </w:tcPr>
          <w:p>
            <w:pPr>
              <w:spacing w:after="0"/>
              <w:rPr>
                <w:sz w:val="20"/>
                <w:szCs w:val="20"/>
                <w:color w:val="auto"/>
              </w:rPr>
            </w:pPr>
            <w:r>
              <w:rPr>
                <w:rFonts w:ascii="Courier New" w:cs="Courier New" w:eastAsia="Courier New" w:hAnsi="Courier New"/>
                <w:sz w:val="15"/>
                <w:szCs w:val="15"/>
                <w:color w:val="auto"/>
              </w:rPr>
              <w:t>4. New capital additions</w:t>
            </w:r>
          </w:p>
        </w:tc>
        <w:tc>
          <w:tcPr>
            <w:tcW w:w="19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w:t>
            </w: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w:t>
            </w:r>
          </w:p>
        </w:tc>
        <w:tc>
          <w:tcPr>
            <w:tcW w:w="8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w:t>
            </w: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w:t>
            </w:r>
          </w:p>
        </w:tc>
        <w:tc>
          <w:tcPr>
            <w:tcW w:w="8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89" w:type="dxa"/>
        <w:tblCellMar>
          <w:top w:w="0" w:type="dxa"/>
          <w:left w:w="0" w:type="dxa"/>
          <w:bottom w:w="0" w:type="dxa"/>
          <w:right w:w="0" w:type="dxa"/>
        </w:tblCellMar>
      </w:tblPr>
      <w:tr>
        <w:trPr>
          <w:trHeight w:val="170"/>
        </w:trPr>
        <w:tc>
          <w:tcPr>
            <w:tcW w:w="4180" w:type="dxa"/>
            <w:vAlign w:val="bottom"/>
          </w:tcPr>
          <w:p>
            <w:pPr>
              <w:spacing w:after="0"/>
              <w:rPr>
                <w:sz w:val="20"/>
                <w:szCs w:val="20"/>
                <w:color w:val="auto"/>
              </w:rPr>
            </w:pPr>
            <w:r>
              <w:rPr>
                <w:rFonts w:ascii="Courier New" w:cs="Courier New" w:eastAsia="Courier New" w:hAnsi="Courier New"/>
                <w:sz w:val="15"/>
                <w:szCs w:val="15"/>
                <w:color w:val="auto"/>
              </w:rPr>
              <w:t>5. Changes in premiums and donations</w:t>
            </w:r>
          </w:p>
        </w:tc>
        <w:tc>
          <w:tcPr>
            <w:tcW w:w="14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w:t>
            </w: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w:t>
            </w:r>
          </w:p>
        </w:tc>
        <w:tc>
          <w:tcPr>
            <w:tcW w:w="8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w:t>
            </w: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w:t>
            </w:r>
          </w:p>
        </w:tc>
        <w:tc>
          <w:tcPr>
            <w:tcW w:w="8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89" w:type="dxa"/>
        <w:tblCellMar>
          <w:top w:w="0" w:type="dxa"/>
          <w:left w:w="0" w:type="dxa"/>
          <w:bottom w:w="0" w:type="dxa"/>
          <w:right w:w="0" w:type="dxa"/>
        </w:tblCellMar>
      </w:tblPr>
      <w:tr>
        <w:trPr>
          <w:trHeight w:val="170"/>
        </w:trPr>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Increase or</w:t>
            </w:r>
          </w:p>
        </w:tc>
        <w:tc>
          <w:tcPr>
            <w:tcW w:w="2500" w:type="dxa"/>
            <w:vAlign w:val="bottom"/>
          </w:tcPr>
          <w:p>
            <w:pPr>
              <w:ind w:left="60"/>
              <w:spacing w:after="0"/>
              <w:rPr>
                <w:sz w:val="20"/>
                <w:szCs w:val="20"/>
                <w:color w:val="auto"/>
              </w:rPr>
            </w:pPr>
            <w:r>
              <w:rPr>
                <w:rFonts w:ascii="Courier New" w:cs="Courier New" w:eastAsia="Courier New" w:hAnsi="Courier New"/>
                <w:sz w:val="15"/>
                <w:szCs w:val="15"/>
                <w:color w:val="auto"/>
              </w:rPr>
              <w:t>decrease due</w:t>
            </w:r>
          </w:p>
        </w:tc>
        <w:tc>
          <w:tcPr>
            <w:tcW w:w="1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71"/>
        </w:trPr>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w w:val="96"/>
              </w:rPr>
              <w:t>6.  to mergers</w:t>
            </w:r>
          </w:p>
        </w:tc>
        <w:tc>
          <w:tcPr>
            <w:tcW w:w="2500" w:type="dxa"/>
            <w:vAlign w:val="bottom"/>
          </w:tcPr>
          <w:p>
            <w:pPr>
              <w:ind w:left="60"/>
              <w:spacing w:after="0"/>
              <w:rPr>
                <w:sz w:val="20"/>
                <w:szCs w:val="20"/>
                <w:color w:val="auto"/>
              </w:rPr>
            </w:pPr>
            <w:r>
              <w:rPr>
                <w:rFonts w:ascii="Courier New" w:cs="Courier New" w:eastAsia="Courier New" w:hAnsi="Courier New"/>
                <w:sz w:val="15"/>
                <w:szCs w:val="15"/>
                <w:color w:val="auto"/>
              </w:rPr>
              <w:t>or spinoffs</w:t>
            </w:r>
          </w:p>
        </w:tc>
        <w:tc>
          <w:tcPr>
            <w:tcW w:w="18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w:t>
            </w: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w:t>
            </w:r>
          </w:p>
        </w:tc>
        <w:tc>
          <w:tcPr>
            <w:tcW w:w="8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w:t>
            </w: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w:t>
            </w:r>
          </w:p>
        </w:tc>
        <w:tc>
          <w:tcPr>
            <w:tcW w:w="8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89" w:type="dxa"/>
        <w:tblCellMar>
          <w:top w:w="0" w:type="dxa"/>
          <w:left w:w="0" w:type="dxa"/>
          <w:bottom w:w="0" w:type="dxa"/>
          <w:right w:w="0" w:type="dxa"/>
        </w:tblCellMar>
      </w:tblPr>
      <w:tr>
        <w:trPr>
          <w:trHeight w:val="170"/>
        </w:trPr>
        <w:tc>
          <w:tcPr>
            <w:tcW w:w="3500" w:type="dxa"/>
            <w:vAlign w:val="bottom"/>
          </w:tcPr>
          <w:p>
            <w:pPr>
              <w:spacing w:after="0"/>
              <w:rPr>
                <w:sz w:val="20"/>
                <w:szCs w:val="20"/>
                <w:color w:val="auto"/>
              </w:rPr>
            </w:pPr>
            <w:r>
              <w:rPr>
                <w:rFonts w:ascii="Courier New" w:cs="Courier New" w:eastAsia="Courier New" w:hAnsi="Courier New"/>
                <w:sz w:val="15"/>
                <w:szCs w:val="15"/>
                <w:color w:val="auto"/>
              </w:rPr>
              <w:t>7. Asset revaluations</w:t>
            </w:r>
          </w:p>
        </w:tc>
        <w:tc>
          <w:tcPr>
            <w:tcW w:w="21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w:t>
            </w: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w:t>
            </w:r>
          </w:p>
        </w:tc>
        <w:tc>
          <w:tcPr>
            <w:tcW w:w="8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w:t>
            </w: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w:t>
            </w:r>
          </w:p>
        </w:tc>
        <w:tc>
          <w:tcPr>
            <w:tcW w:w="8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89" w:type="dxa"/>
        <w:tblCellMar>
          <w:top w:w="0" w:type="dxa"/>
          <w:left w:w="0" w:type="dxa"/>
          <w:bottom w:w="0" w:type="dxa"/>
          <w:right w:w="0" w:type="dxa"/>
        </w:tblCellMar>
      </w:tblPr>
      <w:tr>
        <w:trPr>
          <w:trHeight w:val="170"/>
        </w:trPr>
        <w:tc>
          <w:tcPr>
            <w:tcW w:w="4180" w:type="dxa"/>
            <w:vAlign w:val="bottom"/>
          </w:tcPr>
          <w:p>
            <w:pPr>
              <w:spacing w:after="0"/>
              <w:rPr>
                <w:sz w:val="20"/>
                <w:szCs w:val="20"/>
                <w:color w:val="auto"/>
              </w:rPr>
            </w:pPr>
            <w:r>
              <w:rPr>
                <w:rFonts w:ascii="Courier New" w:cs="Courier New" w:eastAsia="Courier New" w:hAnsi="Courier New"/>
                <w:sz w:val="15"/>
                <w:szCs w:val="15"/>
                <w:color w:val="auto"/>
              </w:rPr>
              <w:t>8. Capitalization of equity accounts</w:t>
            </w:r>
          </w:p>
        </w:tc>
        <w:tc>
          <w:tcPr>
            <w:tcW w:w="14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w:t>
            </w: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w:t>
            </w:r>
          </w:p>
        </w:tc>
        <w:tc>
          <w:tcPr>
            <w:tcW w:w="8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w:t>
            </w: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w:t>
            </w:r>
          </w:p>
        </w:tc>
        <w:tc>
          <w:tcPr>
            <w:tcW w:w="8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89" w:type="dxa"/>
        <w:tblCellMar>
          <w:top w:w="0" w:type="dxa"/>
          <w:left w:w="0" w:type="dxa"/>
          <w:bottom w:w="0" w:type="dxa"/>
          <w:right w:w="0" w:type="dxa"/>
        </w:tblCellMar>
      </w:tblPr>
      <w:tr>
        <w:trPr>
          <w:trHeight w:val="170"/>
        </w:trPr>
        <w:tc>
          <w:tcPr>
            <w:tcW w:w="3500" w:type="dxa"/>
            <w:vAlign w:val="bottom"/>
          </w:tcPr>
          <w:p>
            <w:pPr>
              <w:spacing w:after="0"/>
              <w:rPr>
                <w:sz w:val="20"/>
                <w:szCs w:val="20"/>
                <w:color w:val="auto"/>
              </w:rPr>
            </w:pPr>
            <w:r>
              <w:rPr>
                <w:rFonts w:ascii="Courier New" w:cs="Courier New" w:eastAsia="Courier New" w:hAnsi="Courier New"/>
                <w:sz w:val="15"/>
                <w:szCs w:val="15"/>
                <w:color w:val="auto"/>
              </w:rPr>
              <w:t>9. Capital reductions</w:t>
            </w:r>
          </w:p>
        </w:tc>
        <w:tc>
          <w:tcPr>
            <w:tcW w:w="21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w:t>
            </w: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w:t>
            </w:r>
          </w:p>
        </w:tc>
        <w:tc>
          <w:tcPr>
            <w:tcW w:w="8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w:t>
            </w: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w:t>
            </w:r>
          </w:p>
        </w:tc>
        <w:tc>
          <w:tcPr>
            <w:tcW w:w="8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520" w:type="dxa"/>
            <w:vAlign w:val="bottom"/>
          </w:tcPr>
          <w:p>
            <w:pPr>
              <w:spacing w:after="0"/>
              <w:rPr>
                <w:sz w:val="20"/>
                <w:szCs w:val="20"/>
                <w:color w:val="auto"/>
              </w:rPr>
            </w:pPr>
            <w:r>
              <w:rPr>
                <w:rFonts w:ascii="Courier New" w:cs="Courier New" w:eastAsia="Courier New" w:hAnsi="Courier New"/>
                <w:sz w:val="15"/>
                <w:szCs w:val="15"/>
                <w:color w:val="auto"/>
              </w:rPr>
              <w:t>10. Profit (loss) net of the current period</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w:t>
            </w: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w:t>
            </w:r>
          </w:p>
        </w:tc>
        <w:tc>
          <w:tcPr>
            <w:tcW w:w="8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w:t>
            </w: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42,383   42,383</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480" w:type="dxa"/>
            <w:vAlign w:val="bottom"/>
            <w:gridSpan w:val="2"/>
          </w:tcPr>
          <w:p>
            <w:pPr>
              <w:spacing w:after="0"/>
              <w:rPr>
                <w:sz w:val="20"/>
                <w:szCs w:val="20"/>
                <w:color w:val="auto"/>
              </w:rPr>
            </w:pPr>
            <w:r>
              <w:rPr>
                <w:rFonts w:ascii="Courier New" w:cs="Courier New" w:eastAsia="Courier New" w:hAnsi="Courier New"/>
                <w:sz w:val="15"/>
                <w:szCs w:val="15"/>
                <w:color w:val="auto"/>
              </w:rPr>
              <w:t>11. Other increase (decrease) of equity accounts</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1,428</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1,480</w:t>
            </w: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w:t>
            </w: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-2,277</w:t>
            </w: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631</w:t>
            </w:r>
          </w:p>
        </w:tc>
      </w:tr>
      <w:tr>
        <w:trPr>
          <w:trHeight w:val="171"/>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640" w:type="dxa"/>
            <w:vAlign w:val="bottom"/>
            <w:gridSpan w:val="7"/>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4480" w:type="dxa"/>
            <w:vAlign w:val="bottom"/>
            <w:gridSpan w:val="2"/>
          </w:tcPr>
          <w:p>
            <w:pPr>
              <w:spacing w:after="0"/>
              <w:rPr>
                <w:sz w:val="20"/>
                <w:szCs w:val="20"/>
                <w:color w:val="auto"/>
              </w:rPr>
            </w:pPr>
            <w:r>
              <w:rPr>
                <w:rFonts w:ascii="Courier New" w:cs="Courier New" w:eastAsia="Courier New" w:hAnsi="Courier New"/>
                <w:sz w:val="15"/>
                <w:szCs w:val="15"/>
                <w:color w:val="auto"/>
              </w:rPr>
              <w:t>Balances at December 31, 2002</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398,735</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140,500</w:t>
            </w: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69,527</w:t>
            </w: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34,577</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180,461</w:t>
            </w: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823,800</w:t>
            </w:r>
          </w:p>
        </w:tc>
      </w:tr>
      <w:tr>
        <w:trPr>
          <w:trHeight w:val="171"/>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640" w:type="dxa"/>
            <w:vAlign w:val="bottom"/>
            <w:gridSpan w:val="7"/>
          </w:tcPr>
          <w:p>
            <w:pPr>
              <w:jc w:val="right"/>
              <w:spacing w:after="0"/>
              <w:rPr>
                <w:sz w:val="20"/>
                <w:szCs w:val="20"/>
                <w:color w:val="auto"/>
              </w:rPr>
            </w:pPr>
            <w:r>
              <w:rPr>
                <w:rFonts w:ascii="Courier New" w:cs="Courier New" w:eastAsia="Courier New" w:hAnsi="Courier New"/>
                <w:sz w:val="15"/>
                <w:szCs w:val="15"/>
                <w:color w:val="auto"/>
                <w:w w:val="98"/>
              </w:rPr>
              <w:t>------------------------------------------------------------------------------------------------------------</w:t>
            </w:r>
          </w:p>
        </w:tc>
      </w:tr>
    </w:tbl>
    <w:p>
      <w:pPr>
        <w:sectPr>
          <w:pgSz w:w="11900" w:h="16838" w:orient="portrait"/>
          <w:cols w:equalWidth="0" w:num="1">
            <w:col w:w="10228"/>
          </w:cols>
          <w:pgMar w:left="231" w:top="1440" w:right="1440" w:bottom="1440" w:gutter="0" w:footer="0" w:header="0"/>
        </w:sectPr>
      </w:pPr>
    </w:p>
    <w:bookmarkStart w:id="6" w:name="page7"/>
    <w:bookmarkEnd w:id="6"/>
    <w:p>
      <w:pPr>
        <w:ind w:left="9"/>
        <w:spacing w:after="0"/>
        <w:rPr>
          <w:sz w:val="20"/>
          <w:szCs w:val="20"/>
          <w:color w:val="auto"/>
        </w:rPr>
      </w:pPr>
      <w:r>
        <w:rPr>
          <w:rFonts w:ascii="Courier New" w:cs="Courier New" w:eastAsia="Courier New" w:hAnsi="Courier New"/>
          <w:sz w:val="15"/>
          <w:szCs w:val="15"/>
          <w:color w:val="auto"/>
        </w:rPr>
        <w:t>CREDICORP LTD. AND SUBSIDIARIES</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Statement of Cash Flows</w:t>
      </w:r>
    </w:p>
    <w:p>
      <w:pPr>
        <w:spacing w:after="0" w:line="1" w:lineRule="exact"/>
        <w:rPr>
          <w:sz w:val="20"/>
          <w:szCs w:val="20"/>
          <w:color w:val="auto"/>
        </w:rPr>
      </w:pPr>
    </w:p>
    <w:p>
      <w:pPr>
        <w:ind w:left="9"/>
        <w:spacing w:after="0"/>
        <w:tabs>
          <w:tab w:leader="none" w:pos="3349" w:val="left"/>
        </w:tabs>
        <w:rPr>
          <w:sz w:val="20"/>
          <w:szCs w:val="20"/>
          <w:color w:val="auto"/>
        </w:rPr>
      </w:pPr>
      <w:r>
        <w:rPr>
          <w:rFonts w:ascii="Courier New" w:cs="Courier New" w:eastAsia="Courier New" w:hAnsi="Courier New"/>
          <w:sz w:val="15"/>
          <w:szCs w:val="15"/>
          <w:color w:val="auto"/>
        </w:rPr>
        <w:t>For the periods ended December 31 of</w:t>
      </w:r>
      <w:r>
        <w:rPr>
          <w:sz w:val="20"/>
          <w:szCs w:val="20"/>
          <w:color w:val="auto"/>
        </w:rPr>
        <w:tab/>
      </w:r>
      <w:r>
        <w:rPr>
          <w:rFonts w:ascii="Courier New" w:cs="Courier New" w:eastAsia="Courier New" w:hAnsi="Courier New"/>
          <w:sz w:val="14"/>
          <w:szCs w:val="14"/>
          <w:color w:val="auto"/>
        </w:rPr>
        <w:t>2002 and 2001</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(In Thousands of U.S. Dollars)</w:t>
      </w:r>
    </w:p>
    <w:p>
      <w:pPr>
        <w:sectPr>
          <w:pgSz w:w="11900" w:h="16838" w:orient="portrait"/>
          <w:cols w:equalWidth="0" w:num="1">
            <w:col w:w="10228"/>
          </w:cols>
          <w:pgMar w:left="231" w:top="799" w:right="1440" w:bottom="0" w:gutter="0" w:footer="0" w:header="0"/>
        </w:sectPr>
      </w:pPr>
    </w:p>
    <w:p>
      <w:pPr>
        <w:spacing w:after="0" w:line="200" w:lineRule="exact"/>
        <w:rPr>
          <w:sz w:val="20"/>
          <w:szCs w:val="20"/>
          <w:color w:val="auto"/>
        </w:rPr>
      </w:pPr>
    </w:p>
    <w:p>
      <w:pPr>
        <w:spacing w:after="0" w:line="315" w:lineRule="exact"/>
        <w:rPr>
          <w:sz w:val="20"/>
          <w:szCs w:val="20"/>
          <w:color w:val="auto"/>
        </w:rPr>
      </w:pPr>
    </w:p>
    <w:p>
      <w:pPr>
        <w:jc w:val="center"/>
        <w:ind w:left="7369"/>
        <w:spacing w:after="0"/>
        <w:rPr>
          <w:sz w:val="20"/>
          <w:szCs w:val="20"/>
          <w:color w:val="auto"/>
        </w:rPr>
      </w:pPr>
      <w:r>
        <w:rPr>
          <w:rFonts w:ascii="Courier New" w:cs="Courier New" w:eastAsia="Courier New" w:hAnsi="Courier New"/>
          <w:sz w:val="14"/>
          <w:szCs w:val="14"/>
          <w:color w:val="auto"/>
        </w:rPr>
        <w:t>For the 12</w:t>
      </w:r>
    </w:p>
    <w:p>
      <w:pPr>
        <w:spacing w:after="0" w:line="9" w:lineRule="exact"/>
        <w:rPr>
          <w:sz w:val="20"/>
          <w:szCs w:val="20"/>
          <w:color w:val="auto"/>
        </w:rPr>
      </w:pPr>
    </w:p>
    <w:p>
      <w:pPr>
        <w:jc w:val="center"/>
        <w:ind w:left="7469"/>
        <w:spacing w:after="0"/>
        <w:rPr>
          <w:sz w:val="20"/>
          <w:szCs w:val="20"/>
          <w:color w:val="auto"/>
        </w:rPr>
      </w:pPr>
      <w:r>
        <w:rPr>
          <w:rFonts w:ascii="Courier New" w:cs="Courier New" w:eastAsia="Courier New" w:hAnsi="Courier New"/>
          <w:sz w:val="15"/>
          <w:szCs w:val="15"/>
          <w:color w:val="auto"/>
        </w:rPr>
        <w:t>month</w:t>
      </w:r>
    </w:p>
    <w:p>
      <w:pPr>
        <w:spacing w:after="0" w:line="3" w:lineRule="exact"/>
        <w:rPr>
          <w:sz w:val="20"/>
          <w:szCs w:val="20"/>
          <w:color w:val="auto"/>
        </w:rPr>
      </w:pPr>
    </w:p>
    <w:p>
      <w:pPr>
        <w:jc w:val="center"/>
        <w:ind w:left="7629"/>
        <w:spacing w:after="0"/>
        <w:rPr>
          <w:sz w:val="20"/>
          <w:szCs w:val="20"/>
          <w:color w:val="auto"/>
        </w:rPr>
      </w:pPr>
      <w:r>
        <w:rPr>
          <w:rFonts w:ascii="Courier New" w:cs="Courier New" w:eastAsia="Courier New" w:hAnsi="Courier New"/>
          <w:sz w:val="14"/>
          <w:szCs w:val="14"/>
          <w:color w:val="auto"/>
        </w:rPr>
        <w:t>period Jan.</w:t>
      </w:r>
    </w:p>
    <w:p>
      <w:pPr>
        <w:spacing w:after="0" w:line="9" w:lineRule="exact"/>
        <w:rPr>
          <w:sz w:val="20"/>
          <w:szCs w:val="20"/>
          <w:color w:val="auto"/>
        </w:rPr>
      </w:pPr>
    </w:p>
    <w:p>
      <w:pPr>
        <w:jc w:val="center"/>
        <w:ind w:left="7549"/>
        <w:spacing w:after="0"/>
        <w:rPr>
          <w:sz w:val="20"/>
          <w:szCs w:val="20"/>
          <w:color w:val="auto"/>
        </w:rPr>
      </w:pPr>
      <w:r>
        <w:rPr>
          <w:rFonts w:ascii="Courier New" w:cs="Courier New" w:eastAsia="Courier New" w:hAnsi="Courier New"/>
          <w:sz w:val="15"/>
          <w:szCs w:val="15"/>
          <w:color w:val="auto"/>
        </w:rPr>
        <w:t>1st to</w:t>
      </w:r>
    </w:p>
    <w:p>
      <w:pPr>
        <w:spacing w:after="0" w:line="1" w:lineRule="exact"/>
        <w:rPr>
          <w:sz w:val="20"/>
          <w:szCs w:val="20"/>
          <w:color w:val="auto"/>
        </w:rPr>
      </w:pPr>
    </w:p>
    <w:p>
      <w:pPr>
        <w:jc w:val="center"/>
        <w:ind w:left="7549"/>
        <w:spacing w:after="0"/>
        <w:rPr>
          <w:sz w:val="20"/>
          <w:szCs w:val="20"/>
          <w:color w:val="auto"/>
        </w:rPr>
      </w:pPr>
      <w:r>
        <w:rPr>
          <w:rFonts w:ascii="Courier New" w:cs="Courier New" w:eastAsia="Courier New" w:hAnsi="Courier New"/>
          <w:sz w:val="15"/>
          <w:szCs w:val="15"/>
          <w:color w:val="auto"/>
        </w:rPr>
        <w:t>December</w:t>
      </w:r>
    </w:p>
    <w:p>
      <w:pPr>
        <w:spacing w:after="0" w:line="1" w:lineRule="exact"/>
        <w:rPr>
          <w:sz w:val="20"/>
          <w:szCs w:val="20"/>
          <w:color w:val="auto"/>
        </w:rPr>
      </w:pPr>
    </w:p>
    <w:p>
      <w:pPr>
        <w:jc w:val="center"/>
        <w:ind w:left="7549"/>
        <w:spacing w:after="0"/>
        <w:rPr>
          <w:sz w:val="20"/>
          <w:szCs w:val="20"/>
          <w:color w:val="auto"/>
        </w:rPr>
      </w:pPr>
      <w:r>
        <w:rPr>
          <w:rFonts w:ascii="Courier New" w:cs="Courier New" w:eastAsia="Courier New" w:hAnsi="Courier New"/>
          <w:sz w:val="15"/>
          <w:szCs w:val="15"/>
          <w:color w:val="auto"/>
        </w:rPr>
        <w:t>31, 2002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For the 12</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month period</w:t>
      </w:r>
    </w:p>
    <w:p>
      <w:pPr>
        <w:spacing w:after="0" w:line="12"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Jan. 1st to</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w:t>
      </w:r>
    </w:p>
    <w:p>
      <w:pPr>
        <w:spacing w:after="0" w:line="9"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2001</w:t>
      </w:r>
    </w:p>
    <w:p>
      <w:pPr>
        <w:spacing w:after="0" w:line="173" w:lineRule="exact"/>
        <w:rPr>
          <w:sz w:val="20"/>
          <w:szCs w:val="20"/>
          <w:color w:val="auto"/>
        </w:rPr>
      </w:pPr>
    </w:p>
    <w:p>
      <w:pPr>
        <w:sectPr>
          <w:pgSz w:w="11900" w:h="16838" w:orient="portrait"/>
          <w:cols w:equalWidth="0" w:num="2">
            <w:col w:w="8609" w:space="80"/>
            <w:col w:w="1539"/>
          </w:cols>
          <w:pgMar w:left="231" w:top="799" w:right="1440" w:bottom="0" w:gutter="0" w:footer="0" w:header="0"/>
          <w:type w:val="continuous"/>
        </w:sectPr>
      </w:pPr>
    </w:p>
    <w:p>
      <w:pPr>
        <w:ind w:left="9"/>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RECONCILIATION OF NET RESULTS WITH CASH AND</w:t>
      </w:r>
    </w:p>
    <w:p>
      <w:pPr>
        <w:spacing w:after="0" w:line="1" w:lineRule="exact"/>
        <w:rPr>
          <w:sz w:val="20"/>
          <w:szCs w:val="20"/>
          <w:color w:val="auto"/>
        </w:rPr>
      </w:pPr>
    </w:p>
    <w:p>
      <w:pPr>
        <w:ind w:left="89"/>
        <w:spacing w:after="0"/>
        <w:rPr>
          <w:sz w:val="20"/>
          <w:szCs w:val="20"/>
          <w:color w:val="auto"/>
        </w:rPr>
      </w:pPr>
      <w:r>
        <w:rPr>
          <w:rFonts w:ascii="Courier New" w:cs="Courier New" w:eastAsia="Courier New" w:hAnsi="Courier New"/>
          <w:sz w:val="15"/>
          <w:szCs w:val="15"/>
          <w:color w:val="auto"/>
        </w:rPr>
        <w:t>CASH EQUIVALENTS PROVIDED BY OPERATIONS</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5400" w:type="dxa"/>
            <w:vAlign w:val="bottom"/>
          </w:tcPr>
          <w:p>
            <w:pPr>
              <w:spacing w:after="0"/>
              <w:rPr>
                <w:sz w:val="20"/>
                <w:szCs w:val="20"/>
                <w:color w:val="auto"/>
              </w:rPr>
            </w:pPr>
            <w:r>
              <w:rPr>
                <w:rFonts w:ascii="Courier New" w:cs="Courier New" w:eastAsia="Courier New" w:hAnsi="Courier New"/>
                <w:sz w:val="15"/>
                <w:szCs w:val="15"/>
                <w:color w:val="auto"/>
              </w:rPr>
              <w:t>NET INCOME (LOSS) FOR THE PERIOD</w:t>
            </w:r>
          </w:p>
        </w:tc>
        <w:tc>
          <w:tcPr>
            <w:tcW w:w="35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42,383</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54,513</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ADJUSTMENTS TO NET RESULTS OF THE PERIOD</w:t>
            </w:r>
          </w:p>
        </w:tc>
        <w:tc>
          <w:tcPr>
            <w:tcW w:w="31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528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36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44,371</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46,732</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780" w:type="dxa"/>
            <w:vAlign w:val="bottom"/>
          </w:tcPr>
          <w:p>
            <w:pPr>
              <w:spacing w:after="0"/>
              <w:rPr>
                <w:sz w:val="20"/>
                <w:szCs w:val="20"/>
                <w:color w:val="auto"/>
              </w:rPr>
            </w:pPr>
            <w:r>
              <w:rPr>
                <w:rFonts w:ascii="Courier New" w:cs="Courier New" w:eastAsia="Courier New" w:hAnsi="Courier New"/>
                <w:sz w:val="15"/>
                <w:szCs w:val="15"/>
                <w:color w:val="auto"/>
              </w:rPr>
              <w:t>Loan loss provision</w:t>
            </w:r>
          </w:p>
        </w:tc>
        <w:tc>
          <w:tcPr>
            <w:tcW w:w="40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111,646</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134,357</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5840" w:type="dxa"/>
            <w:vAlign w:val="bottom"/>
          </w:tcPr>
          <w:p>
            <w:pPr>
              <w:spacing w:after="0"/>
              <w:rPr>
                <w:sz w:val="20"/>
                <w:szCs w:val="20"/>
                <w:color w:val="auto"/>
              </w:rPr>
            </w:pPr>
            <w:r>
              <w:rPr>
                <w:rFonts w:ascii="Courier New" w:cs="Courier New" w:eastAsia="Courier New" w:hAnsi="Courier New"/>
                <w:sz w:val="15"/>
                <w:szCs w:val="15"/>
                <w:color w:val="auto"/>
              </w:rPr>
              <w:t>Provision for securities and seized assets</w:t>
            </w:r>
          </w:p>
        </w:tc>
        <w:tc>
          <w:tcPr>
            <w:tcW w:w="30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26,566</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26,714</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920" w:type="dxa"/>
            <w:vAlign w:val="bottom"/>
          </w:tcPr>
          <w:p>
            <w:pPr>
              <w:spacing w:after="0"/>
              <w:rPr>
                <w:sz w:val="20"/>
                <w:szCs w:val="20"/>
                <w:color w:val="auto"/>
              </w:rPr>
            </w:pPr>
            <w:r>
              <w:rPr>
                <w:rFonts w:ascii="Courier New" w:cs="Courier New" w:eastAsia="Courier New" w:hAnsi="Courier New"/>
                <w:sz w:val="15"/>
                <w:szCs w:val="15"/>
                <w:color w:val="auto"/>
              </w:rPr>
              <w:t>Other provisions</w:t>
            </w:r>
          </w:p>
        </w:tc>
        <w:tc>
          <w:tcPr>
            <w:tcW w:w="422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6420" w:type="dxa"/>
            <w:vAlign w:val="bottom"/>
            <w:gridSpan w:val="2"/>
          </w:tcPr>
          <w:p>
            <w:pPr>
              <w:spacing w:after="0"/>
              <w:rPr>
                <w:sz w:val="20"/>
                <w:szCs w:val="20"/>
                <w:color w:val="auto"/>
              </w:rPr>
            </w:pPr>
            <w:r>
              <w:rPr>
                <w:rFonts w:ascii="Courier New" w:cs="Courier New" w:eastAsia="Courier New" w:hAnsi="Courier New"/>
                <w:sz w:val="15"/>
                <w:szCs w:val="15"/>
                <w:color w:val="auto"/>
              </w:rPr>
              <w:t>Profit (loss) from the sale of securities</w:t>
            </w:r>
          </w:p>
        </w:tc>
        <w:tc>
          <w:tcPr>
            <w:tcW w:w="25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-2,754</w:t>
            </w:r>
          </w:p>
        </w:tc>
        <w:tc>
          <w:tcPr>
            <w:tcW w:w="11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31,737</w:t>
            </w:r>
          </w:p>
        </w:tc>
      </w:tr>
      <w:tr>
        <w:trPr>
          <w:trHeight w:val="171"/>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98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6420" w:type="dxa"/>
            <w:vAlign w:val="bottom"/>
            <w:gridSpan w:val="2"/>
          </w:tcPr>
          <w:p>
            <w:pPr>
              <w:spacing w:after="0"/>
              <w:rPr>
                <w:sz w:val="20"/>
                <w:szCs w:val="20"/>
                <w:color w:val="auto"/>
              </w:rPr>
            </w:pPr>
            <w:r>
              <w:rPr>
                <w:rFonts w:ascii="Courier New" w:cs="Courier New" w:eastAsia="Courier New" w:hAnsi="Courier New"/>
                <w:sz w:val="15"/>
                <w:szCs w:val="15"/>
                <w:color w:val="auto"/>
              </w:rPr>
              <w:t>Profit (loss) from the sale of properties and equipment</w:t>
            </w:r>
          </w:p>
        </w:tc>
        <w:tc>
          <w:tcPr>
            <w:tcW w:w="25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w:t>
            </w:r>
          </w:p>
        </w:tc>
      </w:tr>
      <w:tr>
        <w:trPr>
          <w:trHeight w:val="171"/>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98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6420" w:type="dxa"/>
            <w:vAlign w:val="bottom"/>
            <w:gridSpan w:val="2"/>
          </w:tcPr>
          <w:p>
            <w:pPr>
              <w:spacing w:after="0"/>
              <w:rPr>
                <w:sz w:val="20"/>
                <w:szCs w:val="20"/>
                <w:color w:val="auto"/>
              </w:rPr>
            </w:pPr>
            <w:r>
              <w:rPr>
                <w:rFonts w:ascii="Courier New" w:cs="Courier New" w:eastAsia="Courier New" w:hAnsi="Courier New"/>
                <w:sz w:val="15"/>
                <w:szCs w:val="15"/>
                <w:color w:val="auto"/>
              </w:rPr>
              <w:t>Others</w:t>
            </w:r>
          </w:p>
        </w:tc>
        <w:tc>
          <w:tcPr>
            <w:tcW w:w="25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w:t>
            </w:r>
          </w:p>
        </w:tc>
      </w:tr>
    </w:tbl>
    <w:p>
      <w:pPr>
        <w:spacing w:after="0" w:line="3" w:lineRule="exact"/>
        <w:rPr>
          <w:sz w:val="20"/>
          <w:szCs w:val="20"/>
          <w:color w:val="auto"/>
        </w:rPr>
      </w:pPr>
    </w:p>
    <w:p>
      <w:pPr>
        <w:ind w:left="169" w:hanging="169"/>
        <w:spacing w:after="0"/>
        <w:tabs>
          <w:tab w:leader="none" w:pos="169"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DEBITS AND CREDITS FROM NET CHANGES IN ASSETS AND LIABILITIES</w:t>
      </w:r>
    </w:p>
    <w:p>
      <w:pPr>
        <w:spacing w:after="0" w:line="3"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6920" w:type="dxa"/>
            <w:vAlign w:val="bottom"/>
          </w:tcPr>
          <w:p>
            <w:pPr>
              <w:spacing w:after="0"/>
              <w:rPr>
                <w:sz w:val="20"/>
                <w:szCs w:val="20"/>
                <w:color w:val="auto"/>
              </w:rPr>
            </w:pPr>
            <w:r>
              <w:rPr>
                <w:rFonts w:ascii="Courier New" w:cs="Courier New" w:eastAsia="Courier New" w:hAnsi="Courier New"/>
                <w:sz w:val="15"/>
                <w:szCs w:val="15"/>
                <w:color w:val="auto"/>
              </w:rPr>
              <w:t>Increase (decrease) in receivables and other accounts receivables</w:t>
            </w:r>
          </w:p>
        </w:tc>
        <w:tc>
          <w:tcPr>
            <w:tcW w:w="19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8,105</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-10,603</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6960" w:type="dxa"/>
            <w:vAlign w:val="bottom"/>
          </w:tcPr>
          <w:p>
            <w:pPr>
              <w:spacing w:after="0"/>
              <w:rPr>
                <w:sz w:val="20"/>
                <w:szCs w:val="20"/>
                <w:color w:val="auto"/>
              </w:rPr>
            </w:pPr>
            <w:r>
              <w:rPr>
                <w:rFonts w:ascii="Courier New" w:cs="Courier New" w:eastAsia="Courier New" w:hAnsi="Courier New"/>
                <w:sz w:val="15"/>
                <w:szCs w:val="15"/>
                <w:color w:val="auto"/>
              </w:rPr>
              <w:t>Increase (decrease) in notes payables and other accounts payables</w:t>
            </w:r>
          </w:p>
        </w:tc>
        <w:tc>
          <w:tcPr>
            <w:tcW w:w="20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-549</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8,368</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7100" w:type="dxa"/>
            <w:vAlign w:val="bottom"/>
            <w:gridSpan w:val="5"/>
          </w:tcPr>
          <w:p>
            <w:pPr>
              <w:spacing w:after="0"/>
              <w:rPr>
                <w:sz w:val="20"/>
                <w:szCs w:val="20"/>
                <w:color w:val="auto"/>
              </w:rPr>
            </w:pPr>
            <w:r>
              <w:rPr>
                <w:rFonts w:ascii="Courier New" w:cs="Courier New" w:eastAsia="Courier New" w:hAnsi="Courier New"/>
                <w:sz w:val="15"/>
                <w:szCs w:val="15"/>
                <w:color w:val="auto"/>
              </w:rPr>
              <w:t>Increase (decrease) in other assets</w:t>
            </w:r>
          </w:p>
        </w:tc>
        <w:tc>
          <w:tcPr>
            <w:tcW w:w="17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74,926</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-47,252</w:t>
            </w:r>
          </w:p>
        </w:tc>
      </w:tr>
      <w:tr>
        <w:trPr>
          <w:trHeight w:val="171"/>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980" w:type="dxa"/>
            <w:vAlign w:val="bottom"/>
            <w:gridSpan w:val="6"/>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740" w:type="dxa"/>
            <w:vAlign w:val="bottom"/>
            <w:gridSpan w:val="2"/>
          </w:tcPr>
          <w:p>
            <w:pPr>
              <w:spacing w:after="0"/>
              <w:rPr>
                <w:sz w:val="20"/>
                <w:szCs w:val="20"/>
                <w:color w:val="auto"/>
              </w:rPr>
            </w:pPr>
            <w:r>
              <w:rPr>
                <w:rFonts w:ascii="Courier New" w:cs="Courier New" w:eastAsia="Courier New" w:hAnsi="Courier New"/>
                <w:sz w:val="15"/>
                <w:szCs w:val="15"/>
                <w:color w:val="auto"/>
                <w:w w:val="99"/>
              </w:rPr>
              <w:t>Increase</w:t>
            </w:r>
          </w:p>
        </w:tc>
        <w:tc>
          <w:tcPr>
            <w:tcW w:w="980" w:type="dxa"/>
            <w:vAlign w:val="bottom"/>
          </w:tcPr>
          <w:p>
            <w:pPr>
              <w:ind w:left="40"/>
              <w:spacing w:after="0"/>
              <w:rPr>
                <w:sz w:val="20"/>
                <w:szCs w:val="20"/>
                <w:color w:val="auto"/>
              </w:rPr>
            </w:pPr>
            <w:r>
              <w:rPr>
                <w:rFonts w:ascii="Courier New" w:cs="Courier New" w:eastAsia="Courier New" w:hAnsi="Courier New"/>
                <w:sz w:val="15"/>
                <w:szCs w:val="15"/>
                <w:color w:val="auto"/>
              </w:rPr>
              <w:t>(decrease)</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in</w:t>
            </w:r>
          </w:p>
        </w:tc>
        <w:tc>
          <w:tcPr>
            <w:tcW w:w="5120" w:type="dxa"/>
            <w:vAlign w:val="bottom"/>
          </w:tcPr>
          <w:p>
            <w:pPr>
              <w:ind w:left="60"/>
              <w:spacing w:after="0"/>
              <w:rPr>
                <w:sz w:val="20"/>
                <w:szCs w:val="20"/>
                <w:color w:val="auto"/>
              </w:rPr>
            </w:pPr>
            <w:r>
              <w:rPr>
                <w:rFonts w:ascii="Courier New" w:cs="Courier New" w:eastAsia="Courier New" w:hAnsi="Courier New"/>
                <w:sz w:val="15"/>
                <w:szCs w:val="15"/>
                <w:color w:val="auto"/>
              </w:rPr>
              <w:t>other liabilities</w:t>
            </w:r>
          </w:p>
        </w:tc>
        <w:tc>
          <w:tcPr>
            <w:tcW w:w="17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53,812</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-609</w:t>
            </w:r>
          </w:p>
        </w:tc>
      </w:tr>
      <w:tr>
        <w:trPr>
          <w:trHeight w:val="171"/>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980" w:type="dxa"/>
            <w:vAlign w:val="bottom"/>
            <w:gridSpan w:val="6"/>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740" w:type="dxa"/>
            <w:vAlign w:val="bottom"/>
            <w:gridSpan w:val="2"/>
          </w:tcPr>
          <w:p>
            <w:pPr>
              <w:spacing w:after="0"/>
              <w:rPr>
                <w:sz w:val="20"/>
                <w:szCs w:val="20"/>
                <w:color w:val="auto"/>
              </w:rPr>
            </w:pPr>
            <w:r>
              <w:rPr>
                <w:rFonts w:ascii="Courier New" w:cs="Courier New" w:eastAsia="Courier New" w:hAnsi="Courier New"/>
                <w:sz w:val="15"/>
                <w:szCs w:val="15"/>
                <w:color w:val="auto"/>
                <w:w w:val="99"/>
              </w:rPr>
              <w:t>INCREASE</w:t>
            </w:r>
          </w:p>
        </w:tc>
        <w:tc>
          <w:tcPr>
            <w:tcW w:w="980" w:type="dxa"/>
            <w:vAlign w:val="bottom"/>
          </w:tcPr>
          <w:p>
            <w:pPr>
              <w:ind w:left="40"/>
              <w:spacing w:after="0"/>
              <w:rPr>
                <w:sz w:val="20"/>
                <w:szCs w:val="20"/>
                <w:color w:val="auto"/>
              </w:rPr>
            </w:pPr>
            <w:r>
              <w:rPr>
                <w:rFonts w:ascii="Courier New" w:cs="Courier New" w:eastAsia="Courier New" w:hAnsi="Courier New"/>
                <w:sz w:val="15"/>
                <w:szCs w:val="15"/>
                <w:color w:val="auto"/>
              </w:rPr>
              <w:t>(DECREASE)</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IN</w:t>
            </w:r>
          </w:p>
        </w:tc>
        <w:tc>
          <w:tcPr>
            <w:tcW w:w="5120" w:type="dxa"/>
            <w:vAlign w:val="bottom"/>
          </w:tcPr>
          <w:p>
            <w:pPr>
              <w:ind w:left="60"/>
              <w:spacing w:after="0"/>
              <w:rPr>
                <w:sz w:val="20"/>
                <w:szCs w:val="20"/>
                <w:color w:val="auto"/>
              </w:rPr>
            </w:pPr>
            <w:r>
              <w:rPr>
                <w:rFonts w:ascii="Courier New" w:cs="Courier New" w:eastAsia="Courier New" w:hAnsi="Courier New"/>
                <w:sz w:val="15"/>
                <w:szCs w:val="15"/>
                <w:color w:val="auto"/>
              </w:rPr>
              <w:t>CASH AND CASH EQUIVALENTS PROVIDED BY OPERATIONS</w:t>
            </w:r>
          </w:p>
        </w:tc>
        <w:tc>
          <w:tcPr>
            <w:tcW w:w="17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358,506</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243,957</w:t>
            </w:r>
          </w:p>
        </w:tc>
      </w:tr>
    </w:tbl>
    <w:p>
      <w:pPr>
        <w:spacing w:after="0" w:line="3" w:lineRule="exact"/>
        <w:rPr>
          <w:sz w:val="20"/>
          <w:szCs w:val="20"/>
          <w:color w:val="auto"/>
        </w:rPr>
      </w:pPr>
    </w:p>
    <w:p>
      <w:pPr>
        <w:ind w:left="169" w:hanging="169"/>
        <w:spacing w:after="0"/>
        <w:tabs>
          <w:tab w:leader="none" w:pos="169"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2"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CASH FLOWS FROM INVESTING ACTIVITIES</w:t>
      </w:r>
    </w:p>
    <w:p>
      <w:pPr>
        <w:spacing w:after="0" w:line="3"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6160" w:type="dxa"/>
            <w:vAlign w:val="bottom"/>
          </w:tcPr>
          <w:p>
            <w:pPr>
              <w:spacing w:after="0"/>
              <w:rPr>
                <w:sz w:val="20"/>
                <w:szCs w:val="20"/>
                <w:color w:val="auto"/>
              </w:rPr>
            </w:pPr>
            <w:r>
              <w:rPr>
                <w:rFonts w:ascii="Courier New" w:cs="Courier New" w:eastAsia="Courier New" w:hAnsi="Courier New"/>
                <w:sz w:val="15"/>
                <w:szCs w:val="15"/>
                <w:color w:val="auto"/>
              </w:rPr>
              <w:t>Increase from sale of properties and equipment</w:t>
            </w:r>
          </w:p>
        </w:tc>
        <w:tc>
          <w:tcPr>
            <w:tcW w:w="288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551</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356</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6340" w:type="dxa"/>
            <w:vAlign w:val="bottom"/>
          </w:tcPr>
          <w:p>
            <w:pPr>
              <w:spacing w:after="0"/>
              <w:rPr>
                <w:sz w:val="20"/>
                <w:szCs w:val="20"/>
                <w:color w:val="auto"/>
              </w:rPr>
            </w:pPr>
            <w:r>
              <w:rPr>
                <w:rFonts w:ascii="Courier New" w:cs="Courier New" w:eastAsia="Courier New" w:hAnsi="Courier New"/>
                <w:sz w:val="15"/>
                <w:szCs w:val="15"/>
                <w:color w:val="auto"/>
              </w:rPr>
              <w:t>Increase from sale of other non financial assets</w:t>
            </w:r>
          </w:p>
        </w:tc>
        <w:tc>
          <w:tcPr>
            <w:tcW w:w="280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1020" w:type="dxa"/>
            <w:vAlign w:val="bottom"/>
            <w:gridSpan w:val="3"/>
          </w:tcPr>
          <w:p>
            <w:pPr>
              <w:spacing w:after="0"/>
              <w:rPr>
                <w:sz w:val="20"/>
                <w:szCs w:val="20"/>
                <w:color w:val="auto"/>
              </w:rPr>
            </w:pPr>
            <w:r>
              <w:rPr>
                <w:rFonts w:ascii="Courier New" w:cs="Courier New" w:eastAsia="Courier New" w:hAnsi="Courier New"/>
                <w:sz w:val="15"/>
                <w:szCs w:val="15"/>
                <w:color w:val="auto"/>
              </w:rPr>
              <w:t>Purchase of</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9"/>
              </w:rPr>
              <w:t>properties</w:t>
            </w:r>
          </w:p>
        </w:tc>
        <w:tc>
          <w:tcPr>
            <w:tcW w:w="5520" w:type="dxa"/>
            <w:vAlign w:val="bottom"/>
          </w:tcPr>
          <w:p>
            <w:pPr>
              <w:ind w:left="60"/>
              <w:spacing w:after="0"/>
              <w:rPr>
                <w:sz w:val="20"/>
                <w:szCs w:val="20"/>
                <w:color w:val="auto"/>
              </w:rPr>
            </w:pPr>
            <w:r>
              <w:rPr>
                <w:rFonts w:ascii="Courier New" w:cs="Courier New" w:eastAsia="Courier New" w:hAnsi="Courier New"/>
                <w:sz w:val="15"/>
                <w:szCs w:val="15"/>
                <w:color w:val="auto"/>
              </w:rPr>
              <w:t>and equipment</w:t>
            </w:r>
          </w:p>
        </w:tc>
        <w:tc>
          <w:tcPr>
            <w:tcW w:w="13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-61,339</w:t>
            </w: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-28,086</w:t>
            </w:r>
          </w:p>
        </w:tc>
      </w:tr>
      <w:tr>
        <w:trPr>
          <w:trHeight w:val="171"/>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980" w:type="dxa"/>
            <w:vAlign w:val="bottom"/>
            <w:gridSpan w:val="6"/>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740" w:type="dxa"/>
            <w:vAlign w:val="bottom"/>
            <w:gridSpan w:val="2"/>
          </w:tcPr>
          <w:p>
            <w:pPr>
              <w:spacing w:after="0"/>
              <w:rPr>
                <w:sz w:val="20"/>
                <w:szCs w:val="20"/>
                <w:color w:val="auto"/>
              </w:rPr>
            </w:pPr>
            <w:r>
              <w:rPr>
                <w:rFonts w:ascii="Courier New" w:cs="Courier New" w:eastAsia="Courier New" w:hAnsi="Courier New"/>
                <w:sz w:val="15"/>
                <w:szCs w:val="15"/>
                <w:color w:val="auto"/>
                <w:w w:val="99"/>
              </w:rPr>
              <w:t>Purchase</w:t>
            </w:r>
          </w:p>
        </w:tc>
        <w:tc>
          <w:tcPr>
            <w:tcW w:w="28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64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other non financial assets</w:t>
            </w:r>
          </w:p>
        </w:tc>
        <w:tc>
          <w:tcPr>
            <w:tcW w:w="13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-167,810</w:t>
            </w: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-281,531</w:t>
            </w:r>
          </w:p>
        </w:tc>
      </w:tr>
      <w:tr>
        <w:trPr>
          <w:trHeight w:val="171"/>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980" w:type="dxa"/>
            <w:vAlign w:val="bottom"/>
            <w:gridSpan w:val="6"/>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740" w:type="dxa"/>
            <w:vAlign w:val="bottom"/>
            <w:gridSpan w:val="2"/>
          </w:tcPr>
          <w:p>
            <w:pPr>
              <w:spacing w:after="0"/>
              <w:rPr>
                <w:sz w:val="20"/>
                <w:szCs w:val="20"/>
                <w:color w:val="auto"/>
              </w:rPr>
            </w:pPr>
            <w:r>
              <w:rPr>
                <w:rFonts w:ascii="Courier New" w:cs="Courier New" w:eastAsia="Courier New" w:hAnsi="Courier New"/>
                <w:sz w:val="15"/>
                <w:szCs w:val="15"/>
                <w:color w:val="auto"/>
                <w:w w:val="99"/>
              </w:rPr>
              <w:t>INCREASE</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(DECREASE) IN</w:t>
            </w:r>
          </w:p>
        </w:tc>
        <w:tc>
          <w:tcPr>
            <w:tcW w:w="5520" w:type="dxa"/>
            <w:vAlign w:val="bottom"/>
          </w:tcPr>
          <w:p>
            <w:pPr>
              <w:ind w:left="60"/>
              <w:spacing w:after="0"/>
              <w:rPr>
                <w:sz w:val="20"/>
                <w:szCs w:val="20"/>
                <w:color w:val="auto"/>
              </w:rPr>
            </w:pPr>
            <w:r>
              <w:rPr>
                <w:rFonts w:ascii="Courier New" w:cs="Courier New" w:eastAsia="Courier New" w:hAnsi="Courier New"/>
                <w:sz w:val="15"/>
                <w:szCs w:val="15"/>
                <w:color w:val="auto"/>
              </w:rPr>
              <w:t>CASH AND CASH EQUIVALENTS PROVIDED BY INVESTING ACTIVITIES</w:t>
            </w:r>
          </w:p>
        </w:tc>
        <w:tc>
          <w:tcPr>
            <w:tcW w:w="13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-228,598</w:t>
            </w: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-309,261</w:t>
            </w:r>
          </w:p>
        </w:tc>
      </w:tr>
    </w:tbl>
    <w:p>
      <w:pPr>
        <w:spacing w:after="0" w:line="3" w:lineRule="exact"/>
        <w:rPr>
          <w:sz w:val="20"/>
          <w:szCs w:val="20"/>
          <w:color w:val="auto"/>
        </w:rPr>
      </w:pPr>
    </w:p>
    <w:p>
      <w:pPr>
        <w:ind w:left="169" w:hanging="169"/>
        <w:spacing w:after="0"/>
        <w:tabs>
          <w:tab w:leader="none" w:pos="169"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2"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CASH FLOWS FROM FINANCING ACTIVITIES</w:t>
      </w:r>
    </w:p>
    <w:p>
      <w:pPr>
        <w:spacing w:after="0" w:line="3"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6120" w:type="dxa"/>
            <w:vAlign w:val="bottom"/>
          </w:tcPr>
          <w:p>
            <w:pPr>
              <w:spacing w:after="0"/>
              <w:rPr>
                <w:sz w:val="20"/>
                <w:szCs w:val="20"/>
                <w:color w:val="auto"/>
              </w:rPr>
            </w:pPr>
            <w:r>
              <w:rPr>
                <w:rFonts w:ascii="Courier New" w:cs="Courier New" w:eastAsia="Courier New" w:hAnsi="Courier New"/>
                <w:sz w:val="15"/>
                <w:szCs w:val="15"/>
                <w:color w:val="auto"/>
              </w:rPr>
              <w:t>Increase (decrease) net of deposits and obligations</w:t>
            </w:r>
          </w:p>
        </w:tc>
        <w:tc>
          <w:tcPr>
            <w:tcW w:w="28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1,004,211</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87,281</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6860" w:type="dxa"/>
            <w:vAlign w:val="bottom"/>
          </w:tcPr>
          <w:p>
            <w:pPr>
              <w:spacing w:after="0"/>
              <w:rPr>
                <w:sz w:val="20"/>
                <w:szCs w:val="20"/>
                <w:color w:val="auto"/>
              </w:rPr>
            </w:pPr>
            <w:r>
              <w:rPr>
                <w:rFonts w:ascii="Courier New" w:cs="Courier New" w:eastAsia="Courier New" w:hAnsi="Courier New"/>
                <w:sz w:val="15"/>
                <w:szCs w:val="15"/>
                <w:color w:val="auto"/>
              </w:rPr>
              <w:t>Increase (decrease) net of obligations to banks and correspondents</w:t>
            </w:r>
          </w:p>
        </w:tc>
        <w:tc>
          <w:tcPr>
            <w:tcW w:w="19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-31,754</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-117,939</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6600" w:type="dxa"/>
            <w:vAlign w:val="bottom"/>
          </w:tcPr>
          <w:p>
            <w:pPr>
              <w:spacing w:after="0"/>
              <w:rPr>
                <w:sz w:val="20"/>
                <w:szCs w:val="20"/>
                <w:color w:val="auto"/>
              </w:rPr>
            </w:pPr>
            <w:r>
              <w:rPr>
                <w:rFonts w:ascii="Courier New" w:cs="Courier New" w:eastAsia="Courier New" w:hAnsi="Courier New"/>
                <w:sz w:val="15"/>
                <w:szCs w:val="15"/>
                <w:color w:val="auto"/>
              </w:rPr>
              <w:t>Increase (decrease) net of other financial liabilities</w:t>
            </w:r>
          </w:p>
        </w:tc>
        <w:tc>
          <w:tcPr>
            <w:tcW w:w="25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6120" w:type="dxa"/>
            <w:vAlign w:val="bottom"/>
          </w:tcPr>
          <w:p>
            <w:pPr>
              <w:spacing w:after="0"/>
              <w:rPr>
                <w:sz w:val="20"/>
                <w:szCs w:val="20"/>
                <w:color w:val="auto"/>
              </w:rPr>
            </w:pPr>
            <w:r>
              <w:rPr>
                <w:rFonts w:ascii="Courier New" w:cs="Courier New" w:eastAsia="Courier New" w:hAnsi="Courier New"/>
                <w:sz w:val="15"/>
                <w:szCs w:val="15"/>
                <w:color w:val="auto"/>
              </w:rPr>
              <w:t>Increase (decrease) capital and capital surplus</w:t>
            </w:r>
          </w:p>
        </w:tc>
        <w:tc>
          <w:tcPr>
            <w:tcW w:w="28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2,908</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-9,344</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5900" w:type="dxa"/>
            <w:vAlign w:val="bottom"/>
          </w:tcPr>
          <w:p>
            <w:pPr>
              <w:spacing w:after="0"/>
              <w:rPr>
                <w:sz w:val="20"/>
                <w:szCs w:val="20"/>
                <w:color w:val="auto"/>
              </w:rPr>
            </w:pPr>
            <w:r>
              <w:rPr>
                <w:rFonts w:ascii="Courier New" w:cs="Courier New" w:eastAsia="Courier New" w:hAnsi="Courier New"/>
                <w:sz w:val="15"/>
                <w:szCs w:val="15"/>
                <w:color w:val="auto"/>
              </w:rPr>
              <w:t>(Increase) decrease net of the loan portfolio</w:t>
            </w:r>
          </w:p>
        </w:tc>
        <w:tc>
          <w:tcPr>
            <w:tcW w:w="29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-788,453</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258,195</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5900" w:type="dxa"/>
            <w:vAlign w:val="bottom"/>
          </w:tcPr>
          <w:p>
            <w:pPr>
              <w:spacing w:after="0"/>
              <w:rPr>
                <w:sz w:val="20"/>
                <w:szCs w:val="20"/>
                <w:color w:val="auto"/>
              </w:rPr>
            </w:pPr>
            <w:r>
              <w:rPr>
                <w:rFonts w:ascii="Courier New" w:cs="Courier New" w:eastAsia="Courier New" w:hAnsi="Courier New"/>
                <w:sz w:val="15"/>
                <w:szCs w:val="15"/>
                <w:color w:val="auto"/>
              </w:rPr>
              <w:t>(Increase) decrease net of investments</w:t>
            </w:r>
          </w:p>
        </w:tc>
        <w:tc>
          <w:tcPr>
            <w:tcW w:w="32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7540" w:type="dxa"/>
            <w:vAlign w:val="bottom"/>
            <w:gridSpan w:val="4"/>
          </w:tcPr>
          <w:p>
            <w:pPr>
              <w:spacing w:after="0"/>
              <w:rPr>
                <w:sz w:val="20"/>
                <w:szCs w:val="20"/>
                <w:color w:val="auto"/>
              </w:rPr>
            </w:pPr>
            <w:r>
              <w:rPr>
                <w:rFonts w:ascii="Courier New" w:cs="Courier New" w:eastAsia="Courier New" w:hAnsi="Courier New"/>
                <w:sz w:val="15"/>
                <w:szCs w:val="15"/>
                <w:color w:val="auto"/>
              </w:rPr>
              <w:t>Dividends received (paid)</w:t>
            </w:r>
          </w:p>
        </w:tc>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-31,881</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-8,014</w:t>
            </w:r>
          </w:p>
        </w:tc>
      </w:tr>
      <w:tr>
        <w:trPr>
          <w:trHeight w:val="171"/>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98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1720" w:type="dxa"/>
            <w:vAlign w:val="bottom"/>
            <w:gridSpan w:val="2"/>
          </w:tcPr>
          <w:p>
            <w:pPr>
              <w:spacing w:after="0"/>
              <w:rPr>
                <w:sz w:val="20"/>
                <w:szCs w:val="20"/>
                <w:color w:val="auto"/>
              </w:rPr>
            </w:pPr>
            <w:r>
              <w:rPr>
                <w:rFonts w:ascii="Courier New" w:cs="Courier New" w:eastAsia="Courier New" w:hAnsi="Courier New"/>
                <w:sz w:val="15"/>
                <w:szCs w:val="15"/>
                <w:color w:val="auto"/>
                <w:w w:val="99"/>
              </w:rPr>
              <w:t>(Increase) decrease</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5560" w:type="dxa"/>
            <w:vAlign w:val="bottom"/>
          </w:tcPr>
          <w:p>
            <w:pPr>
              <w:ind w:left="60"/>
              <w:spacing w:after="0"/>
              <w:rPr>
                <w:sz w:val="20"/>
                <w:szCs w:val="20"/>
                <w:color w:val="auto"/>
              </w:rPr>
            </w:pPr>
            <w:r>
              <w:rPr>
                <w:rFonts w:ascii="Courier New" w:cs="Courier New" w:eastAsia="Courier New" w:hAnsi="Courier New"/>
                <w:sz w:val="15"/>
                <w:szCs w:val="15"/>
                <w:color w:val="auto"/>
              </w:rPr>
              <w:t>other financial assets</w:t>
            </w:r>
          </w:p>
        </w:tc>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0</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w:t>
            </w:r>
          </w:p>
        </w:tc>
      </w:tr>
      <w:tr>
        <w:trPr>
          <w:trHeight w:val="171"/>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98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1720" w:type="dxa"/>
            <w:vAlign w:val="bottom"/>
            <w:gridSpan w:val="2"/>
          </w:tcPr>
          <w:p>
            <w:pPr>
              <w:spacing w:after="0"/>
              <w:rPr>
                <w:sz w:val="20"/>
                <w:szCs w:val="20"/>
                <w:color w:val="auto"/>
              </w:rPr>
            </w:pPr>
            <w:r>
              <w:rPr>
                <w:rFonts w:ascii="Courier New" w:cs="Courier New" w:eastAsia="Courier New" w:hAnsi="Courier New"/>
                <w:sz w:val="15"/>
                <w:szCs w:val="15"/>
                <w:color w:val="auto"/>
                <w:w w:val="99"/>
              </w:rPr>
              <w:t>INCREASE (DECREASE)</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IN</w:t>
            </w:r>
          </w:p>
        </w:tc>
        <w:tc>
          <w:tcPr>
            <w:tcW w:w="5560" w:type="dxa"/>
            <w:vAlign w:val="bottom"/>
          </w:tcPr>
          <w:p>
            <w:pPr>
              <w:ind w:left="60"/>
              <w:spacing w:after="0"/>
              <w:rPr>
                <w:sz w:val="20"/>
                <w:szCs w:val="20"/>
                <w:color w:val="auto"/>
              </w:rPr>
            </w:pPr>
            <w:r>
              <w:rPr>
                <w:rFonts w:ascii="Courier New" w:cs="Courier New" w:eastAsia="Courier New" w:hAnsi="Courier New"/>
                <w:sz w:val="15"/>
                <w:szCs w:val="15"/>
                <w:color w:val="auto"/>
              </w:rPr>
              <w:t>CASH AND CASH EQUIVALENTS PROVIDED BY FINANCING ACTIVITIES</w:t>
            </w:r>
          </w:p>
        </w:tc>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155,031</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210,179</w:t>
            </w:r>
          </w:p>
        </w:tc>
      </w:tr>
    </w:tbl>
    <w:p>
      <w:pPr>
        <w:spacing w:after="0" w:line="3" w:lineRule="exact"/>
        <w:rPr>
          <w:sz w:val="20"/>
          <w:szCs w:val="20"/>
          <w:color w:val="auto"/>
        </w:rPr>
      </w:pPr>
    </w:p>
    <w:p>
      <w:pPr>
        <w:ind w:left="169" w:hanging="169"/>
        <w:spacing w:after="0"/>
        <w:tabs>
          <w:tab w:leader="none" w:pos="169"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2"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6080" w:type="dxa"/>
            <w:vAlign w:val="bottom"/>
          </w:tcPr>
          <w:p>
            <w:pPr>
              <w:spacing w:after="0"/>
              <w:rPr>
                <w:sz w:val="20"/>
                <w:szCs w:val="20"/>
                <w:color w:val="auto"/>
              </w:rPr>
            </w:pPr>
            <w:r>
              <w:rPr>
                <w:rFonts w:ascii="Courier New" w:cs="Courier New" w:eastAsia="Courier New" w:hAnsi="Courier New"/>
                <w:sz w:val="15"/>
                <w:szCs w:val="15"/>
                <w:color w:val="auto"/>
              </w:rPr>
              <w:t>INCREASE (DECREASE) IN CASH AND CASH EQUIVALENTS</w:t>
            </w:r>
          </w:p>
        </w:tc>
        <w:tc>
          <w:tcPr>
            <w:tcW w:w="27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284,939</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144,875</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p>
      <w:pPr>
        <w:ind w:left="9"/>
        <w:spacing w:after="0"/>
        <w:tabs>
          <w:tab w:leader="none" w:pos="7709" w:val="left"/>
          <w:tab w:leader="none" w:pos="9029" w:val="left"/>
        </w:tabs>
        <w:rPr>
          <w:sz w:val="20"/>
          <w:szCs w:val="20"/>
          <w:color w:val="auto"/>
        </w:rPr>
      </w:pPr>
      <w:r>
        <w:rPr>
          <w:rFonts w:ascii="Courier New" w:cs="Courier New" w:eastAsia="Courier New" w:hAnsi="Courier New"/>
          <w:sz w:val="15"/>
          <w:szCs w:val="15"/>
          <w:color w:val="auto"/>
        </w:rPr>
        <w:t>CASH AND CASH EQUIVALENTS AT THE BEGINNING OF THE YEAR</w:t>
      </w:r>
      <w:r>
        <w:rPr>
          <w:sz w:val="20"/>
          <w:szCs w:val="20"/>
          <w:color w:val="auto"/>
        </w:rPr>
        <w:tab/>
      </w:r>
      <w:r>
        <w:rPr>
          <w:rFonts w:ascii="Courier New" w:cs="Courier New" w:eastAsia="Courier New" w:hAnsi="Courier New"/>
          <w:sz w:val="15"/>
          <w:szCs w:val="15"/>
          <w:color w:val="auto"/>
        </w:rPr>
        <w:t>1,897,452</w:t>
      </w:r>
      <w:r>
        <w:rPr>
          <w:sz w:val="20"/>
          <w:szCs w:val="20"/>
          <w:color w:val="auto"/>
        </w:rPr>
        <w:tab/>
      </w:r>
      <w:r>
        <w:rPr>
          <w:rFonts w:ascii="Courier New" w:cs="Courier New" w:eastAsia="Courier New" w:hAnsi="Courier New"/>
          <w:sz w:val="14"/>
          <w:szCs w:val="14"/>
          <w:color w:val="auto"/>
        </w:rPr>
        <w:t>1,752,577</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p>
      <w:pPr>
        <w:ind w:left="9"/>
        <w:spacing w:after="0"/>
        <w:tabs>
          <w:tab w:leader="none" w:pos="7709" w:val="left"/>
          <w:tab w:leader="none" w:pos="9029" w:val="left"/>
        </w:tabs>
        <w:rPr>
          <w:sz w:val="20"/>
          <w:szCs w:val="20"/>
          <w:color w:val="auto"/>
        </w:rPr>
      </w:pPr>
      <w:r>
        <w:rPr>
          <w:rFonts w:ascii="Courier New" w:cs="Courier New" w:eastAsia="Courier New" w:hAnsi="Courier New"/>
          <w:sz w:val="15"/>
          <w:szCs w:val="15"/>
          <w:color w:val="auto"/>
        </w:rPr>
        <w:t>CASH AND CASH EQUIVALENTS AT THE END OF THE YEAR</w:t>
      </w:r>
      <w:r>
        <w:rPr>
          <w:sz w:val="20"/>
          <w:szCs w:val="20"/>
          <w:color w:val="auto"/>
        </w:rPr>
        <w:tab/>
      </w:r>
      <w:r>
        <w:rPr>
          <w:rFonts w:ascii="Courier New" w:cs="Courier New" w:eastAsia="Courier New" w:hAnsi="Courier New"/>
          <w:sz w:val="15"/>
          <w:szCs w:val="15"/>
          <w:color w:val="auto"/>
        </w:rPr>
        <w:t>2,182,391</w:t>
      </w:r>
      <w:r>
        <w:rPr>
          <w:sz w:val="20"/>
          <w:szCs w:val="20"/>
          <w:color w:val="auto"/>
        </w:rPr>
        <w:tab/>
      </w:r>
      <w:r>
        <w:rPr>
          <w:rFonts w:ascii="Courier New" w:cs="Courier New" w:eastAsia="Courier New" w:hAnsi="Courier New"/>
          <w:sz w:val="14"/>
          <w:szCs w:val="14"/>
          <w:color w:val="auto"/>
        </w:rPr>
        <w:t>1,897,452</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28"/>
          </w:cols>
          <w:pgMar w:left="231" w:top="799" w:right="1440" w:bottom="0" w:gutter="0" w:footer="0" w:header="0"/>
          <w:type w:val="continuous"/>
        </w:sectPr>
      </w:pPr>
    </w:p>
    <w:bookmarkStart w:id="7" w:name="page8"/>
    <w:bookmarkEnd w:id="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8" w:name="page9"/>
    <w:bookmarkEnd w:id="8"/>
    <w:p>
      <w:pPr>
        <w:ind w:left="349"/>
        <w:spacing w:after="0"/>
        <w:rPr>
          <w:sz w:val="20"/>
          <w:szCs w:val="20"/>
          <w:color w:val="auto"/>
        </w:rPr>
      </w:pPr>
      <w:r>
        <w:rPr>
          <w:rFonts w:ascii="Courier New" w:cs="Courier New" w:eastAsia="Courier New" w:hAnsi="Courier New"/>
          <w:sz w:val="15"/>
          <w:szCs w:val="15"/>
          <w:color w:val="auto"/>
        </w:rPr>
        <w:t>For additional information please contact:</w:t>
      </w:r>
    </w:p>
    <w:p>
      <w:pPr>
        <w:spacing w:after="0" w:line="1" w:lineRule="exact"/>
        <w:rPr>
          <w:sz w:val="20"/>
          <w:szCs w:val="20"/>
          <w:color w:val="auto"/>
        </w:rPr>
      </w:pPr>
    </w:p>
    <w:p>
      <w:pPr>
        <w:ind w:left="349"/>
        <w:spacing w:after="0"/>
        <w:rPr>
          <w:sz w:val="20"/>
          <w:szCs w:val="20"/>
          <w:color w:val="auto"/>
        </w:rPr>
      </w:pPr>
      <w:r>
        <w:rPr>
          <w:rFonts w:ascii="Courier New" w:cs="Courier New" w:eastAsia="Courier New" w:hAnsi="Courier New"/>
          <w:sz w:val="15"/>
          <w:szCs w:val="15"/>
          <w:color w:val="auto"/>
        </w:rPr>
        <w:t>Jose Hung Alfredo Montero</w:t>
      </w:r>
    </w:p>
    <w:p>
      <w:pPr>
        <w:spacing w:after="0" w:line="1" w:lineRule="exact"/>
        <w:rPr>
          <w:sz w:val="20"/>
          <w:szCs w:val="20"/>
          <w:color w:val="auto"/>
        </w:rPr>
      </w:pPr>
    </w:p>
    <w:p>
      <w:pPr>
        <w:ind w:left="349"/>
        <w:spacing w:after="0"/>
        <w:rPr>
          <w:sz w:val="20"/>
          <w:szCs w:val="20"/>
          <w:color w:val="auto"/>
        </w:rPr>
      </w:pPr>
      <w:r>
        <w:rPr>
          <w:rFonts w:ascii="Courier New" w:cs="Courier New" w:eastAsia="Courier New" w:hAnsi="Courier New"/>
          <w:sz w:val="15"/>
          <w:szCs w:val="15"/>
          <w:color w:val="auto"/>
        </w:rPr>
        <w:t>Investor Relations General Manager</w:t>
      </w:r>
    </w:p>
    <w:p>
      <w:pPr>
        <w:spacing w:after="0" w:line="1" w:lineRule="exact"/>
        <w:rPr>
          <w:sz w:val="20"/>
          <w:szCs w:val="20"/>
          <w:color w:val="auto"/>
        </w:rPr>
      </w:pPr>
    </w:p>
    <w:p>
      <w:pPr>
        <w:ind w:left="349"/>
        <w:spacing w:after="0"/>
        <w:rPr>
          <w:sz w:val="20"/>
          <w:szCs w:val="20"/>
          <w:color w:val="auto"/>
        </w:rPr>
      </w:pPr>
      <w:r>
        <w:rPr>
          <w:rFonts w:ascii="Courier New" w:cs="Courier New" w:eastAsia="Courier New" w:hAnsi="Courier New"/>
          <w:sz w:val="15"/>
          <w:szCs w:val="15"/>
          <w:color w:val="auto"/>
        </w:rPr>
        <w:t>Banco de Credito Banco de Credito, Miami Agency</w:t>
      </w:r>
    </w:p>
    <w:p>
      <w:pPr>
        <w:spacing w:after="0" w:line="1" w:lineRule="exact"/>
        <w:rPr>
          <w:sz w:val="20"/>
          <w:szCs w:val="20"/>
          <w:color w:val="auto"/>
        </w:rPr>
      </w:pPr>
    </w:p>
    <w:p>
      <w:pPr>
        <w:ind w:left="349"/>
        <w:spacing w:after="0"/>
        <w:rPr>
          <w:sz w:val="20"/>
          <w:szCs w:val="20"/>
          <w:color w:val="auto"/>
        </w:rPr>
      </w:pPr>
      <w:r>
        <w:rPr>
          <w:rFonts w:ascii="Courier New" w:cs="Courier New" w:eastAsia="Courier New" w:hAnsi="Courier New"/>
          <w:sz w:val="15"/>
          <w:szCs w:val="15"/>
          <w:color w:val="auto"/>
        </w:rPr>
        <w:t>Phone: (511) 349-0590 Phone: (305) 448-0971</w:t>
      </w:r>
    </w:p>
    <w:p>
      <w:pPr>
        <w:spacing w:after="0" w:line="1" w:lineRule="exact"/>
        <w:rPr>
          <w:sz w:val="20"/>
          <w:szCs w:val="20"/>
          <w:color w:val="auto"/>
        </w:rPr>
      </w:pPr>
    </w:p>
    <w:p>
      <w:pPr>
        <w:ind w:left="349"/>
        <w:spacing w:after="0"/>
        <w:rPr>
          <w:sz w:val="20"/>
          <w:szCs w:val="20"/>
          <w:color w:val="auto"/>
        </w:rPr>
      </w:pPr>
      <w:r>
        <w:rPr>
          <w:rFonts w:ascii="Courier New" w:cs="Courier New" w:eastAsia="Courier New" w:hAnsi="Courier New"/>
          <w:sz w:val="15"/>
          <w:szCs w:val="15"/>
          <w:color w:val="auto"/>
        </w:rPr>
        <w:t>E-mail: jhungAbout Equalsbcp.com.pe Fax: (305) 448-0981</w:t>
      </w:r>
    </w:p>
    <w:p>
      <w:pPr>
        <w:spacing w:after="0" w:line="1" w:lineRule="exact"/>
        <w:rPr>
          <w:sz w:val="20"/>
          <w:szCs w:val="20"/>
          <w:color w:val="auto"/>
        </w:rPr>
      </w:pPr>
    </w:p>
    <w:p>
      <w:pPr>
        <w:ind w:left="349"/>
        <w:spacing w:after="0"/>
        <w:rPr>
          <w:sz w:val="20"/>
          <w:szCs w:val="20"/>
          <w:color w:val="auto"/>
        </w:rPr>
      </w:pPr>
      <w:r>
        <w:rPr>
          <w:rFonts w:ascii="Courier New" w:cs="Courier New" w:eastAsia="Courier New" w:hAnsi="Courier New"/>
          <w:sz w:val="15"/>
          <w:szCs w:val="15"/>
          <w:color w:val="auto"/>
        </w:rPr>
        <w:t>Web site: http://www.credicorpnet.com E-mail: amontero@bcpmiami.com</w:t>
      </w:r>
    </w:p>
    <w:p>
      <w:pPr>
        <w:spacing w:after="0" w:line="171" w:lineRule="exact"/>
        <w:rPr>
          <w:sz w:val="20"/>
          <w:szCs w:val="20"/>
          <w:color w:val="auto"/>
        </w:rPr>
      </w:pPr>
    </w:p>
    <w:p>
      <w:pPr>
        <w:ind w:left="1689"/>
        <w:spacing w:after="0"/>
        <w:rPr>
          <w:sz w:val="20"/>
          <w:szCs w:val="20"/>
          <w:color w:val="auto"/>
        </w:rPr>
      </w:pPr>
      <w:r>
        <w:rPr>
          <w:rFonts w:ascii="Courier New" w:cs="Courier New" w:eastAsia="Courier New" w:hAnsi="Courier New"/>
          <w:sz w:val="15"/>
          <w:szCs w:val="15"/>
          <w:color w:val="auto"/>
        </w:rPr>
        <w:t>CREDICORP LTD. ANNOUNCES FINANCIAL RESULTS</w:t>
      </w:r>
    </w:p>
    <w:p>
      <w:pPr>
        <w:spacing w:after="0" w:line="1" w:lineRule="exact"/>
        <w:rPr>
          <w:sz w:val="20"/>
          <w:szCs w:val="20"/>
          <w:color w:val="auto"/>
        </w:rPr>
      </w:pPr>
    </w:p>
    <w:p>
      <w:pPr>
        <w:ind w:left="1869"/>
        <w:spacing w:after="0"/>
        <w:rPr>
          <w:sz w:val="20"/>
          <w:szCs w:val="20"/>
          <w:color w:val="auto"/>
        </w:rPr>
      </w:pPr>
      <w:r>
        <w:rPr>
          <w:rFonts w:ascii="Courier New" w:cs="Courier New" w:eastAsia="Courier New" w:hAnsi="Courier New"/>
          <w:sz w:val="15"/>
          <w:szCs w:val="15"/>
          <w:color w:val="auto"/>
        </w:rPr>
        <w:t>FOR THE QUARTER ENDED DECEMBER 31, 2002</w:t>
      </w:r>
    </w:p>
    <w:p>
      <w:pPr>
        <w:spacing w:after="0" w:line="174" w:lineRule="exact"/>
        <w:rPr>
          <w:sz w:val="20"/>
          <w:szCs w:val="20"/>
          <w:color w:val="auto"/>
        </w:rPr>
      </w:pPr>
    </w:p>
    <w:p>
      <w:pPr>
        <w:ind w:left="9" w:right="3219" w:firstLine="444"/>
        <w:spacing w:after="0" w:line="239" w:lineRule="auto"/>
        <w:rPr>
          <w:sz w:val="20"/>
          <w:szCs w:val="20"/>
          <w:color w:val="auto"/>
        </w:rPr>
      </w:pPr>
      <w:r>
        <w:rPr>
          <w:rFonts w:ascii="Courier New" w:cs="Courier New" w:eastAsia="Courier New" w:hAnsi="Courier New"/>
          <w:sz w:val="15"/>
          <w:szCs w:val="15"/>
          <w:color w:val="auto"/>
        </w:rPr>
        <w:t>(Lima, Peru, February 11, 2003) - Credicorp Ltd. ("Credicorp") (NYSE:BAP; LSE:BAPC1) today announced its financial results for the quarter ended December 31, 2002.</w:t>
      </w:r>
    </w:p>
    <w:p>
      <w:pPr>
        <w:spacing w:after="0" w:line="175"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For the twelve month period ended December 31, 2002, Credicorp reported a consolidated net income of US$42.4 million, improving over year 2001 net income of US$54.5 considering that this included extraordinary gains of US$19.0 million from sales of shares in Backus &amp; Johnston and of a subsidiary in El Salvador, that were effected in November 2001. Earnings per share were US$0.53 in 2002 and US$0.68 in 2001.</w:t>
      </w:r>
    </w:p>
    <w:p>
      <w:pPr>
        <w:spacing w:after="0" w:line="175" w:lineRule="exact"/>
        <w:rPr>
          <w:sz w:val="20"/>
          <w:szCs w:val="20"/>
          <w:color w:val="auto"/>
        </w:rPr>
      </w:pPr>
    </w:p>
    <w:p>
      <w:pPr>
        <w:ind w:left="9" w:right="3119" w:firstLine="444"/>
        <w:spacing w:after="0" w:line="239" w:lineRule="auto"/>
        <w:rPr>
          <w:sz w:val="20"/>
          <w:szCs w:val="20"/>
          <w:color w:val="auto"/>
        </w:rPr>
      </w:pPr>
      <w:r>
        <w:rPr>
          <w:rFonts w:ascii="Courier New" w:cs="Courier New" w:eastAsia="Courier New" w:hAnsi="Courier New"/>
          <w:sz w:val="15"/>
          <w:szCs w:val="15"/>
          <w:color w:val="auto"/>
        </w:rPr>
        <w:t>In the fourth quarter of 2002 Credicorp had net income of US$13.5 million, while net income in the year-ago quarter increased to US$26.5 million because of the above mentioned extraordinary gains. Quarterly net income per share was US$0.17 and US$0.33 in fourth quarter 2002 and 2001, respectively.</w:t>
      </w:r>
    </w:p>
    <w:p>
      <w:pPr>
        <w:spacing w:after="0" w:line="176" w:lineRule="exact"/>
        <w:rPr>
          <w:sz w:val="20"/>
          <w:szCs w:val="20"/>
          <w:color w:val="auto"/>
        </w:rPr>
      </w:pPr>
    </w:p>
    <w:p>
      <w:pPr>
        <w:ind w:left="9" w:right="4019" w:firstLine="355"/>
        <w:spacing w:after="0" w:line="262" w:lineRule="auto"/>
        <w:rPr>
          <w:sz w:val="20"/>
          <w:szCs w:val="20"/>
          <w:color w:val="auto"/>
        </w:rPr>
      </w:pPr>
      <w:r>
        <w:rPr>
          <w:rFonts w:ascii="Courier New" w:cs="Courier New" w:eastAsia="Courier New" w:hAnsi="Courier New"/>
          <w:sz w:val="14"/>
          <w:szCs w:val="14"/>
          <w:color w:val="auto"/>
        </w:rPr>
        <w:t>Full year 2002 operating results, as well as results in its fourth quarter, improve over results in the same year-ago periods, mainly due to higher non-financial income and lower loan loss provisions, which offset lower net interest income and higher operating expenses.</w:t>
      </w:r>
    </w:p>
    <w:p>
      <w:pPr>
        <w:spacing w:after="0" w:line="158" w:lineRule="exact"/>
        <w:rPr>
          <w:sz w:val="20"/>
          <w:szCs w:val="20"/>
          <w:color w:val="auto"/>
        </w:rPr>
      </w:pPr>
    </w:p>
    <w:p>
      <w:pPr>
        <w:ind w:left="349"/>
        <w:spacing w:after="0"/>
        <w:rPr>
          <w:sz w:val="20"/>
          <w:szCs w:val="20"/>
          <w:color w:val="auto"/>
        </w:rPr>
      </w:pPr>
      <w:r>
        <w:rPr>
          <w:rFonts w:ascii="Courier New" w:cs="Courier New" w:eastAsia="Courier New" w:hAnsi="Courier New"/>
          <w:sz w:val="15"/>
          <w:szCs w:val="15"/>
          <w:color w:val="auto"/>
        </w:rPr>
        <w:t>I. CREDICORP LTD. AND SUBSIDIARIES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030"/>
        <w:spacing w:after="0"/>
        <w:rPr>
          <w:sz w:val="20"/>
          <w:szCs w:val="20"/>
          <w:color w:val="auto"/>
        </w:rPr>
      </w:pPr>
      <w:r>
        <w:rPr>
          <w:rFonts w:ascii="Courier New" w:cs="Courier New" w:eastAsia="Courier New" w:hAnsi="Courier New"/>
          <w:sz w:val="15"/>
          <w:szCs w:val="15"/>
          <w:color w:val="auto"/>
        </w:rPr>
        <w:t>CREDICORP LTD. AND SUBSIDIARIES</w:t>
      </w:r>
    </w:p>
    <w:p>
      <w:pPr>
        <w:spacing w:after="0" w:line="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SUMMARY OF RESULTS</w:t>
      </w:r>
    </w:p>
    <w:p>
      <w:pPr>
        <w:spacing w:after="0" w:line="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(In U.S.$ millions, except net income per share)</w:t>
      </w:r>
    </w:p>
    <w:p>
      <w:pPr>
        <w:spacing w:after="0" w:line="17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580" w:type="dxa"/>
            <w:vAlign w:val="bottom"/>
          </w:tcPr>
          <w:p>
            <w:pPr>
              <w:spacing w:after="0"/>
              <w:rPr>
                <w:sz w:val="14"/>
                <w:szCs w:val="14"/>
                <w:color w:val="auto"/>
              </w:rPr>
            </w:pPr>
          </w:p>
        </w:tc>
        <w:tc>
          <w:tcPr>
            <w:tcW w:w="2940" w:type="dxa"/>
            <w:vAlign w:val="bottom"/>
            <w:gridSpan w:val="3"/>
          </w:tcPr>
          <w:p>
            <w:pPr>
              <w:jc w:val="right"/>
              <w:ind w:right="246"/>
              <w:spacing w:after="0"/>
              <w:rPr>
                <w:sz w:val="20"/>
                <w:szCs w:val="20"/>
                <w:color w:val="auto"/>
              </w:rPr>
            </w:pPr>
            <w:r>
              <w:rPr>
                <w:rFonts w:ascii="Courier New" w:cs="Courier New" w:eastAsia="Courier New" w:hAnsi="Courier New"/>
                <w:sz w:val="15"/>
                <w:szCs w:val="15"/>
                <w:color w:val="auto"/>
              </w:rPr>
              <w:t>Three months ended</w:t>
            </w:r>
          </w:p>
        </w:tc>
        <w:tc>
          <w:tcPr>
            <w:tcW w:w="1060" w:type="dxa"/>
            <w:vAlign w:val="bottom"/>
          </w:tcPr>
          <w:p>
            <w:pPr>
              <w:spacing w:after="0"/>
              <w:rPr>
                <w:sz w:val="14"/>
                <w:szCs w:val="14"/>
                <w:color w:val="auto"/>
              </w:rPr>
            </w:pPr>
          </w:p>
        </w:tc>
        <w:tc>
          <w:tcPr>
            <w:tcW w:w="2440" w:type="dxa"/>
            <w:vAlign w:val="bottom"/>
            <w:gridSpan w:val="3"/>
          </w:tcPr>
          <w:p>
            <w:pPr>
              <w:jc w:val="right"/>
              <w:ind w:right="546"/>
              <w:spacing w:after="0"/>
              <w:rPr>
                <w:sz w:val="20"/>
                <w:szCs w:val="20"/>
                <w:color w:val="auto"/>
              </w:rPr>
            </w:pPr>
            <w:r>
              <w:rPr>
                <w:rFonts w:ascii="Courier New" w:cs="Courier New" w:eastAsia="Courier New" w:hAnsi="Courier New"/>
                <w:sz w:val="15"/>
                <w:szCs w:val="15"/>
                <w:color w:val="auto"/>
              </w:rPr>
              <w:t>Twelve months ended</w:t>
            </w:r>
          </w:p>
        </w:tc>
      </w:tr>
      <w:tr>
        <w:trPr>
          <w:trHeight w:val="171"/>
        </w:trPr>
        <w:tc>
          <w:tcPr>
            <w:tcW w:w="3580" w:type="dxa"/>
            <w:vAlign w:val="bottom"/>
          </w:tcPr>
          <w:p>
            <w:pPr>
              <w:spacing w:after="0"/>
              <w:rPr>
                <w:sz w:val="14"/>
                <w:szCs w:val="14"/>
                <w:color w:val="auto"/>
              </w:rPr>
            </w:pPr>
          </w:p>
        </w:tc>
        <w:tc>
          <w:tcPr>
            <w:tcW w:w="6440" w:type="dxa"/>
            <w:vAlign w:val="bottom"/>
            <w:gridSpan w:val="7"/>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3580" w:type="dxa"/>
            <w:vAlign w:val="bottom"/>
          </w:tcPr>
          <w:p>
            <w:pPr>
              <w:spacing w:after="0"/>
              <w:rPr>
                <w:sz w:val="14"/>
                <w:szCs w:val="14"/>
                <w:color w:val="auto"/>
              </w:rPr>
            </w:pPr>
          </w:p>
        </w:tc>
        <w:tc>
          <w:tcPr>
            <w:tcW w:w="1700" w:type="dxa"/>
            <w:vAlign w:val="bottom"/>
            <w:gridSpan w:val="2"/>
          </w:tcPr>
          <w:p>
            <w:pPr>
              <w:jc w:val="right"/>
              <w:ind w:right="426"/>
              <w:spacing w:after="0"/>
              <w:rPr>
                <w:sz w:val="20"/>
                <w:szCs w:val="20"/>
                <w:color w:val="auto"/>
              </w:rPr>
            </w:pPr>
            <w:r>
              <w:rPr>
                <w:rFonts w:ascii="Courier New" w:cs="Courier New" w:eastAsia="Courier New" w:hAnsi="Courier New"/>
                <w:sz w:val="15"/>
                <w:szCs w:val="15"/>
                <w:color w:val="auto"/>
              </w:rPr>
              <w:t>31.12.01</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30.09.02</w:t>
            </w: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31.12.02</w:t>
            </w:r>
          </w:p>
        </w:tc>
        <w:tc>
          <w:tcPr>
            <w:tcW w:w="142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31.12.01</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31.12.02</w:t>
            </w:r>
          </w:p>
        </w:tc>
      </w:tr>
      <w:tr>
        <w:trPr>
          <w:trHeight w:val="171"/>
        </w:trPr>
        <w:tc>
          <w:tcPr>
            <w:tcW w:w="3580" w:type="dxa"/>
            <w:vAlign w:val="bottom"/>
          </w:tcPr>
          <w:p>
            <w:pPr>
              <w:spacing w:after="0"/>
              <w:rPr>
                <w:sz w:val="14"/>
                <w:szCs w:val="14"/>
                <w:color w:val="auto"/>
              </w:rPr>
            </w:pPr>
          </w:p>
        </w:tc>
        <w:tc>
          <w:tcPr>
            <w:tcW w:w="6440" w:type="dxa"/>
            <w:vAlign w:val="bottom"/>
            <w:gridSpan w:val="7"/>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341"/>
        </w:trPr>
        <w:tc>
          <w:tcPr>
            <w:tcW w:w="3580" w:type="dxa"/>
            <w:vAlign w:val="bottom"/>
          </w:tcPr>
          <w:p>
            <w:pPr>
              <w:spacing w:after="0"/>
              <w:rPr>
                <w:sz w:val="20"/>
                <w:szCs w:val="20"/>
                <w:color w:val="auto"/>
              </w:rPr>
            </w:pPr>
            <w:r>
              <w:rPr>
                <w:rFonts w:ascii="Courier New" w:cs="Courier New" w:eastAsia="Courier New" w:hAnsi="Courier New"/>
                <w:sz w:val="15"/>
                <w:szCs w:val="15"/>
                <w:color w:val="auto"/>
              </w:rPr>
              <w:t>Net interest income</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94.5</w:t>
            </w:r>
          </w:p>
        </w:tc>
        <w:tc>
          <w:tcPr>
            <w:tcW w:w="580" w:type="dxa"/>
            <w:vAlign w:val="bottom"/>
          </w:tcPr>
          <w:p>
            <w:pPr>
              <w:spacing w:after="0"/>
              <w:rPr>
                <w:sz w:val="24"/>
                <w:szCs w:val="24"/>
                <w:color w:val="auto"/>
              </w:rPr>
            </w:pP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77.5</w:t>
            </w:r>
          </w:p>
        </w:tc>
        <w:tc>
          <w:tcPr>
            <w:tcW w:w="10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79.2</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376.2</w:t>
            </w:r>
          </w:p>
        </w:tc>
        <w:tc>
          <w:tcPr>
            <w:tcW w:w="580" w:type="dxa"/>
            <w:vAlign w:val="bottom"/>
          </w:tcPr>
          <w:p>
            <w:pPr>
              <w:spacing w:after="0"/>
              <w:rPr>
                <w:sz w:val="24"/>
                <w:szCs w:val="24"/>
                <w:color w:val="auto"/>
              </w:rPr>
            </w:pP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335.3</w:t>
            </w:r>
          </w:p>
        </w:tc>
      </w:tr>
      <w:tr>
        <w:trPr>
          <w:trHeight w:val="171"/>
        </w:trPr>
        <w:tc>
          <w:tcPr>
            <w:tcW w:w="3580" w:type="dxa"/>
            <w:vAlign w:val="bottom"/>
          </w:tcPr>
          <w:p>
            <w:pPr>
              <w:spacing w:after="0"/>
              <w:rPr>
                <w:sz w:val="20"/>
                <w:szCs w:val="20"/>
                <w:color w:val="auto"/>
              </w:rPr>
            </w:pPr>
            <w:r>
              <w:rPr>
                <w:rFonts w:ascii="Courier New" w:cs="Courier New" w:eastAsia="Courier New" w:hAnsi="Courier New"/>
                <w:sz w:val="15"/>
                <w:szCs w:val="15"/>
                <w:color w:val="auto"/>
                <w:w w:val="98"/>
              </w:rPr>
              <w:t>Provisions for possible loan losses, net</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40.4</w:t>
            </w:r>
          </w:p>
        </w:tc>
        <w:tc>
          <w:tcPr>
            <w:tcW w:w="580" w:type="dxa"/>
            <w:vAlign w:val="bottom"/>
          </w:tcPr>
          <w:p>
            <w:pPr>
              <w:spacing w:after="0"/>
              <w:rPr>
                <w:sz w:val="14"/>
                <w:szCs w:val="14"/>
                <w:color w:val="auto"/>
              </w:rPr>
            </w:pP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32.2</w:t>
            </w:r>
          </w:p>
        </w:tc>
        <w:tc>
          <w:tcPr>
            <w:tcW w:w="10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23.7</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134.4</w:t>
            </w:r>
          </w:p>
        </w:tc>
        <w:tc>
          <w:tcPr>
            <w:tcW w:w="580" w:type="dxa"/>
            <w:vAlign w:val="bottom"/>
          </w:tcPr>
          <w:p>
            <w:pPr>
              <w:spacing w:after="0"/>
              <w:rPr>
                <w:sz w:val="14"/>
                <w:szCs w:val="14"/>
                <w:color w:val="auto"/>
              </w:rPr>
            </w:pP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111.6</w:t>
            </w:r>
          </w:p>
        </w:tc>
      </w:tr>
      <w:tr>
        <w:trPr>
          <w:trHeight w:val="171"/>
        </w:trPr>
        <w:tc>
          <w:tcPr>
            <w:tcW w:w="3580" w:type="dxa"/>
            <w:vAlign w:val="bottom"/>
          </w:tcPr>
          <w:p>
            <w:pPr>
              <w:spacing w:after="0"/>
              <w:rPr>
                <w:sz w:val="20"/>
                <w:szCs w:val="20"/>
                <w:color w:val="auto"/>
              </w:rPr>
            </w:pPr>
            <w:r>
              <w:rPr>
                <w:rFonts w:ascii="Courier New" w:cs="Courier New" w:eastAsia="Courier New" w:hAnsi="Courier New"/>
                <w:sz w:val="15"/>
                <w:szCs w:val="15"/>
                <w:color w:val="auto"/>
              </w:rPr>
              <w:t>Other income</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116.4</w:t>
            </w:r>
          </w:p>
        </w:tc>
        <w:tc>
          <w:tcPr>
            <w:tcW w:w="580" w:type="dxa"/>
            <w:vAlign w:val="bottom"/>
          </w:tcPr>
          <w:p>
            <w:pPr>
              <w:spacing w:after="0"/>
              <w:rPr>
                <w:sz w:val="14"/>
                <w:szCs w:val="14"/>
                <w:color w:val="auto"/>
              </w:rPr>
            </w:pP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89.6</w:t>
            </w:r>
          </w:p>
        </w:tc>
        <w:tc>
          <w:tcPr>
            <w:tcW w:w="10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104.8</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357.5</w:t>
            </w:r>
          </w:p>
        </w:tc>
        <w:tc>
          <w:tcPr>
            <w:tcW w:w="580" w:type="dxa"/>
            <w:vAlign w:val="bottom"/>
          </w:tcPr>
          <w:p>
            <w:pPr>
              <w:spacing w:after="0"/>
              <w:rPr>
                <w:sz w:val="14"/>
                <w:szCs w:val="14"/>
                <w:color w:val="auto"/>
              </w:rPr>
            </w:pP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371.5</w:t>
            </w:r>
          </w:p>
        </w:tc>
      </w:tr>
      <w:tr>
        <w:trPr>
          <w:trHeight w:val="171"/>
        </w:trPr>
        <w:tc>
          <w:tcPr>
            <w:tcW w:w="3580" w:type="dxa"/>
            <w:vAlign w:val="bottom"/>
          </w:tcPr>
          <w:p>
            <w:pPr>
              <w:spacing w:after="0"/>
              <w:rPr>
                <w:sz w:val="20"/>
                <w:szCs w:val="20"/>
                <w:color w:val="auto"/>
              </w:rPr>
            </w:pPr>
            <w:r>
              <w:rPr>
                <w:rFonts w:ascii="Courier New" w:cs="Courier New" w:eastAsia="Courier New" w:hAnsi="Courier New"/>
                <w:sz w:val="15"/>
                <w:szCs w:val="15"/>
                <w:color w:val="auto"/>
              </w:rPr>
              <w:t>Claims on insurance activities</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22.0</w:t>
            </w:r>
          </w:p>
        </w:tc>
        <w:tc>
          <w:tcPr>
            <w:tcW w:w="580" w:type="dxa"/>
            <w:vAlign w:val="bottom"/>
          </w:tcPr>
          <w:p>
            <w:pPr>
              <w:spacing w:after="0"/>
              <w:rPr>
                <w:sz w:val="14"/>
                <w:szCs w:val="14"/>
                <w:color w:val="auto"/>
              </w:rPr>
            </w:pP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25.5</w:t>
            </w:r>
          </w:p>
        </w:tc>
        <w:tc>
          <w:tcPr>
            <w:tcW w:w="10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24.5</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97.0</w:t>
            </w:r>
          </w:p>
        </w:tc>
        <w:tc>
          <w:tcPr>
            <w:tcW w:w="580" w:type="dxa"/>
            <w:vAlign w:val="bottom"/>
          </w:tcPr>
          <w:p>
            <w:pPr>
              <w:spacing w:after="0"/>
              <w:rPr>
                <w:sz w:val="14"/>
                <w:szCs w:val="14"/>
                <w:color w:val="auto"/>
              </w:rPr>
            </w:pP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97.9</w:t>
            </w:r>
          </w:p>
        </w:tc>
      </w:tr>
      <w:tr>
        <w:trPr>
          <w:trHeight w:val="171"/>
        </w:trPr>
        <w:tc>
          <w:tcPr>
            <w:tcW w:w="3580" w:type="dxa"/>
            <w:vAlign w:val="bottom"/>
          </w:tcPr>
          <w:p>
            <w:pPr>
              <w:spacing w:after="0"/>
              <w:rPr>
                <w:sz w:val="20"/>
                <w:szCs w:val="20"/>
                <w:color w:val="auto"/>
              </w:rPr>
            </w:pPr>
            <w:r>
              <w:rPr>
                <w:rFonts w:ascii="Courier New" w:cs="Courier New" w:eastAsia="Courier New" w:hAnsi="Courier New"/>
                <w:sz w:val="15"/>
                <w:szCs w:val="15"/>
                <w:color w:val="auto"/>
              </w:rPr>
              <w:t>Other expenses</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102.9</w:t>
            </w:r>
          </w:p>
        </w:tc>
        <w:tc>
          <w:tcPr>
            <w:tcW w:w="580" w:type="dxa"/>
            <w:vAlign w:val="bottom"/>
          </w:tcPr>
          <w:p>
            <w:pPr>
              <w:spacing w:after="0"/>
              <w:rPr>
                <w:sz w:val="14"/>
                <w:szCs w:val="14"/>
                <w:color w:val="auto"/>
              </w:rPr>
            </w:pP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94.9</w:t>
            </w:r>
          </w:p>
        </w:tc>
        <w:tc>
          <w:tcPr>
            <w:tcW w:w="10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113.5</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407.9</w:t>
            </w:r>
          </w:p>
        </w:tc>
        <w:tc>
          <w:tcPr>
            <w:tcW w:w="580" w:type="dxa"/>
            <w:vAlign w:val="bottom"/>
          </w:tcPr>
          <w:p>
            <w:pPr>
              <w:spacing w:after="0"/>
              <w:rPr>
                <w:sz w:val="14"/>
                <w:szCs w:val="14"/>
                <w:color w:val="auto"/>
              </w:rPr>
            </w:pP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409.4</w:t>
            </w:r>
          </w:p>
        </w:tc>
      </w:tr>
      <w:tr>
        <w:trPr>
          <w:trHeight w:val="171"/>
        </w:trPr>
        <w:tc>
          <w:tcPr>
            <w:tcW w:w="3580" w:type="dxa"/>
            <w:vAlign w:val="bottom"/>
          </w:tcPr>
          <w:p>
            <w:pPr>
              <w:spacing w:after="0"/>
              <w:rPr>
                <w:sz w:val="20"/>
                <w:szCs w:val="20"/>
                <w:color w:val="auto"/>
              </w:rPr>
            </w:pPr>
            <w:r>
              <w:rPr>
                <w:rFonts w:ascii="Courier New" w:cs="Courier New" w:eastAsia="Courier New" w:hAnsi="Courier New"/>
                <w:sz w:val="15"/>
                <w:szCs w:val="15"/>
                <w:color w:val="auto"/>
              </w:rPr>
              <w:t>Translation result</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0.8</w:t>
            </w:r>
          </w:p>
        </w:tc>
        <w:tc>
          <w:tcPr>
            <w:tcW w:w="580" w:type="dxa"/>
            <w:vAlign w:val="bottom"/>
          </w:tcPr>
          <w:p>
            <w:pPr>
              <w:spacing w:after="0"/>
              <w:rPr>
                <w:sz w:val="14"/>
                <w:szCs w:val="14"/>
                <w:color w:val="auto"/>
              </w:rPr>
            </w:pPr>
          </w:p>
        </w:tc>
        <w:tc>
          <w:tcPr>
            <w:tcW w:w="12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(0.9)</w:t>
            </w:r>
          </w:p>
        </w:tc>
        <w:tc>
          <w:tcPr>
            <w:tcW w:w="10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0.4</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c>
          <w:tcPr>
            <w:tcW w:w="58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(2.5)</w:t>
            </w:r>
          </w:p>
        </w:tc>
      </w:tr>
      <w:tr>
        <w:trPr>
          <w:trHeight w:val="171"/>
        </w:trPr>
        <w:tc>
          <w:tcPr>
            <w:tcW w:w="3580" w:type="dxa"/>
            <w:vAlign w:val="bottom"/>
          </w:tcPr>
          <w:p>
            <w:pPr>
              <w:spacing w:after="0"/>
              <w:rPr>
                <w:sz w:val="20"/>
                <w:szCs w:val="20"/>
                <w:color w:val="auto"/>
              </w:rPr>
            </w:pPr>
            <w:r>
              <w:rPr>
                <w:rFonts w:ascii="Courier New" w:cs="Courier New" w:eastAsia="Courier New" w:hAnsi="Courier New"/>
                <w:sz w:val="15"/>
                <w:szCs w:val="15"/>
                <w:color w:val="auto"/>
              </w:rPr>
              <w:t>Income before income</w:t>
            </w:r>
          </w:p>
        </w:tc>
        <w:tc>
          <w:tcPr>
            <w:tcW w:w="1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3580" w:type="dxa"/>
            <w:vAlign w:val="bottom"/>
          </w:tcPr>
          <w:p>
            <w:pPr>
              <w:ind w:left="80"/>
              <w:spacing w:after="0"/>
              <w:rPr>
                <w:sz w:val="20"/>
                <w:szCs w:val="20"/>
                <w:color w:val="auto"/>
              </w:rPr>
            </w:pPr>
            <w:r>
              <w:rPr>
                <w:rFonts w:ascii="Courier New" w:cs="Courier New" w:eastAsia="Courier New" w:hAnsi="Courier New"/>
                <w:sz w:val="15"/>
                <w:szCs w:val="15"/>
                <w:color w:val="auto"/>
              </w:rPr>
              <w:t>tax and minority interest</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46.4</w:t>
            </w:r>
          </w:p>
        </w:tc>
        <w:tc>
          <w:tcPr>
            <w:tcW w:w="580" w:type="dxa"/>
            <w:vAlign w:val="bottom"/>
          </w:tcPr>
          <w:p>
            <w:pPr>
              <w:spacing w:after="0"/>
              <w:rPr>
                <w:sz w:val="14"/>
                <w:szCs w:val="14"/>
                <w:color w:val="auto"/>
              </w:rPr>
            </w:pP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13.7</w:t>
            </w:r>
          </w:p>
        </w:tc>
        <w:tc>
          <w:tcPr>
            <w:tcW w:w="10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22.6</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91.9</w:t>
            </w:r>
          </w:p>
        </w:tc>
        <w:tc>
          <w:tcPr>
            <w:tcW w:w="580" w:type="dxa"/>
            <w:vAlign w:val="bottom"/>
          </w:tcPr>
          <w:p>
            <w:pPr>
              <w:spacing w:after="0"/>
              <w:rPr>
                <w:sz w:val="14"/>
                <w:szCs w:val="14"/>
                <w:color w:val="auto"/>
              </w:rPr>
            </w:pP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85.3</w:t>
            </w:r>
          </w:p>
        </w:tc>
      </w:tr>
      <w:tr>
        <w:trPr>
          <w:trHeight w:val="171"/>
        </w:trPr>
        <w:tc>
          <w:tcPr>
            <w:tcW w:w="3580" w:type="dxa"/>
            <w:vAlign w:val="bottom"/>
          </w:tcPr>
          <w:p>
            <w:pPr>
              <w:spacing w:after="0"/>
              <w:rPr>
                <w:sz w:val="20"/>
                <w:szCs w:val="20"/>
                <w:color w:val="auto"/>
              </w:rPr>
            </w:pPr>
            <w:r>
              <w:rPr>
                <w:rFonts w:ascii="Courier New" w:cs="Courier New" w:eastAsia="Courier New" w:hAnsi="Courier New"/>
                <w:sz w:val="15"/>
                <w:szCs w:val="15"/>
                <w:color w:val="auto"/>
              </w:rPr>
              <w:t>Income Tax</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(10.5)</w:t>
            </w:r>
          </w:p>
        </w:tc>
        <w:tc>
          <w:tcPr>
            <w:tcW w:w="580" w:type="dxa"/>
            <w:vAlign w:val="bottom"/>
          </w:tcPr>
          <w:p>
            <w:pPr>
              <w:spacing w:after="0"/>
              <w:rPr>
                <w:sz w:val="14"/>
                <w:szCs w:val="14"/>
                <w:color w:val="auto"/>
              </w:rPr>
            </w:pPr>
          </w:p>
        </w:tc>
        <w:tc>
          <w:tcPr>
            <w:tcW w:w="12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(8.8)</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(21.6)</w:t>
            </w:r>
          </w:p>
        </w:tc>
        <w:tc>
          <w:tcPr>
            <w:tcW w:w="58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(32.6)</w:t>
            </w:r>
          </w:p>
        </w:tc>
      </w:tr>
      <w:tr>
        <w:trPr>
          <w:trHeight w:val="171"/>
        </w:trPr>
        <w:tc>
          <w:tcPr>
            <w:tcW w:w="3580" w:type="dxa"/>
            <w:vAlign w:val="bottom"/>
          </w:tcPr>
          <w:p>
            <w:pPr>
              <w:spacing w:after="0"/>
              <w:rPr>
                <w:sz w:val="20"/>
                <w:szCs w:val="20"/>
                <w:color w:val="auto"/>
              </w:rPr>
            </w:pPr>
            <w:r>
              <w:rPr>
                <w:rFonts w:ascii="Courier New" w:cs="Courier New" w:eastAsia="Courier New" w:hAnsi="Courier New"/>
                <w:sz w:val="15"/>
                <w:szCs w:val="15"/>
                <w:color w:val="auto"/>
              </w:rPr>
              <w:t>Minority Interest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(9.4)</w:t>
            </w:r>
          </w:p>
        </w:tc>
        <w:tc>
          <w:tcPr>
            <w:tcW w:w="580" w:type="dxa"/>
            <w:vAlign w:val="bottom"/>
          </w:tcPr>
          <w:p>
            <w:pPr>
              <w:spacing w:after="0"/>
              <w:rPr>
                <w:sz w:val="14"/>
                <w:szCs w:val="14"/>
                <w:color w:val="auto"/>
              </w:rPr>
            </w:pPr>
          </w:p>
        </w:tc>
        <w:tc>
          <w:tcPr>
            <w:tcW w:w="12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(1.8)</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(3.1)</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(15.8)</w:t>
            </w:r>
          </w:p>
        </w:tc>
        <w:tc>
          <w:tcPr>
            <w:tcW w:w="58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(10.3)</w:t>
            </w:r>
          </w:p>
        </w:tc>
      </w:tr>
      <w:tr>
        <w:trPr>
          <w:trHeight w:val="171"/>
        </w:trPr>
        <w:tc>
          <w:tcPr>
            <w:tcW w:w="3580" w:type="dxa"/>
            <w:vAlign w:val="bottom"/>
          </w:tcPr>
          <w:p>
            <w:pPr>
              <w:ind w:left="1320"/>
              <w:spacing w:after="0"/>
              <w:rPr>
                <w:sz w:val="20"/>
                <w:szCs w:val="20"/>
                <w:color w:val="auto"/>
              </w:rPr>
            </w:pPr>
            <w:r>
              <w:rPr>
                <w:rFonts w:ascii="Courier New" w:cs="Courier New" w:eastAsia="Courier New" w:hAnsi="Courier New"/>
                <w:sz w:val="15"/>
                <w:szCs w:val="15"/>
                <w:color w:val="auto"/>
              </w:rPr>
              <w:t>Net Income</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26.5</w:t>
            </w:r>
          </w:p>
        </w:tc>
        <w:tc>
          <w:tcPr>
            <w:tcW w:w="58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88"/>
              </w:rPr>
              <w:t>(2)</w:t>
            </w: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3.1</w:t>
            </w:r>
          </w:p>
        </w:tc>
        <w:tc>
          <w:tcPr>
            <w:tcW w:w="10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13.5</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54.5</w:t>
            </w:r>
          </w:p>
        </w:tc>
        <w:tc>
          <w:tcPr>
            <w:tcW w:w="58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88"/>
              </w:rPr>
              <w:t>(2)</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42.4</w:t>
            </w:r>
          </w:p>
        </w:tc>
      </w:tr>
      <w:tr>
        <w:trPr>
          <w:trHeight w:val="171"/>
        </w:trPr>
        <w:tc>
          <w:tcPr>
            <w:tcW w:w="3580" w:type="dxa"/>
            <w:vAlign w:val="bottom"/>
          </w:tcPr>
          <w:p>
            <w:pPr>
              <w:ind w:left="1320"/>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 ---</w:t>
            </w: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 ---</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3580" w:type="dxa"/>
            <w:vAlign w:val="bottom"/>
          </w:tcPr>
          <w:p>
            <w:pPr>
              <w:spacing w:after="0"/>
              <w:rPr>
                <w:sz w:val="20"/>
                <w:szCs w:val="20"/>
                <w:color w:val="auto"/>
              </w:rPr>
            </w:pPr>
            <w:r>
              <w:rPr>
                <w:rFonts w:ascii="Courier New" w:cs="Courier New" w:eastAsia="Courier New" w:hAnsi="Courier New"/>
                <w:sz w:val="15"/>
                <w:szCs w:val="15"/>
                <w:color w:val="auto"/>
              </w:rPr>
              <w:t>Net Income per share (1)</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0.33</w:t>
            </w:r>
          </w:p>
        </w:tc>
        <w:tc>
          <w:tcPr>
            <w:tcW w:w="58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88"/>
              </w:rPr>
              <w:t>(2)</w:t>
            </w: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0.04</w:t>
            </w:r>
          </w:p>
        </w:tc>
        <w:tc>
          <w:tcPr>
            <w:tcW w:w="10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0.17</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0.68</w:t>
            </w:r>
          </w:p>
        </w:tc>
        <w:tc>
          <w:tcPr>
            <w:tcW w:w="58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88"/>
              </w:rPr>
              <w:t>(2)</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0.53</w:t>
            </w:r>
          </w:p>
        </w:tc>
      </w:tr>
      <w:tr>
        <w:trPr>
          <w:trHeight w:val="171"/>
        </w:trPr>
        <w:tc>
          <w:tcPr>
            <w:tcW w:w="3580" w:type="dxa"/>
            <w:vAlign w:val="bottom"/>
          </w:tcPr>
          <w:p>
            <w:pPr>
              <w:spacing w:after="0"/>
              <w:rPr>
                <w:sz w:val="14"/>
                <w:szCs w:val="14"/>
                <w:color w:val="auto"/>
              </w:rPr>
            </w:pP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88"/>
              </w:rPr>
              <w:t>---</w:t>
            </w: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 ---</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5" w:lineRule="exact"/>
        <w:rPr>
          <w:sz w:val="20"/>
          <w:szCs w:val="20"/>
          <w:color w:val="auto"/>
        </w:rPr>
      </w:pPr>
    </w:p>
    <w:p>
      <w:pPr>
        <w:ind w:left="449" w:right="3119" w:hanging="449"/>
        <w:spacing w:after="0" w:line="239" w:lineRule="auto"/>
        <w:tabs>
          <w:tab w:leader="none" w:pos="449"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79.5 million in 4Q01 and 79.8 million net outstanding shares at 3Q02 and 4Q02. The total number of shares is 94.4 million, however, as 14.6 million are held by affiliates as treasury shares, the net consolidated outstanding shares are 79.8 million.</w:t>
      </w:r>
    </w:p>
    <w:p>
      <w:pPr>
        <w:spacing w:after="0" w:line="5" w:lineRule="exact"/>
        <w:rPr>
          <w:rFonts w:ascii="Courier New" w:cs="Courier New" w:eastAsia="Courier New" w:hAnsi="Courier New"/>
          <w:sz w:val="15"/>
          <w:szCs w:val="15"/>
          <w:color w:val="auto"/>
        </w:rPr>
      </w:pPr>
    </w:p>
    <w:p>
      <w:pPr>
        <w:ind w:left="449" w:right="3219" w:hanging="449"/>
        <w:spacing w:after="0" w:line="238" w:lineRule="auto"/>
        <w:tabs>
          <w:tab w:leader="none" w:pos="449"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US$19.0 million (US$0.23 per share ) extraordinary gains on sales of securities and a subsidiary.</w:t>
      </w:r>
    </w:p>
    <w:p>
      <w:pPr>
        <w:sectPr>
          <w:pgSz w:w="11900" w:h="16838" w:orient="portrait"/>
          <w:cols w:equalWidth="0" w:num="1">
            <w:col w:w="10228"/>
          </w:cols>
          <w:pgMar w:left="231" w:top="628" w:right="1440" w:bottom="1440" w:gutter="0" w:footer="0" w:header="0"/>
        </w:sectPr>
      </w:pPr>
    </w:p>
    <w:bookmarkStart w:id="9" w:name="page10"/>
    <w:bookmarkEnd w:id="9"/>
    <w:p>
      <w:pPr>
        <w:ind w:left="440"/>
        <w:spacing w:after="0"/>
        <w:rPr>
          <w:sz w:val="20"/>
          <w:szCs w:val="20"/>
          <w:color w:val="auto"/>
        </w:rPr>
      </w:pPr>
      <w:r>
        <w:rPr>
          <w:rFonts w:ascii="Courier New" w:cs="Courier New" w:eastAsia="Courier New" w:hAnsi="Courier New"/>
          <w:sz w:val="15"/>
          <w:szCs w:val="15"/>
          <w:color w:val="auto"/>
        </w:rPr>
        <w:t>I.1 PERUVIAN ECONOMIC SITUATION</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Actual GDP growth rates continued to exceed market expectations. With growth of 2.8% achieved in the first quarter 2002, 6.1% in the second and 5.2% in the third, cumulative growth through November 2002 reached 4.8%. The recovery of economic activity, is based, since the second quarter, on growth of non-primary sectors, while in prior periods it depended on growth of the mining sector brought by Antamina. Nevertheless, the recovery of the construction sector, of non-primary manufacturing (which include textiles and cement production) and of consumption, is noteworthy. In the first quarter of 2003 GDP growth is expected to continue over 4%, slowingdown in the rest of the year where growth should exceed 3% for total fiscal 2003.</w:t>
      </w:r>
    </w:p>
    <w:p>
      <w:pPr>
        <w:spacing w:after="0" w:line="178"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Continuing a positive trend that began in the last quarter of 2001, aggregate demand data show that Internal Demand increased 5.3% in the third quarter of 2002, after increasing 1.0% and 4.8% in the first and second quarters, repectively. Growth in the third quarter 2002, is mostly due to increased private and public consumption, 5.8% and 3.8%, respectively, while total investment grew 5.8% after dropping for seven consecutive quarters, since the third quarter of 2000.</w:t>
      </w:r>
    </w:p>
    <w:p>
      <w:pPr>
        <w:spacing w:after="0" w:line="176"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In the fourth quarter of 2002, the consumer price index in Peru increased 0.3%, lower than 0.6% inflation in each of the preceding two quarters. Cumulative inflation in year 2002 was 1.5%, and remained below the 2.0% target established for total 2002 by the Central Bank. The wholesale price index declined 0.2% in the current quarter, after growing 1.7% in both the third quarter and cumulative for the whole year 2002.</w:t>
      </w:r>
    </w:p>
    <w:p>
      <w:pPr>
        <w:spacing w:after="0" w:line="175" w:lineRule="exact"/>
        <w:rPr>
          <w:sz w:val="20"/>
          <w:szCs w:val="20"/>
          <w:color w:val="auto"/>
        </w:rPr>
      </w:pPr>
    </w:p>
    <w:p>
      <w:pPr>
        <w:ind w:right="3219" w:firstLine="444"/>
        <w:spacing w:after="0" w:line="264" w:lineRule="auto"/>
        <w:rPr>
          <w:sz w:val="20"/>
          <w:szCs w:val="20"/>
          <w:color w:val="auto"/>
        </w:rPr>
      </w:pPr>
      <w:r>
        <w:rPr>
          <w:rFonts w:ascii="Courier New" w:cs="Courier New" w:eastAsia="Courier New" w:hAnsi="Courier New"/>
          <w:sz w:val="14"/>
          <w:szCs w:val="14"/>
          <w:color w:val="auto"/>
        </w:rPr>
        <w:t>The average bank market Nuevos Soles exchange rate in Peru was S/.3.514 at December 31, 2002, recovering from S/.3.644 at the end of the third quarter, a 3.6% revaluation. Cumulative devaluation for total year 2002 was 2.0%.</w:t>
      </w:r>
    </w:p>
    <w:p>
      <w:pPr>
        <w:spacing w:after="0" w:line="159" w:lineRule="exact"/>
        <w:rPr>
          <w:sz w:val="20"/>
          <w:szCs w:val="20"/>
          <w:color w:val="auto"/>
        </w:rPr>
      </w:pPr>
    </w:p>
    <w:p>
      <w:pPr>
        <w:jc w:val="both"/>
        <w:ind w:right="4019" w:firstLine="355"/>
        <w:spacing w:after="0" w:line="239" w:lineRule="auto"/>
        <w:rPr>
          <w:sz w:val="20"/>
          <w:szCs w:val="20"/>
          <w:color w:val="auto"/>
        </w:rPr>
      </w:pPr>
      <w:r>
        <w:rPr>
          <w:rFonts w:ascii="Courier New" w:cs="Courier New" w:eastAsia="Courier New" w:hAnsi="Courier New"/>
          <w:sz w:val="15"/>
          <w:szCs w:val="15"/>
          <w:color w:val="auto"/>
        </w:rPr>
        <w:t>International reserves of the Central Bank decreased from US$9,857 million at September 30, 2002 to US$9,598 million at December 31,2002, mostly due to seasonal withdrawals by banks.</w:t>
      </w:r>
    </w:p>
    <w:p>
      <w:pPr>
        <w:spacing w:after="0" w:line="175" w:lineRule="exact"/>
        <w:rPr>
          <w:sz w:val="20"/>
          <w:szCs w:val="20"/>
          <w:color w:val="auto"/>
        </w:rPr>
      </w:pPr>
    </w:p>
    <w:p>
      <w:pPr>
        <w:ind w:right="4019" w:firstLine="355"/>
        <w:spacing w:after="0"/>
        <w:rPr>
          <w:sz w:val="20"/>
          <w:szCs w:val="20"/>
          <w:color w:val="auto"/>
        </w:rPr>
      </w:pPr>
      <w:r>
        <w:rPr>
          <w:rFonts w:ascii="Courier New" w:cs="Courier New" w:eastAsia="Courier New" w:hAnsi="Courier New"/>
          <w:sz w:val="15"/>
          <w:szCs w:val="15"/>
          <w:color w:val="auto"/>
        </w:rPr>
        <w:t>During the fourth quarter 2002 both deposit and loan volumes had a slight positive trend. Deposits in the fifteen commercial banks in the system reached S/.49.2 billion (US$14.0 billion), according to the Asociacion de Bancos del Peru (ASBANC) as of December 31, 2002, remaining similar in nominal terms to the preceding quarter balance due to the 3.6% lower exchange rate, but grows 5.9% compared to year-ago deposits.</w:t>
      </w:r>
    </w:p>
    <w:p>
      <w:pPr>
        <w:spacing w:after="0" w:line="176" w:lineRule="exact"/>
        <w:rPr>
          <w:sz w:val="20"/>
          <w:szCs w:val="20"/>
          <w:color w:val="auto"/>
        </w:rPr>
      </w:pPr>
    </w:p>
    <w:p>
      <w:pPr>
        <w:jc w:val="both"/>
        <w:ind w:right="4199" w:firstLine="355"/>
        <w:spacing w:after="0" w:line="239" w:lineRule="auto"/>
        <w:rPr>
          <w:sz w:val="20"/>
          <w:szCs w:val="20"/>
          <w:color w:val="auto"/>
        </w:rPr>
      </w:pPr>
      <w:r>
        <w:rPr>
          <w:rFonts w:ascii="Courier New" w:cs="Courier New" w:eastAsia="Courier New" w:hAnsi="Courier New"/>
          <w:sz w:val="15"/>
          <w:szCs w:val="15"/>
          <w:color w:val="auto"/>
        </w:rPr>
        <w:t>During the quarter ended December 31, 2002, local currency loans in the banking system grew 6.2%, in nominal terms, to S/.7.6 billion (US$2.2 billion), while foreign currency loans remained unchanged at US$8.4 billion.</w:t>
      </w:r>
    </w:p>
    <w:p>
      <w:pPr>
        <w:spacing w:after="0" w:line="176" w:lineRule="exact"/>
        <w:rPr>
          <w:sz w:val="20"/>
          <w:szCs w:val="20"/>
          <w:color w:val="auto"/>
        </w:rPr>
      </w:pPr>
    </w:p>
    <w:p>
      <w:pPr>
        <w:ind w:right="4199" w:firstLine="355"/>
        <w:spacing w:after="0"/>
        <w:rPr>
          <w:sz w:val="20"/>
          <w:szCs w:val="20"/>
          <w:color w:val="auto"/>
        </w:rPr>
      </w:pPr>
      <w:r>
        <w:rPr>
          <w:rFonts w:ascii="Courier New" w:cs="Courier New" w:eastAsia="Courier New" w:hAnsi="Courier New"/>
          <w:sz w:val="15"/>
          <w:szCs w:val="15"/>
          <w:color w:val="auto"/>
        </w:rPr>
        <w:t>As of December 31, 2002, the Peruvian bank's average past due ratio was 7.7%, better than 8.2% in September 2002, and 9.1% at December 2001. It should be noted that these ratios are below actual ones due to the benefits of government sponsored programs that exchanged Treasury Bonds for past due loans. BCP decided not to take advantage of these programs.</w:t>
      </w:r>
    </w:p>
    <w:p>
      <w:pPr>
        <w:spacing w:after="0" w:line="175" w:lineRule="exact"/>
        <w:rPr>
          <w:sz w:val="20"/>
          <w:szCs w:val="20"/>
          <w:color w:val="auto"/>
        </w:rPr>
      </w:pPr>
    </w:p>
    <w:p>
      <w:pPr>
        <w:ind w:right="4019" w:firstLine="355"/>
        <w:spacing w:after="0"/>
        <w:rPr>
          <w:sz w:val="20"/>
          <w:szCs w:val="20"/>
          <w:color w:val="auto"/>
        </w:rPr>
      </w:pPr>
      <w:r>
        <w:rPr>
          <w:rFonts w:ascii="Courier New" w:cs="Courier New" w:eastAsia="Courier New" w:hAnsi="Courier New"/>
          <w:sz w:val="15"/>
          <w:szCs w:val="15"/>
          <w:color w:val="auto"/>
        </w:rPr>
        <w:t>Commercial banks' past due loans decreased 7.9% during the current quarter to S/.2.9 billion (US$813 million), and are 13.5% below bad loans at December 2001 (in nominal terms). At December 31, 2002, loan loss provisions were S/.3.8 billion (US$1.1 billion), decreasing slightly during this quarter mostly due to the aforementioned exchange rate revaluation. The system-wide past due loan coverage ratio was 133.8% at year-end 2002, better than 114.2% at the close of the prior year.</w:t>
      </w:r>
    </w:p>
    <w:p>
      <w:pPr>
        <w:spacing w:after="0" w:line="177" w:lineRule="exact"/>
        <w:rPr>
          <w:sz w:val="20"/>
          <w:szCs w:val="20"/>
          <w:color w:val="auto"/>
        </w:rPr>
      </w:pPr>
    </w:p>
    <w:p>
      <w:pPr>
        <w:ind w:right="4019" w:firstLine="355"/>
        <w:spacing w:after="0"/>
        <w:rPr>
          <w:sz w:val="20"/>
          <w:szCs w:val="20"/>
          <w:color w:val="auto"/>
        </w:rPr>
      </w:pPr>
      <w:r>
        <w:rPr>
          <w:rFonts w:ascii="Courier New" w:cs="Courier New" w:eastAsia="Courier New" w:hAnsi="Courier New"/>
          <w:sz w:val="15"/>
          <w:szCs w:val="15"/>
          <w:color w:val="auto"/>
        </w:rPr>
        <w:t>During the fourth quarter 2002 commercial banks' local currency interest rates increased, changing their negative trend due to the exchange rate volatility and the Central Bank's policy change in favor of monetary contraction. Local currency average loan rates (TAMN) were 21.1% in fourth quarter 2002, increasing from 20.0% in the preceding third quarter of 2002, while deposits rates (TIPMN) grew to 3.7% from 3.2%, respectively. The average local currency interbank rates increased from 3.7% in third quarter of 2002 to 4.1% in the current quarter. Foreign currency loan rates (TAMEX) were 10.1% in fourth quarter 2002, remaining similar to the preceding period, while deposit rates (TIPMEX) decreased slightly to 1.4% from 1.5% in the third quarter of 2002.</w:t>
      </w:r>
    </w:p>
    <w:p>
      <w:pPr>
        <w:spacing w:after="0" w:line="200" w:lineRule="exact"/>
        <w:rPr>
          <w:sz w:val="20"/>
          <w:szCs w:val="20"/>
          <w:color w:val="auto"/>
        </w:rPr>
      </w:pPr>
    </w:p>
    <w:p>
      <w:pPr>
        <w:spacing w:after="0" w:line="318"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28" w:right="1440" w:bottom="1440" w:gutter="0" w:footer="0" w:header="0"/>
        </w:sectPr>
      </w:pPr>
    </w:p>
    <w:bookmarkStart w:id="10" w:name="page11"/>
    <w:bookmarkEnd w:id="10"/>
    <w:p>
      <w:pPr>
        <w:ind w:left="349"/>
        <w:spacing w:after="0"/>
        <w:rPr>
          <w:sz w:val="20"/>
          <w:szCs w:val="20"/>
          <w:color w:val="auto"/>
        </w:rPr>
      </w:pPr>
      <w:r>
        <w:rPr>
          <w:rFonts w:ascii="Courier New" w:cs="Courier New" w:eastAsia="Courier New" w:hAnsi="Courier New"/>
          <w:sz w:val="15"/>
          <w:szCs w:val="15"/>
          <w:color w:val="auto"/>
        </w:rPr>
        <w:t>I.2 INTEREST INCOME AND OTHER INCOME</w:t>
      </w:r>
    </w:p>
    <w:p>
      <w:pPr>
        <w:spacing w:after="0" w:line="17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Net interest income in the fourth quarter of 2002 was US$79.2 million,</w:t>
      </w:r>
    </w:p>
    <w:p>
      <w:pPr>
        <w:spacing w:after="0" w:line="3"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16.2% less than that earned in the same period of 2001, mostly due to lower loan volumes and decreased interest margins. The net interest margin (net interest income over average interest earning assets), on an annualized basis, was 4.97% during the fourth quarter of 2002, lower than 6.16% in the year-ago quarter, and also compared to 5.37% in the third quarter 2002. Net interest margin decreased with respect to the preceding quarter principally due to lower lending rates in foreign currency and higher funding costs in Nuevos Soles, noting the continuing overall excess of liquid funds. The volume in interest earning assets, as an average between quarterly ending balances, reached US$6,370 million in the period, increasing 3.8% compared to US$6,136 million in the last quarter of 2001.</w:t>
      </w:r>
    </w:p>
    <w:p>
      <w:pPr>
        <w:spacing w:after="0" w:line="179" w:lineRule="exact"/>
        <w:rPr>
          <w:sz w:val="20"/>
          <w:szCs w:val="20"/>
          <w:color w:val="auto"/>
        </w:rPr>
      </w:pPr>
    </w:p>
    <w:p>
      <w:pPr>
        <w:ind w:left="9" w:right="3219" w:firstLine="444"/>
        <w:spacing w:after="0"/>
        <w:rPr>
          <w:sz w:val="20"/>
          <w:szCs w:val="20"/>
          <w:color w:val="auto"/>
        </w:rPr>
      </w:pPr>
      <w:r>
        <w:rPr>
          <w:rFonts w:ascii="Courier New" w:cs="Courier New" w:eastAsia="Courier New" w:hAnsi="Courier New"/>
          <w:sz w:val="15"/>
          <w:szCs w:val="15"/>
          <w:color w:val="auto"/>
        </w:rPr>
        <w:t>Non-interest income was US$104.8 million in the fourth quarter of 2002, lower by 10.0% compared to US$116.4 million in the same period of 2001, principally due to US$29.6 millions in gains from the sale of shares and a subsidiary in November 2001, as mentioned before, and registered in the securities transactions caption. Income from banking fees in the fourth quarter of 2002 increased 5.5% compared to revenue in the year-ago period, reaching US$44.2 million. Non-interest income components were as follows:</w:t>
      </w:r>
    </w:p>
    <w:p>
      <w:pPr>
        <w:spacing w:after="0" w:line="200" w:lineRule="exact"/>
        <w:rPr>
          <w:sz w:val="20"/>
          <w:szCs w:val="20"/>
          <w:color w:val="auto"/>
        </w:rPr>
      </w:pPr>
    </w:p>
    <w:p>
      <w:pPr>
        <w:spacing w:after="0" w:line="315"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5100" w:type="dxa"/>
            <w:vAlign w:val="bottom"/>
          </w:tcPr>
          <w:p>
            <w:pPr>
              <w:ind w:left="4520"/>
              <w:spacing w:after="0"/>
              <w:rPr>
                <w:sz w:val="20"/>
                <w:szCs w:val="20"/>
                <w:color w:val="auto"/>
              </w:rPr>
            </w:pPr>
            <w:r>
              <w:rPr>
                <w:rFonts w:ascii="Courier New" w:cs="Courier New" w:eastAsia="Courier New" w:hAnsi="Courier New"/>
                <w:sz w:val="15"/>
                <w:szCs w:val="15"/>
                <w:color w:val="auto"/>
              </w:rPr>
              <w:t>4Q01</w:t>
            </w:r>
          </w:p>
        </w:tc>
        <w:tc>
          <w:tcPr>
            <w:tcW w:w="800" w:type="dxa"/>
            <w:vAlign w:val="bottom"/>
          </w:tcPr>
          <w:p>
            <w:pPr>
              <w:ind w:left="220"/>
              <w:spacing w:after="0"/>
              <w:rPr>
                <w:sz w:val="20"/>
                <w:szCs w:val="20"/>
                <w:color w:val="auto"/>
              </w:rPr>
            </w:pPr>
            <w:r>
              <w:rPr>
                <w:rFonts w:ascii="Courier New" w:cs="Courier New" w:eastAsia="Courier New" w:hAnsi="Courier New"/>
                <w:sz w:val="15"/>
                <w:szCs w:val="15"/>
                <w:color w:val="auto"/>
              </w:rPr>
              <w:t>3Q02</w:t>
            </w:r>
          </w:p>
        </w:tc>
        <w:tc>
          <w:tcPr>
            <w:tcW w:w="740" w:type="dxa"/>
            <w:vAlign w:val="bottom"/>
          </w:tcPr>
          <w:p>
            <w:pPr>
              <w:ind w:left="220"/>
              <w:spacing w:after="0"/>
              <w:rPr>
                <w:sz w:val="20"/>
                <w:szCs w:val="20"/>
                <w:color w:val="auto"/>
              </w:rPr>
            </w:pPr>
            <w:r>
              <w:rPr>
                <w:rFonts w:ascii="Courier New" w:cs="Courier New" w:eastAsia="Courier New" w:hAnsi="Courier New"/>
                <w:sz w:val="15"/>
                <w:szCs w:val="15"/>
                <w:color w:val="auto"/>
              </w:rPr>
              <w:t>4Q02</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4Q02</w:t>
            </w:r>
          </w:p>
        </w:tc>
        <w:tc>
          <w:tcPr>
            <w:tcW w:w="800" w:type="dxa"/>
            <w:vAlign w:val="bottom"/>
          </w:tcPr>
          <w:p>
            <w:pPr>
              <w:jc w:val="center"/>
              <w:ind w:left="26"/>
              <w:spacing w:after="0"/>
              <w:rPr>
                <w:sz w:val="20"/>
                <w:szCs w:val="20"/>
                <w:color w:val="auto"/>
              </w:rPr>
            </w:pPr>
            <w:r>
              <w:rPr>
                <w:rFonts w:ascii="Courier New" w:cs="Courier New" w:eastAsia="Courier New" w:hAnsi="Courier New"/>
                <w:sz w:val="15"/>
                <w:szCs w:val="15"/>
                <w:color w:val="auto"/>
                <w:w w:val="97"/>
              </w:rPr>
              <w:t>4Q02 vs.</w:t>
            </w:r>
          </w:p>
        </w:tc>
      </w:tr>
      <w:tr>
        <w:trPr>
          <w:trHeight w:val="171"/>
        </w:trPr>
        <w:tc>
          <w:tcPr>
            <w:tcW w:w="5100" w:type="dxa"/>
            <w:vAlign w:val="bottom"/>
          </w:tcPr>
          <w:p>
            <w:pPr>
              <w:spacing w:after="0"/>
              <w:rPr>
                <w:sz w:val="20"/>
                <w:szCs w:val="20"/>
                <w:color w:val="auto"/>
              </w:rPr>
            </w:pPr>
            <w:r>
              <w:rPr>
                <w:rFonts w:ascii="Courier New" w:cs="Courier New" w:eastAsia="Courier New" w:hAnsi="Courier New"/>
                <w:sz w:val="15"/>
                <w:szCs w:val="15"/>
                <w:color w:val="auto"/>
              </w:rPr>
              <w:t>(In US$Mn)</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vs.</w:t>
            </w:r>
          </w:p>
        </w:tc>
        <w:tc>
          <w:tcPr>
            <w:tcW w:w="800" w:type="dxa"/>
            <w:vAlign w:val="bottom"/>
          </w:tcPr>
          <w:p>
            <w:pPr>
              <w:jc w:val="center"/>
              <w:ind w:left="26"/>
              <w:spacing w:after="0"/>
              <w:rPr>
                <w:sz w:val="20"/>
                <w:szCs w:val="20"/>
                <w:color w:val="auto"/>
              </w:rPr>
            </w:pPr>
            <w:r>
              <w:rPr>
                <w:rFonts w:ascii="Courier New" w:cs="Courier New" w:eastAsia="Courier New" w:hAnsi="Courier New"/>
                <w:sz w:val="15"/>
                <w:szCs w:val="15"/>
                <w:color w:val="auto"/>
                <w:w w:val="94"/>
              </w:rPr>
              <w:t>4Q01</w:t>
            </w:r>
          </w:p>
        </w:tc>
      </w:tr>
      <w:tr>
        <w:trPr>
          <w:trHeight w:val="171"/>
        </w:trPr>
        <w:tc>
          <w:tcPr>
            <w:tcW w:w="5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3Q02</w:t>
            </w:r>
          </w:p>
        </w:tc>
        <w:tc>
          <w:tcPr>
            <w:tcW w:w="800" w:type="dxa"/>
            <w:vAlign w:val="bottom"/>
          </w:tcPr>
          <w:p>
            <w:pPr>
              <w:spacing w:after="0"/>
              <w:rPr>
                <w:sz w:val="14"/>
                <w:szCs w:val="14"/>
                <w:color w:val="auto"/>
              </w:rPr>
            </w:pP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860" w:type="dxa"/>
            <w:vAlign w:val="bottom"/>
            <w:gridSpan w:val="2"/>
          </w:tcPr>
          <w:p>
            <w:pPr>
              <w:spacing w:after="0"/>
              <w:rPr>
                <w:sz w:val="20"/>
                <w:szCs w:val="20"/>
                <w:color w:val="auto"/>
              </w:rPr>
            </w:pPr>
            <w:r>
              <w:rPr>
                <w:rFonts w:ascii="Courier New" w:cs="Courier New" w:eastAsia="Courier New" w:hAnsi="Courier New"/>
                <w:sz w:val="15"/>
                <w:szCs w:val="15"/>
                <w:color w:val="auto"/>
              </w:rPr>
              <w:t>Commissions for banking services(1)</w:t>
            </w:r>
          </w:p>
        </w:tc>
        <w:tc>
          <w:tcPr>
            <w:tcW w:w="14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41.9</w:t>
            </w:r>
          </w:p>
        </w:tc>
        <w:tc>
          <w:tcPr>
            <w:tcW w:w="7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43.8</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44.2</w:t>
            </w: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0.9%</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5.5%</w:t>
            </w:r>
          </w:p>
        </w:tc>
      </w:tr>
      <w:tr>
        <w:trPr>
          <w:trHeight w:val="171"/>
        </w:trPr>
        <w:tc>
          <w:tcPr>
            <w:tcW w:w="1640" w:type="dxa"/>
            <w:vAlign w:val="bottom"/>
          </w:tcPr>
          <w:p>
            <w:pPr>
              <w:spacing w:after="0"/>
              <w:rPr>
                <w:sz w:val="20"/>
                <w:szCs w:val="20"/>
                <w:color w:val="auto"/>
              </w:rPr>
            </w:pPr>
            <w:r>
              <w:rPr>
                <w:rFonts w:ascii="Courier New" w:cs="Courier New" w:eastAsia="Courier New" w:hAnsi="Courier New"/>
                <w:sz w:val="15"/>
                <w:szCs w:val="15"/>
                <w:color w:val="auto"/>
              </w:rPr>
              <w:t>Net premiums</w:t>
            </w:r>
          </w:p>
        </w:tc>
        <w:tc>
          <w:tcPr>
            <w:tcW w:w="2220" w:type="dxa"/>
            <w:vAlign w:val="bottom"/>
          </w:tcPr>
          <w:p>
            <w:pPr>
              <w:spacing w:after="0"/>
              <w:rPr>
                <w:sz w:val="14"/>
                <w:szCs w:val="14"/>
                <w:color w:val="auto"/>
              </w:rPr>
            </w:pPr>
          </w:p>
        </w:tc>
        <w:tc>
          <w:tcPr>
            <w:tcW w:w="14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27.2</w:t>
            </w:r>
          </w:p>
        </w:tc>
        <w:tc>
          <w:tcPr>
            <w:tcW w:w="7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31.3</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30.9</w:t>
            </w: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13.3%</w:t>
            </w:r>
          </w:p>
        </w:tc>
      </w:tr>
      <w:tr>
        <w:trPr>
          <w:trHeight w:val="171"/>
        </w:trPr>
        <w:tc>
          <w:tcPr>
            <w:tcW w:w="1640" w:type="dxa"/>
            <w:vAlign w:val="bottom"/>
          </w:tcPr>
          <w:p>
            <w:pPr>
              <w:spacing w:after="0"/>
              <w:rPr>
                <w:sz w:val="20"/>
                <w:szCs w:val="20"/>
                <w:color w:val="auto"/>
              </w:rPr>
            </w:pPr>
            <w:r>
              <w:rPr>
                <w:rFonts w:ascii="Courier New" w:cs="Courier New" w:eastAsia="Courier New" w:hAnsi="Courier New"/>
                <w:sz w:val="15"/>
                <w:szCs w:val="15"/>
                <w:color w:val="auto"/>
                <w:w w:val="99"/>
              </w:rPr>
              <w:t>Gains from sale of</w:t>
            </w:r>
          </w:p>
        </w:tc>
        <w:tc>
          <w:tcPr>
            <w:tcW w:w="2220" w:type="dxa"/>
            <w:vAlign w:val="bottom"/>
          </w:tcPr>
          <w:p>
            <w:pPr>
              <w:ind w:left="40"/>
              <w:spacing w:after="0"/>
              <w:rPr>
                <w:sz w:val="20"/>
                <w:szCs w:val="20"/>
                <w:color w:val="auto"/>
              </w:rPr>
            </w:pPr>
            <w:r>
              <w:rPr>
                <w:rFonts w:ascii="Courier New" w:cs="Courier New" w:eastAsia="Courier New" w:hAnsi="Courier New"/>
                <w:sz w:val="15"/>
                <w:szCs w:val="15"/>
                <w:color w:val="auto"/>
              </w:rPr>
              <w:t>securities</w:t>
            </w:r>
          </w:p>
        </w:tc>
        <w:tc>
          <w:tcPr>
            <w:tcW w:w="14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32.9</w:t>
            </w:r>
          </w:p>
        </w:tc>
        <w:tc>
          <w:tcPr>
            <w:tcW w:w="7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-5.7</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5.4</w:t>
            </w:r>
          </w:p>
        </w:tc>
        <w:tc>
          <w:tcPr>
            <w:tcW w:w="6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N/A</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-83.5%</w:t>
            </w:r>
          </w:p>
        </w:tc>
      </w:tr>
      <w:tr>
        <w:trPr>
          <w:trHeight w:val="171"/>
        </w:trPr>
        <w:tc>
          <w:tcPr>
            <w:tcW w:w="1640" w:type="dxa"/>
            <w:vAlign w:val="bottom"/>
          </w:tcPr>
          <w:p>
            <w:pPr>
              <w:spacing w:after="0"/>
              <w:rPr>
                <w:sz w:val="20"/>
                <w:szCs w:val="20"/>
                <w:color w:val="auto"/>
              </w:rPr>
            </w:pPr>
            <w:r>
              <w:rPr>
                <w:rFonts w:ascii="Courier New" w:cs="Courier New" w:eastAsia="Courier New" w:hAnsi="Courier New"/>
                <w:sz w:val="15"/>
                <w:szCs w:val="15"/>
                <w:color w:val="auto"/>
                <w:w w:val="99"/>
              </w:rPr>
              <w:t>Gains from foreign</w:t>
            </w:r>
          </w:p>
        </w:tc>
        <w:tc>
          <w:tcPr>
            <w:tcW w:w="2220" w:type="dxa"/>
            <w:vAlign w:val="bottom"/>
          </w:tcPr>
          <w:p>
            <w:pPr>
              <w:ind w:left="40"/>
              <w:spacing w:after="0"/>
              <w:rPr>
                <w:sz w:val="20"/>
                <w:szCs w:val="20"/>
                <w:color w:val="auto"/>
              </w:rPr>
            </w:pPr>
            <w:r>
              <w:rPr>
                <w:rFonts w:ascii="Courier New" w:cs="Courier New" w:eastAsia="Courier New" w:hAnsi="Courier New"/>
                <w:sz w:val="15"/>
                <w:szCs w:val="15"/>
                <w:color w:val="auto"/>
              </w:rPr>
              <w:t>exchange</w:t>
            </w:r>
          </w:p>
        </w:tc>
        <w:tc>
          <w:tcPr>
            <w:tcW w:w="14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4.0</w:t>
            </w:r>
          </w:p>
        </w:tc>
        <w:tc>
          <w:tcPr>
            <w:tcW w:w="7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5.5</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7.0</w:t>
            </w: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25.7%</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73.2%</w:t>
            </w:r>
          </w:p>
        </w:tc>
      </w:tr>
      <w:tr>
        <w:trPr>
          <w:trHeight w:val="171"/>
        </w:trPr>
        <w:tc>
          <w:tcPr>
            <w:tcW w:w="1640" w:type="dxa"/>
            <w:vAlign w:val="bottom"/>
          </w:tcPr>
          <w:p>
            <w:pPr>
              <w:spacing w:after="0"/>
              <w:rPr>
                <w:sz w:val="20"/>
                <w:szCs w:val="20"/>
                <w:color w:val="auto"/>
              </w:rPr>
            </w:pPr>
            <w:r>
              <w:rPr>
                <w:rFonts w:ascii="Courier New" w:cs="Courier New" w:eastAsia="Courier New" w:hAnsi="Courier New"/>
                <w:sz w:val="15"/>
                <w:szCs w:val="15"/>
                <w:color w:val="auto"/>
                <w:w w:val="99"/>
              </w:rPr>
              <w:t>Other non-interest</w:t>
            </w:r>
          </w:p>
        </w:tc>
        <w:tc>
          <w:tcPr>
            <w:tcW w:w="2220" w:type="dxa"/>
            <w:vAlign w:val="bottom"/>
          </w:tcPr>
          <w:p>
            <w:pPr>
              <w:ind w:left="40"/>
              <w:spacing w:after="0"/>
              <w:rPr>
                <w:sz w:val="20"/>
                <w:szCs w:val="20"/>
                <w:color w:val="auto"/>
              </w:rPr>
            </w:pPr>
            <w:r>
              <w:rPr>
                <w:rFonts w:ascii="Courier New" w:cs="Courier New" w:eastAsia="Courier New" w:hAnsi="Courier New"/>
                <w:sz w:val="15"/>
                <w:szCs w:val="15"/>
                <w:color w:val="auto"/>
              </w:rPr>
              <w:t>income</w:t>
            </w:r>
          </w:p>
        </w:tc>
        <w:tc>
          <w:tcPr>
            <w:tcW w:w="14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10.3</w:t>
            </w:r>
          </w:p>
        </w:tc>
        <w:tc>
          <w:tcPr>
            <w:tcW w:w="7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14.6</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17.3</w:t>
            </w: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18.5%</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68.5%</w:t>
            </w:r>
          </w:p>
        </w:tc>
      </w:tr>
      <w:tr>
        <w:trPr>
          <w:trHeight w:val="171"/>
        </w:trPr>
        <w:tc>
          <w:tcPr>
            <w:tcW w:w="1640" w:type="dxa"/>
            <w:vAlign w:val="bottom"/>
          </w:tcPr>
          <w:p>
            <w:pPr>
              <w:spacing w:after="0"/>
              <w:rPr>
                <w:sz w:val="20"/>
                <w:szCs w:val="20"/>
                <w:color w:val="auto"/>
              </w:rPr>
            </w:pPr>
            <w:r>
              <w:rPr>
                <w:rFonts w:ascii="Courier New" w:cs="Courier New" w:eastAsia="Courier New" w:hAnsi="Courier New"/>
                <w:sz w:val="15"/>
                <w:szCs w:val="15"/>
                <w:color w:val="auto"/>
                <w:w w:val="99"/>
              </w:rPr>
              <w:t>Total Non-Interest</w:t>
            </w:r>
          </w:p>
        </w:tc>
        <w:tc>
          <w:tcPr>
            <w:tcW w:w="2220" w:type="dxa"/>
            <w:vAlign w:val="bottom"/>
          </w:tcPr>
          <w:p>
            <w:pPr>
              <w:ind w:left="40"/>
              <w:spacing w:after="0"/>
              <w:rPr>
                <w:sz w:val="20"/>
                <w:szCs w:val="20"/>
                <w:color w:val="auto"/>
              </w:rPr>
            </w:pPr>
            <w:r>
              <w:rPr>
                <w:rFonts w:ascii="Courier New" w:cs="Courier New" w:eastAsia="Courier New" w:hAnsi="Courier New"/>
                <w:sz w:val="15"/>
                <w:szCs w:val="15"/>
                <w:color w:val="auto"/>
              </w:rPr>
              <w:t>Income</w:t>
            </w:r>
          </w:p>
        </w:tc>
        <w:tc>
          <w:tcPr>
            <w:tcW w:w="14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116.4</w:t>
            </w:r>
          </w:p>
        </w:tc>
        <w:tc>
          <w:tcPr>
            <w:tcW w:w="7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89.6</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104.8</w:t>
            </w: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16.9%</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24" w:lineRule="exact"/>
        <w:rPr>
          <w:sz w:val="20"/>
          <w:szCs w:val="20"/>
          <w:color w:val="auto"/>
        </w:rPr>
      </w:pPr>
    </w:p>
    <w:p>
      <w:pPr>
        <w:ind w:left="449" w:right="3119" w:hanging="449"/>
        <w:spacing w:after="0"/>
        <w:tabs>
          <w:tab w:leader="none" w:pos="449"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Credicorp's results show reclassifications by BCP, made on prior periods for comparison purposes, in the income from banking fees and general expenses concepts, of expenses incurred to provide certain services and recovered from clients through fees. Starting in 2Q02, financial statements show fee income net of these expenses, which were previously reported as part of general expenses.</w:t>
      </w:r>
    </w:p>
    <w:p>
      <w:pPr>
        <w:spacing w:after="0" w:line="172" w:lineRule="exact"/>
        <w:rPr>
          <w:sz w:val="20"/>
          <w:szCs w:val="20"/>
          <w:color w:val="auto"/>
        </w:rPr>
      </w:pPr>
    </w:p>
    <w:p>
      <w:pPr>
        <w:ind w:left="349"/>
        <w:spacing w:after="0"/>
        <w:rPr>
          <w:sz w:val="20"/>
          <w:szCs w:val="20"/>
          <w:color w:val="auto"/>
        </w:rPr>
      </w:pPr>
      <w:r>
        <w:rPr>
          <w:rFonts w:ascii="Courier New" w:cs="Courier New" w:eastAsia="Courier New" w:hAnsi="Courier New"/>
          <w:sz w:val="15"/>
          <w:szCs w:val="15"/>
          <w:color w:val="auto"/>
        </w:rPr>
        <w:t>I.3 OTHER NON-INTEREST EXPENSES</w:t>
      </w:r>
    </w:p>
    <w:p>
      <w:pPr>
        <w:spacing w:after="0" w:line="17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Other non-interest expenses, which include provisions for assets received</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in lieu of loan repayment and employee profit sharing expense, amounted to</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US$113.5 million in fourth quarter 2002, 10.3% higher than in the same period of</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the previous year. Higher expenses are principally explained by BCP's US$4.0</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million non-recurrent expenses (see Section II.4), expense from Banco Santander</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Central Hispano Peru ("BSCH Peru") acquired by BCP (see Sections II.1 and II.5)</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of US$3.5 million, and US$3.0 million due to severance payments for personnel</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reduction and the closing of BCP's New York office. Credicorp's other expense</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components had the following variations:</w:t>
      </w:r>
    </w:p>
    <w:p>
      <w:pPr>
        <w:spacing w:after="0" w:line="34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28"/>
          </w:cols>
          <w:pgMar w:left="231" w:top="628" w:right="1440" w:bottom="1440" w:gutter="0" w:footer="0" w:header="0"/>
        </w:sectPr>
      </w:pPr>
    </w:p>
    <w:bookmarkStart w:id="11" w:name="page12"/>
    <w:bookmarkEnd w:id="11"/>
    <w:tbl>
      <w:tblPr>
        <w:tblLayout w:type="fixed"/>
        <w:tblInd w:w="9" w:type="dxa"/>
        <w:tblCellMar>
          <w:top w:w="0" w:type="dxa"/>
          <w:left w:w="0" w:type="dxa"/>
          <w:bottom w:w="0" w:type="dxa"/>
          <w:right w:w="0" w:type="dxa"/>
        </w:tblCellMar>
      </w:tblPr>
      <w:tr>
        <w:trPr>
          <w:trHeight w:val="170"/>
        </w:trPr>
        <w:tc>
          <w:tcPr>
            <w:tcW w:w="4960" w:type="dxa"/>
            <w:vAlign w:val="bottom"/>
          </w:tcPr>
          <w:p>
            <w:pPr>
              <w:ind w:left="4340"/>
              <w:spacing w:after="0"/>
              <w:rPr>
                <w:sz w:val="20"/>
                <w:szCs w:val="20"/>
                <w:color w:val="auto"/>
              </w:rPr>
            </w:pPr>
            <w:r>
              <w:rPr>
                <w:rFonts w:ascii="Courier New" w:cs="Courier New" w:eastAsia="Courier New" w:hAnsi="Courier New"/>
                <w:sz w:val="15"/>
                <w:szCs w:val="15"/>
                <w:color w:val="auto"/>
              </w:rPr>
              <w:t>4Q01</w:t>
            </w:r>
          </w:p>
        </w:tc>
        <w:tc>
          <w:tcPr>
            <w:tcW w:w="940" w:type="dxa"/>
            <w:vAlign w:val="bottom"/>
          </w:tcPr>
          <w:p>
            <w:pPr>
              <w:ind w:left="260"/>
              <w:spacing w:after="0"/>
              <w:rPr>
                <w:sz w:val="20"/>
                <w:szCs w:val="20"/>
                <w:color w:val="auto"/>
              </w:rPr>
            </w:pPr>
            <w:r>
              <w:rPr>
                <w:rFonts w:ascii="Courier New" w:cs="Courier New" w:eastAsia="Courier New" w:hAnsi="Courier New"/>
                <w:sz w:val="15"/>
                <w:szCs w:val="15"/>
                <w:color w:val="auto"/>
              </w:rPr>
              <w:t>3Q02</w:t>
            </w:r>
          </w:p>
        </w:tc>
        <w:tc>
          <w:tcPr>
            <w:tcW w:w="1720" w:type="dxa"/>
            <w:vAlign w:val="bottom"/>
          </w:tcPr>
          <w:p>
            <w:pPr>
              <w:ind w:left="300"/>
              <w:spacing w:after="0"/>
              <w:rPr>
                <w:sz w:val="20"/>
                <w:szCs w:val="20"/>
                <w:color w:val="auto"/>
              </w:rPr>
            </w:pPr>
            <w:r>
              <w:rPr>
                <w:rFonts w:ascii="Courier New" w:cs="Courier New" w:eastAsia="Courier New" w:hAnsi="Courier New"/>
                <w:sz w:val="15"/>
                <w:szCs w:val="15"/>
                <w:color w:val="auto"/>
              </w:rPr>
              <w:t>4Q02   4Q02 vs.</w:t>
            </w:r>
          </w:p>
        </w:tc>
        <w:tc>
          <w:tcPr>
            <w:tcW w:w="800" w:type="dxa"/>
            <w:vAlign w:val="bottom"/>
          </w:tcPr>
          <w:p>
            <w:pPr>
              <w:jc w:val="center"/>
              <w:ind w:left="26"/>
              <w:spacing w:after="0"/>
              <w:rPr>
                <w:sz w:val="20"/>
                <w:szCs w:val="20"/>
                <w:color w:val="auto"/>
              </w:rPr>
            </w:pPr>
            <w:r>
              <w:rPr>
                <w:rFonts w:ascii="Courier New" w:cs="Courier New" w:eastAsia="Courier New" w:hAnsi="Courier New"/>
                <w:sz w:val="15"/>
                <w:szCs w:val="15"/>
                <w:color w:val="auto"/>
                <w:w w:val="97"/>
              </w:rPr>
              <w:t>4Q02 vs.</w:t>
            </w:r>
          </w:p>
        </w:tc>
      </w:tr>
      <w:tr>
        <w:trPr>
          <w:trHeight w:val="171"/>
        </w:trPr>
        <w:tc>
          <w:tcPr>
            <w:tcW w:w="4960" w:type="dxa"/>
            <w:vAlign w:val="bottom"/>
          </w:tcPr>
          <w:p>
            <w:pPr>
              <w:spacing w:after="0"/>
              <w:rPr>
                <w:sz w:val="20"/>
                <w:szCs w:val="20"/>
                <w:color w:val="auto"/>
              </w:rPr>
            </w:pPr>
            <w:r>
              <w:rPr>
                <w:rFonts w:ascii="Courier New" w:cs="Courier New" w:eastAsia="Courier New" w:hAnsi="Courier New"/>
                <w:sz w:val="15"/>
                <w:szCs w:val="15"/>
                <w:color w:val="auto"/>
              </w:rPr>
              <w:t>(% change and US$Mn)</w:t>
            </w:r>
          </w:p>
        </w:tc>
        <w:tc>
          <w:tcPr>
            <w:tcW w:w="940" w:type="dxa"/>
            <w:vAlign w:val="bottom"/>
          </w:tcPr>
          <w:p>
            <w:pPr>
              <w:spacing w:after="0"/>
              <w:rPr>
                <w:sz w:val="14"/>
                <w:szCs w:val="14"/>
                <w:color w:val="auto"/>
              </w:rPr>
            </w:pPr>
          </w:p>
        </w:tc>
        <w:tc>
          <w:tcPr>
            <w:tcW w:w="1720" w:type="dxa"/>
            <w:vAlign w:val="bottom"/>
          </w:tcPr>
          <w:p>
            <w:pPr>
              <w:ind w:left="1100"/>
              <w:spacing w:after="0"/>
              <w:rPr>
                <w:sz w:val="20"/>
                <w:szCs w:val="20"/>
                <w:color w:val="auto"/>
              </w:rPr>
            </w:pPr>
            <w:r>
              <w:rPr>
                <w:rFonts w:ascii="Courier New" w:cs="Courier New" w:eastAsia="Courier New" w:hAnsi="Courier New"/>
                <w:sz w:val="15"/>
                <w:szCs w:val="15"/>
                <w:color w:val="auto"/>
              </w:rPr>
              <w:t>3Q02</w:t>
            </w:r>
          </w:p>
        </w:tc>
        <w:tc>
          <w:tcPr>
            <w:tcW w:w="800" w:type="dxa"/>
            <w:vAlign w:val="bottom"/>
          </w:tcPr>
          <w:p>
            <w:pPr>
              <w:jc w:val="center"/>
              <w:ind w:left="6"/>
              <w:spacing w:after="0"/>
              <w:rPr>
                <w:sz w:val="20"/>
                <w:szCs w:val="20"/>
                <w:color w:val="auto"/>
              </w:rPr>
            </w:pPr>
            <w:r>
              <w:rPr>
                <w:rFonts w:ascii="Courier New" w:cs="Courier New" w:eastAsia="Courier New" w:hAnsi="Courier New"/>
                <w:sz w:val="15"/>
                <w:szCs w:val="15"/>
                <w:color w:val="auto"/>
                <w:w w:val="99"/>
              </w:rPr>
              <w:t>4Q01</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Salaries and</w:t>
            </w:r>
          </w:p>
        </w:tc>
        <w:tc>
          <w:tcPr>
            <w:tcW w:w="2760" w:type="dxa"/>
            <w:vAlign w:val="bottom"/>
          </w:tcPr>
          <w:p>
            <w:pPr>
              <w:ind w:left="40"/>
              <w:spacing w:after="0"/>
              <w:rPr>
                <w:sz w:val="20"/>
                <w:szCs w:val="20"/>
                <w:color w:val="auto"/>
              </w:rPr>
            </w:pPr>
            <w:r>
              <w:rPr>
                <w:rFonts w:ascii="Courier New" w:cs="Courier New" w:eastAsia="Courier New" w:hAnsi="Courier New"/>
                <w:sz w:val="15"/>
                <w:szCs w:val="15"/>
                <w:color w:val="auto"/>
              </w:rPr>
              <w:t>employee benefits</w:t>
            </w:r>
          </w:p>
        </w:tc>
        <w:tc>
          <w:tcPr>
            <w:tcW w:w="13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43.9</w:t>
            </w:r>
          </w:p>
        </w:tc>
        <w:tc>
          <w:tcPr>
            <w:tcW w:w="9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43.6</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49.5</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13.6%</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12.9%</w:t>
            </w:r>
          </w:p>
        </w:tc>
      </w:tr>
      <w:tr>
        <w:trPr>
          <w:trHeight w:val="171"/>
        </w:trPr>
        <w:tc>
          <w:tcPr>
            <w:tcW w:w="3860" w:type="dxa"/>
            <w:vAlign w:val="bottom"/>
            <w:gridSpan w:val="2"/>
          </w:tcPr>
          <w:p>
            <w:pPr>
              <w:spacing w:after="0"/>
              <w:rPr>
                <w:sz w:val="20"/>
                <w:szCs w:val="20"/>
                <w:color w:val="auto"/>
              </w:rPr>
            </w:pPr>
            <w:r>
              <w:rPr>
                <w:rFonts w:ascii="Courier New" w:cs="Courier New" w:eastAsia="Courier New" w:hAnsi="Courier New"/>
                <w:sz w:val="15"/>
                <w:szCs w:val="15"/>
                <w:color w:val="auto"/>
              </w:rPr>
              <w:t>General, administrative, and taxes(1)</w:t>
            </w:r>
          </w:p>
        </w:tc>
        <w:tc>
          <w:tcPr>
            <w:tcW w:w="13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31.2</w:t>
            </w:r>
          </w:p>
        </w:tc>
        <w:tc>
          <w:tcPr>
            <w:tcW w:w="9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33.0</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39.8</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20.8%</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27.7%</w:t>
            </w:r>
          </w:p>
        </w:tc>
      </w:tr>
      <w:tr>
        <w:trPr>
          <w:trHeight w:val="171"/>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Depreciation</w:t>
            </w:r>
          </w:p>
        </w:tc>
        <w:tc>
          <w:tcPr>
            <w:tcW w:w="2760" w:type="dxa"/>
            <w:vAlign w:val="bottom"/>
          </w:tcPr>
          <w:p>
            <w:pPr>
              <w:ind w:left="40"/>
              <w:spacing w:after="0"/>
              <w:rPr>
                <w:sz w:val="20"/>
                <w:szCs w:val="20"/>
                <w:color w:val="auto"/>
              </w:rPr>
            </w:pPr>
            <w:r>
              <w:rPr>
                <w:rFonts w:ascii="Courier New" w:cs="Courier New" w:eastAsia="Courier New" w:hAnsi="Courier New"/>
                <w:sz w:val="15"/>
                <w:szCs w:val="15"/>
                <w:color w:val="auto"/>
              </w:rPr>
              <w:t>and amortization</w:t>
            </w:r>
          </w:p>
        </w:tc>
        <w:tc>
          <w:tcPr>
            <w:tcW w:w="13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12.4</w:t>
            </w:r>
          </w:p>
        </w:tc>
        <w:tc>
          <w:tcPr>
            <w:tcW w:w="9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10.7</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11.5</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7.7%</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-6.9%</w:t>
            </w:r>
          </w:p>
        </w:tc>
      </w:tr>
      <w:tr>
        <w:trPr>
          <w:trHeight w:val="171"/>
        </w:trPr>
        <w:tc>
          <w:tcPr>
            <w:tcW w:w="110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2760" w:type="dxa"/>
            <w:vAlign w:val="bottom"/>
          </w:tcPr>
          <w:p>
            <w:pPr>
              <w:spacing w:after="0"/>
              <w:rPr>
                <w:sz w:val="14"/>
                <w:szCs w:val="14"/>
                <w:color w:val="auto"/>
              </w:rPr>
            </w:pPr>
          </w:p>
        </w:tc>
        <w:tc>
          <w:tcPr>
            <w:tcW w:w="13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15.4</w:t>
            </w:r>
          </w:p>
        </w:tc>
        <w:tc>
          <w:tcPr>
            <w:tcW w:w="9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7.6</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12.6</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66.8%</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-18.1%</w:t>
            </w:r>
          </w:p>
        </w:tc>
      </w:tr>
      <w:tr>
        <w:trPr>
          <w:trHeight w:val="171"/>
        </w:trPr>
        <w:tc>
          <w:tcPr>
            <w:tcW w:w="3860" w:type="dxa"/>
            <w:vAlign w:val="bottom"/>
            <w:gridSpan w:val="2"/>
          </w:tcPr>
          <w:p>
            <w:pPr>
              <w:spacing w:after="0"/>
              <w:rPr>
                <w:sz w:val="20"/>
                <w:szCs w:val="20"/>
                <w:color w:val="auto"/>
              </w:rPr>
            </w:pPr>
            <w:r>
              <w:rPr>
                <w:rFonts w:ascii="Courier New" w:cs="Courier New" w:eastAsia="Courier New" w:hAnsi="Courier New"/>
                <w:sz w:val="15"/>
                <w:szCs w:val="15"/>
                <w:color w:val="auto"/>
              </w:rPr>
              <w:t>Total Other Expenses</w:t>
            </w:r>
          </w:p>
        </w:tc>
        <w:tc>
          <w:tcPr>
            <w:tcW w:w="13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102.9</w:t>
            </w:r>
          </w:p>
        </w:tc>
        <w:tc>
          <w:tcPr>
            <w:tcW w:w="9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94.9</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113.5</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10.3%</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21" w:lineRule="exact"/>
        <w:rPr>
          <w:sz w:val="20"/>
          <w:szCs w:val="20"/>
          <w:color w:val="auto"/>
        </w:rPr>
      </w:pPr>
    </w:p>
    <w:p>
      <w:pPr>
        <w:ind w:left="449" w:hanging="449"/>
        <w:spacing w:after="0"/>
        <w:tabs>
          <w:tab w:leader="none" w:pos="449"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note in the preceding table.</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The efficiency ratio (adjusted operating expenses, determined by netting provisions for assets received in lieu of loan repayment, employee profit sharing expenses and non-recurrent expenses) as a percentage of total income, without extraordinary concepts, increased to 55.6% in the fourth quarter of 2002 having been 49.4% in the same period last year. Nevertheless, the efficiency ratio improved for full year 2002 to 52.0% from 52.9% in 2001. As explained in Section II.4, BCP registered US$4.0 million of non-recurrent expenses in this quarter, and US$12.5 million for total 2002. Adjusted operating expenses as a percentage of average total assets was 5.1% the current period, higher than 4.9% in the year-ago quarter.</w:t>
      </w:r>
    </w:p>
    <w:p>
      <w:pPr>
        <w:spacing w:after="0" w:line="175" w:lineRule="exact"/>
        <w:rPr>
          <w:sz w:val="20"/>
          <w:szCs w:val="20"/>
          <w:color w:val="auto"/>
        </w:rPr>
      </w:pPr>
    </w:p>
    <w:p>
      <w:pPr>
        <w:ind w:left="349"/>
        <w:spacing w:after="0"/>
        <w:rPr>
          <w:sz w:val="20"/>
          <w:szCs w:val="20"/>
          <w:color w:val="auto"/>
        </w:rPr>
      </w:pPr>
      <w:r>
        <w:rPr>
          <w:rFonts w:ascii="Courier New" w:cs="Courier New" w:eastAsia="Courier New" w:hAnsi="Courier New"/>
          <w:sz w:val="15"/>
          <w:szCs w:val="15"/>
          <w:color w:val="auto"/>
        </w:rPr>
        <w:t>I.4 ASSETS AND LIABILITIES</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Credicorp's totals assets were US$8.6 billion at December 31, 2002, 16.5% over the balance at the start of the quarter, and grows 13.6% compared to the ending balance of 2001. The loan portfolio as of December 31, 2002 totaled US$4.8 billion, increasing 24.5% during the present quarter, and are 18.5% higher than the year-ago balance. Deposits and other obligations reached US$6.8 billion at December 31, 2002, a 19.9% increase in the current quarter, and 18.0% in year 2001. Loans and deposits grew in the current quarter mostly due to volume from BSCH Peru. Due to banks and correspondents, which closed at US$309.7 million, remained almost unchanged during the present quarter, but declined 9.3% from US$341.5 million in December 2001.</w:t>
      </w:r>
    </w:p>
    <w:p>
      <w:pPr>
        <w:spacing w:after="0" w:line="200" w:lineRule="exact"/>
        <w:rPr>
          <w:sz w:val="20"/>
          <w:szCs w:val="20"/>
          <w:color w:val="auto"/>
        </w:rPr>
      </w:pPr>
    </w:p>
    <w:p>
      <w:pPr>
        <w:spacing w:after="0" w:line="317"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Loan quality indicators are shown in the following table:</w:t>
      </w:r>
    </w:p>
    <w:p>
      <w:pPr>
        <w:spacing w:after="0" w:line="17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600" w:type="dxa"/>
            <w:vAlign w:val="bottom"/>
          </w:tcPr>
          <w:p>
            <w:pPr>
              <w:spacing w:after="0"/>
              <w:rPr>
                <w:sz w:val="20"/>
                <w:szCs w:val="20"/>
                <w:color w:val="auto"/>
              </w:rPr>
            </w:pPr>
            <w:r>
              <w:rPr>
                <w:rFonts w:ascii="Courier New" w:cs="Courier New" w:eastAsia="Courier New" w:hAnsi="Courier New"/>
                <w:sz w:val="15"/>
                <w:szCs w:val="15"/>
                <w:color w:val="auto"/>
              </w:rPr>
              <w:t>(In US$Mn)</w:t>
            </w:r>
          </w:p>
        </w:tc>
        <w:tc>
          <w:tcPr>
            <w:tcW w:w="2280" w:type="dxa"/>
            <w:vAlign w:val="bottom"/>
          </w:tcPr>
          <w:p>
            <w:pPr>
              <w:ind w:left="1740"/>
              <w:spacing w:after="0"/>
              <w:rPr>
                <w:sz w:val="20"/>
                <w:szCs w:val="20"/>
                <w:color w:val="auto"/>
              </w:rPr>
            </w:pPr>
            <w:r>
              <w:rPr>
                <w:rFonts w:ascii="Courier New" w:cs="Courier New" w:eastAsia="Courier New" w:hAnsi="Courier New"/>
                <w:sz w:val="15"/>
                <w:szCs w:val="15"/>
                <w:color w:val="auto"/>
              </w:rPr>
              <w:t>4Q01</w:t>
            </w:r>
          </w:p>
        </w:tc>
        <w:tc>
          <w:tcPr>
            <w:tcW w:w="700" w:type="dxa"/>
            <w:vAlign w:val="bottom"/>
          </w:tcPr>
          <w:p>
            <w:pPr>
              <w:ind w:left="160"/>
              <w:spacing w:after="0"/>
              <w:rPr>
                <w:sz w:val="20"/>
                <w:szCs w:val="20"/>
                <w:color w:val="auto"/>
              </w:rPr>
            </w:pPr>
            <w:r>
              <w:rPr>
                <w:rFonts w:ascii="Courier New" w:cs="Courier New" w:eastAsia="Courier New" w:hAnsi="Courier New"/>
                <w:sz w:val="15"/>
                <w:szCs w:val="15"/>
                <w:color w:val="auto"/>
              </w:rPr>
              <w:t>3Q02</w:t>
            </w:r>
          </w:p>
        </w:tc>
        <w:tc>
          <w:tcPr>
            <w:tcW w:w="540" w:type="dxa"/>
            <w:vAlign w:val="bottom"/>
          </w:tcPr>
          <w:p>
            <w:pPr>
              <w:ind w:left="180"/>
              <w:spacing w:after="0"/>
              <w:rPr>
                <w:sz w:val="20"/>
                <w:szCs w:val="20"/>
                <w:color w:val="auto"/>
              </w:rPr>
            </w:pPr>
            <w:r>
              <w:rPr>
                <w:rFonts w:ascii="Courier New" w:cs="Courier New" w:eastAsia="Courier New" w:hAnsi="Courier New"/>
                <w:sz w:val="15"/>
                <w:szCs w:val="15"/>
                <w:color w:val="auto"/>
                <w:w w:val="94"/>
              </w:rPr>
              <w:t>4Q02</w:t>
            </w:r>
          </w:p>
        </w:tc>
      </w:tr>
    </w:tbl>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000" w:type="dxa"/>
            <w:vAlign w:val="bottom"/>
            <w:gridSpan w:val="4"/>
          </w:tcPr>
          <w:p>
            <w:pPr>
              <w:spacing w:after="0"/>
              <w:rPr>
                <w:sz w:val="20"/>
                <w:szCs w:val="20"/>
                <w:color w:val="auto"/>
              </w:rPr>
            </w:pPr>
            <w:r>
              <w:rPr>
                <w:rFonts w:ascii="Courier New" w:cs="Courier New" w:eastAsia="Courier New" w:hAnsi="Courier New"/>
                <w:sz w:val="15"/>
                <w:szCs w:val="15"/>
                <w:color w:val="auto"/>
              </w:rPr>
              <w:t>Total loans</w:t>
            </w:r>
          </w:p>
        </w:tc>
        <w:tc>
          <w:tcPr>
            <w:tcW w:w="1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4,064.5</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3,869.6</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5"/>
              </w:rPr>
              <w:t>4,817.7</w:t>
            </w:r>
          </w:p>
        </w:tc>
      </w:tr>
      <w:tr>
        <w:trPr>
          <w:trHeight w:val="171"/>
        </w:trPr>
        <w:tc>
          <w:tcPr>
            <w:tcW w:w="740" w:type="dxa"/>
            <w:vAlign w:val="bottom"/>
            <w:gridSpan w:val="2"/>
          </w:tcPr>
          <w:p>
            <w:pPr>
              <w:spacing w:after="0"/>
              <w:rPr>
                <w:sz w:val="20"/>
                <w:szCs w:val="20"/>
                <w:color w:val="auto"/>
              </w:rPr>
            </w:pPr>
            <w:r>
              <w:rPr>
                <w:rFonts w:ascii="Courier New" w:cs="Courier New" w:eastAsia="Courier New" w:hAnsi="Courier New"/>
                <w:sz w:val="15"/>
                <w:szCs w:val="15"/>
                <w:color w:val="auto"/>
                <w:w w:val="99"/>
              </w:rPr>
              <w:t>Past due</w:t>
            </w:r>
          </w:p>
        </w:tc>
        <w:tc>
          <w:tcPr>
            <w:tcW w:w="22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loans</w:t>
            </w:r>
          </w:p>
        </w:tc>
        <w:tc>
          <w:tcPr>
            <w:tcW w:w="1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350.8</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310.4</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405.3</w:t>
            </w:r>
          </w:p>
        </w:tc>
      </w:tr>
      <w:tr>
        <w:trPr>
          <w:trHeight w:val="171"/>
        </w:trPr>
        <w:tc>
          <w:tcPr>
            <w:tcW w:w="400" w:type="dxa"/>
            <w:vAlign w:val="bottom"/>
          </w:tcPr>
          <w:p>
            <w:pPr>
              <w:spacing w:after="0"/>
              <w:rPr>
                <w:sz w:val="20"/>
                <w:szCs w:val="20"/>
                <w:color w:val="auto"/>
              </w:rPr>
            </w:pPr>
            <w:r>
              <w:rPr>
                <w:rFonts w:ascii="Courier New" w:cs="Courier New" w:eastAsia="Courier New" w:hAnsi="Courier New"/>
                <w:sz w:val="15"/>
                <w:szCs w:val="15"/>
                <w:color w:val="auto"/>
              </w:rPr>
              <w:t>Loan</w:t>
            </w:r>
          </w:p>
        </w:tc>
        <w:tc>
          <w:tcPr>
            <w:tcW w:w="260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loss reserves</w:t>
            </w:r>
          </w:p>
        </w:tc>
        <w:tc>
          <w:tcPr>
            <w:tcW w:w="1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344.4</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310.8</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420.8</w:t>
            </w:r>
          </w:p>
        </w:tc>
      </w:tr>
      <w:tr>
        <w:trPr>
          <w:trHeight w:val="341"/>
        </w:trPr>
        <w:tc>
          <w:tcPr>
            <w:tcW w:w="400" w:type="dxa"/>
            <w:vAlign w:val="bottom"/>
          </w:tcPr>
          <w:p>
            <w:pPr>
              <w:spacing w:after="0"/>
              <w:rPr>
                <w:sz w:val="20"/>
                <w:szCs w:val="20"/>
                <w:color w:val="auto"/>
              </w:rPr>
            </w:pPr>
            <w:r>
              <w:rPr>
                <w:rFonts w:ascii="Courier New" w:cs="Courier New" w:eastAsia="Courier New" w:hAnsi="Courier New"/>
                <w:sz w:val="15"/>
                <w:szCs w:val="15"/>
                <w:color w:val="auto"/>
              </w:rPr>
              <w:t>Past</w:t>
            </w:r>
          </w:p>
        </w:tc>
        <w:tc>
          <w:tcPr>
            <w:tcW w:w="340" w:type="dxa"/>
            <w:vAlign w:val="bottom"/>
          </w:tcPr>
          <w:p>
            <w:pPr>
              <w:ind w:left="40"/>
              <w:spacing w:after="0"/>
              <w:rPr>
                <w:sz w:val="20"/>
                <w:szCs w:val="20"/>
                <w:color w:val="auto"/>
              </w:rPr>
            </w:pPr>
            <w:r>
              <w:rPr>
                <w:rFonts w:ascii="Courier New" w:cs="Courier New" w:eastAsia="Courier New" w:hAnsi="Courier New"/>
                <w:sz w:val="15"/>
                <w:szCs w:val="15"/>
                <w:color w:val="auto"/>
              </w:rPr>
              <w:t>due</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2080" w:type="dxa"/>
            <w:vAlign w:val="bottom"/>
          </w:tcPr>
          <w:p>
            <w:pPr>
              <w:ind w:left="40"/>
              <w:spacing w:after="0"/>
              <w:rPr>
                <w:sz w:val="20"/>
                <w:szCs w:val="20"/>
                <w:color w:val="auto"/>
              </w:rPr>
            </w:pPr>
            <w:r>
              <w:rPr>
                <w:rFonts w:ascii="Courier New" w:cs="Courier New" w:eastAsia="Courier New" w:hAnsi="Courier New"/>
                <w:sz w:val="15"/>
                <w:szCs w:val="15"/>
                <w:color w:val="auto"/>
              </w:rPr>
              <w:t>Total loans</w:t>
            </w:r>
          </w:p>
        </w:tc>
        <w:tc>
          <w:tcPr>
            <w:tcW w:w="1780" w:type="dxa"/>
            <w:vAlign w:val="bottom"/>
          </w:tcPr>
          <w:p>
            <w:pPr>
              <w:jc w:val="right"/>
              <w:spacing w:after="0"/>
              <w:rPr>
                <w:sz w:val="20"/>
                <w:szCs w:val="20"/>
                <w:color w:val="auto"/>
              </w:rPr>
            </w:pPr>
            <w:r>
              <w:rPr>
                <w:rFonts w:ascii="Courier New" w:cs="Courier New" w:eastAsia="Courier New" w:hAnsi="Courier New"/>
                <w:sz w:val="15"/>
                <w:szCs w:val="15"/>
                <w:color w:val="auto"/>
              </w:rPr>
              <w:t>8.6%</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8.0%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8.4%</w:t>
            </w:r>
          </w:p>
        </w:tc>
      </w:tr>
      <w:tr>
        <w:trPr>
          <w:trHeight w:val="171"/>
        </w:trPr>
        <w:tc>
          <w:tcPr>
            <w:tcW w:w="740" w:type="dxa"/>
            <w:vAlign w:val="bottom"/>
            <w:gridSpan w:val="2"/>
          </w:tcPr>
          <w:p>
            <w:pPr>
              <w:spacing w:after="0"/>
              <w:rPr>
                <w:sz w:val="20"/>
                <w:szCs w:val="20"/>
                <w:color w:val="auto"/>
              </w:rPr>
            </w:pPr>
            <w:r>
              <w:rPr>
                <w:rFonts w:ascii="Courier New" w:cs="Courier New" w:eastAsia="Courier New" w:hAnsi="Courier New"/>
                <w:sz w:val="15"/>
                <w:szCs w:val="15"/>
                <w:color w:val="auto"/>
                <w:w w:val="99"/>
              </w:rPr>
              <w:t>Reserves</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2080" w:type="dxa"/>
            <w:vAlign w:val="bottom"/>
          </w:tcPr>
          <w:p>
            <w:pPr>
              <w:ind w:left="40"/>
              <w:spacing w:after="0"/>
              <w:rPr>
                <w:sz w:val="20"/>
                <w:szCs w:val="20"/>
                <w:color w:val="auto"/>
              </w:rPr>
            </w:pPr>
            <w:r>
              <w:rPr>
                <w:rFonts w:ascii="Courier New" w:cs="Courier New" w:eastAsia="Courier New" w:hAnsi="Courier New"/>
                <w:sz w:val="15"/>
                <w:szCs w:val="15"/>
                <w:color w:val="auto"/>
              </w:rPr>
              <w:t>Past due</w:t>
            </w:r>
          </w:p>
        </w:tc>
        <w:tc>
          <w:tcPr>
            <w:tcW w:w="1780" w:type="dxa"/>
            <w:vAlign w:val="bottom"/>
          </w:tcPr>
          <w:p>
            <w:pPr>
              <w:jc w:val="right"/>
              <w:spacing w:after="0"/>
              <w:rPr>
                <w:sz w:val="20"/>
                <w:szCs w:val="20"/>
                <w:color w:val="auto"/>
              </w:rPr>
            </w:pPr>
            <w:r>
              <w:rPr>
                <w:rFonts w:ascii="Courier New" w:cs="Courier New" w:eastAsia="Courier New" w:hAnsi="Courier New"/>
                <w:sz w:val="15"/>
                <w:szCs w:val="15"/>
                <w:color w:val="auto"/>
              </w:rPr>
              <w:t>98.2%</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100.1%</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103.8%</w:t>
            </w:r>
          </w:p>
        </w:tc>
      </w:tr>
    </w:tbl>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345" w:lineRule="exact"/>
        <w:rPr>
          <w:sz w:val="20"/>
          <w:szCs w:val="20"/>
          <w:color w:val="auto"/>
        </w:rPr>
      </w:pPr>
    </w:p>
    <w:p>
      <w:pPr>
        <w:jc w:val="both"/>
        <w:ind w:left="9" w:right="3759" w:firstLine="444"/>
        <w:spacing w:after="0" w:line="239" w:lineRule="auto"/>
        <w:rPr>
          <w:sz w:val="20"/>
          <w:szCs w:val="20"/>
          <w:color w:val="auto"/>
        </w:rPr>
      </w:pPr>
      <w:r>
        <w:rPr>
          <w:rFonts w:ascii="Courier New" w:cs="Courier New" w:eastAsia="Courier New" w:hAnsi="Courier New"/>
          <w:sz w:val="15"/>
          <w:szCs w:val="15"/>
          <w:color w:val="auto"/>
        </w:rPr>
        <w:t>The balance of past due loans increased from US$310.4 million in the preceding quarter to US$405.3 million at the end of 2002, which included US$116.3 milion from BSCH Peru (see Section II.5), and after charge-offs amounting to US$34.5 million.</w:t>
      </w:r>
    </w:p>
    <w:p>
      <w:pPr>
        <w:spacing w:after="0" w:line="344"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28"/>
          </w:cols>
          <w:pgMar w:left="231" w:top="969" w:right="1440" w:bottom="1440" w:gutter="0" w:footer="0" w:header="0"/>
        </w:sectPr>
      </w:pPr>
    </w:p>
    <w:bookmarkStart w:id="12" w:name="page13"/>
    <w:bookmarkEnd w:id="12"/>
    <w:p>
      <w:pPr>
        <w:ind w:left="349"/>
        <w:spacing w:after="0"/>
        <w:rPr>
          <w:sz w:val="20"/>
          <w:szCs w:val="20"/>
          <w:color w:val="auto"/>
        </w:rPr>
      </w:pPr>
      <w:r>
        <w:rPr>
          <w:rFonts w:ascii="Courier New" w:cs="Courier New" w:eastAsia="Courier New" w:hAnsi="Courier New"/>
          <w:sz w:val="15"/>
          <w:szCs w:val="15"/>
          <w:color w:val="auto"/>
        </w:rPr>
        <w:t>I.5 SUBSIDIARIES</w:t>
      </w:r>
    </w:p>
    <w:p>
      <w:pPr>
        <w:spacing w:after="0" w:line="174" w:lineRule="exact"/>
        <w:rPr>
          <w:sz w:val="20"/>
          <w:szCs w:val="20"/>
          <w:color w:val="auto"/>
        </w:rPr>
      </w:pPr>
    </w:p>
    <w:p>
      <w:pPr>
        <w:ind w:left="9" w:right="3299" w:firstLine="444"/>
        <w:spacing w:after="0" w:line="238" w:lineRule="auto"/>
        <w:rPr>
          <w:sz w:val="20"/>
          <w:szCs w:val="20"/>
          <w:color w:val="auto"/>
        </w:rPr>
      </w:pPr>
      <w:r>
        <w:rPr>
          <w:rFonts w:ascii="Courier New" w:cs="Courier New" w:eastAsia="Courier New" w:hAnsi="Courier New"/>
          <w:sz w:val="15"/>
          <w:szCs w:val="15"/>
          <w:color w:val="auto"/>
        </w:rPr>
        <w:t>Credicorp's principal subsidiaries contributed to consolidated net income as follows:</w:t>
      </w:r>
    </w:p>
    <w:p>
      <w:pPr>
        <w:spacing w:after="0" w:line="200" w:lineRule="exact"/>
        <w:rPr>
          <w:sz w:val="20"/>
          <w:szCs w:val="20"/>
          <w:color w:val="auto"/>
        </w:rPr>
      </w:pPr>
    </w:p>
    <w:p>
      <w:pPr>
        <w:spacing w:after="0" w:line="314"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1640" w:type="dxa"/>
            <w:vAlign w:val="bottom"/>
          </w:tcPr>
          <w:p>
            <w:pPr>
              <w:spacing w:after="0"/>
              <w:rPr>
                <w:sz w:val="20"/>
                <w:szCs w:val="20"/>
                <w:color w:val="auto"/>
              </w:rPr>
            </w:pPr>
            <w:r>
              <w:rPr>
                <w:rFonts w:ascii="Courier New" w:cs="Courier New" w:eastAsia="Courier New" w:hAnsi="Courier New"/>
                <w:sz w:val="15"/>
                <w:szCs w:val="15"/>
                <w:color w:val="auto"/>
              </w:rPr>
              <w:t>(US$Mn)</w:t>
            </w:r>
          </w:p>
        </w:tc>
        <w:tc>
          <w:tcPr>
            <w:tcW w:w="1680" w:type="dxa"/>
            <w:vAlign w:val="bottom"/>
          </w:tcPr>
          <w:p>
            <w:pPr>
              <w:ind w:left="1020"/>
              <w:spacing w:after="0"/>
              <w:rPr>
                <w:sz w:val="20"/>
                <w:szCs w:val="20"/>
                <w:color w:val="auto"/>
              </w:rPr>
            </w:pPr>
            <w:r>
              <w:rPr>
                <w:rFonts w:ascii="Courier New" w:cs="Courier New" w:eastAsia="Courier New" w:hAnsi="Courier New"/>
                <w:sz w:val="15"/>
                <w:szCs w:val="15"/>
                <w:color w:val="auto"/>
              </w:rPr>
              <w:t>4Q01</w:t>
            </w:r>
          </w:p>
        </w:tc>
        <w:tc>
          <w:tcPr>
            <w:tcW w:w="980" w:type="dxa"/>
            <w:vAlign w:val="bottom"/>
          </w:tcPr>
          <w:p>
            <w:pPr>
              <w:ind w:left="300"/>
              <w:spacing w:after="0"/>
              <w:rPr>
                <w:sz w:val="20"/>
                <w:szCs w:val="20"/>
                <w:color w:val="auto"/>
              </w:rPr>
            </w:pPr>
            <w:r>
              <w:rPr>
                <w:rFonts w:ascii="Courier New" w:cs="Courier New" w:eastAsia="Courier New" w:hAnsi="Courier New"/>
                <w:sz w:val="15"/>
                <w:szCs w:val="15"/>
                <w:color w:val="auto"/>
              </w:rPr>
              <w:t>3Q02</w:t>
            </w:r>
          </w:p>
        </w:tc>
        <w:tc>
          <w:tcPr>
            <w:tcW w:w="1060" w:type="dxa"/>
            <w:vAlign w:val="bottom"/>
          </w:tcPr>
          <w:p>
            <w:pPr>
              <w:ind w:left="300"/>
              <w:spacing w:after="0"/>
              <w:rPr>
                <w:sz w:val="20"/>
                <w:szCs w:val="20"/>
                <w:color w:val="auto"/>
              </w:rPr>
            </w:pPr>
            <w:r>
              <w:rPr>
                <w:rFonts w:ascii="Courier New" w:cs="Courier New" w:eastAsia="Courier New" w:hAnsi="Courier New"/>
                <w:sz w:val="15"/>
                <w:szCs w:val="15"/>
                <w:color w:val="auto"/>
              </w:rPr>
              <w:t>4Q02</w:t>
            </w:r>
          </w:p>
        </w:tc>
        <w:tc>
          <w:tcPr>
            <w:tcW w:w="1100" w:type="dxa"/>
            <w:vAlign w:val="bottom"/>
          </w:tcPr>
          <w:p>
            <w:pPr>
              <w:ind w:left="400"/>
              <w:spacing w:after="0"/>
              <w:rPr>
                <w:sz w:val="20"/>
                <w:szCs w:val="20"/>
                <w:color w:val="auto"/>
              </w:rPr>
            </w:pPr>
            <w:r>
              <w:rPr>
                <w:rFonts w:ascii="Courier New" w:cs="Courier New" w:eastAsia="Courier New" w:hAnsi="Courier New"/>
                <w:sz w:val="15"/>
                <w:szCs w:val="15"/>
                <w:color w:val="auto"/>
              </w:rPr>
              <w:t>12m01</w:t>
            </w:r>
          </w:p>
        </w:tc>
        <w:tc>
          <w:tcPr>
            <w:tcW w:w="720" w:type="dxa"/>
            <w:vAlign w:val="bottom"/>
          </w:tcPr>
          <w:p>
            <w:pPr>
              <w:ind w:left="280"/>
              <w:spacing w:after="0"/>
              <w:rPr>
                <w:sz w:val="20"/>
                <w:szCs w:val="20"/>
                <w:color w:val="auto"/>
              </w:rPr>
            </w:pPr>
            <w:r>
              <w:rPr>
                <w:rFonts w:ascii="Courier New" w:cs="Courier New" w:eastAsia="Courier New" w:hAnsi="Courier New"/>
                <w:sz w:val="15"/>
                <w:szCs w:val="15"/>
                <w:color w:val="auto"/>
                <w:w w:val="93"/>
              </w:rPr>
              <w:t>12m02</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480" w:type="dxa"/>
            <w:vAlign w:val="bottom"/>
          </w:tcPr>
          <w:p>
            <w:pPr>
              <w:spacing w:after="0"/>
              <w:rPr>
                <w:sz w:val="20"/>
                <w:szCs w:val="20"/>
                <w:color w:val="auto"/>
              </w:rPr>
            </w:pPr>
            <w:r>
              <w:rPr>
                <w:rFonts w:ascii="Courier New" w:cs="Courier New" w:eastAsia="Courier New" w:hAnsi="Courier New"/>
                <w:sz w:val="15"/>
                <w:szCs w:val="15"/>
                <w:color w:val="auto"/>
              </w:rPr>
              <w:t>Banco de Credito BCP</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US$11.9</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US$10.0</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US$22.5</w:t>
            </w: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US$45.7</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US$59.8</w:t>
            </w: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Atlantic</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0.5</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0.1</w:t>
            </w:r>
          </w:p>
        </w:tc>
        <w:tc>
          <w:tcPr>
            <w:tcW w:w="10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0.2</w:t>
            </w:r>
          </w:p>
        </w:tc>
        <w:tc>
          <w:tcPr>
            <w:tcW w:w="9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4.6</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w:t>
            </w: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PPS</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19.4</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2.7</w:t>
            </w:r>
          </w:p>
        </w:tc>
        <w:tc>
          <w:tcPr>
            <w:tcW w:w="10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0.7</w:t>
            </w:r>
          </w:p>
        </w:tc>
        <w:tc>
          <w:tcPr>
            <w:tcW w:w="9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18.7</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7.0</w:t>
            </w: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Banco Tequendama</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-0.1</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-3.1</w:t>
            </w:r>
          </w:p>
        </w:tc>
        <w:tc>
          <w:tcPr>
            <w:tcW w:w="10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-0.9</w:t>
            </w:r>
          </w:p>
        </w:tc>
        <w:tc>
          <w:tcPr>
            <w:tcW w:w="9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-1.8</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-4.4</w:t>
            </w: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Credicorp and others*</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-5.2</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-6.6</w:t>
            </w:r>
          </w:p>
        </w:tc>
        <w:tc>
          <w:tcPr>
            <w:tcW w:w="10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-9.0</w:t>
            </w:r>
          </w:p>
        </w:tc>
        <w:tc>
          <w:tcPr>
            <w:tcW w:w="9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-12.7</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-21.6</w:t>
            </w:r>
          </w:p>
        </w:tc>
      </w:tr>
      <w:tr>
        <w:trPr>
          <w:trHeight w:val="341"/>
        </w:trPr>
        <w:tc>
          <w:tcPr>
            <w:tcW w:w="2480" w:type="dxa"/>
            <w:vAlign w:val="bottom"/>
          </w:tcPr>
          <w:p>
            <w:pPr>
              <w:ind w:left="160"/>
              <w:spacing w:after="0"/>
              <w:rPr>
                <w:sz w:val="20"/>
                <w:szCs w:val="20"/>
                <w:color w:val="auto"/>
              </w:rPr>
            </w:pPr>
            <w:r>
              <w:rPr>
                <w:rFonts w:ascii="Courier New" w:cs="Courier New" w:eastAsia="Courier New" w:hAnsi="Courier New"/>
                <w:sz w:val="15"/>
                <w:szCs w:val="15"/>
                <w:color w:val="auto"/>
              </w:rPr>
              <w:t>Consolidated Net Income</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US$26.5</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US$ 3.1</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US$ 13.5</w:t>
            </w: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US$54.5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US$42.4</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24" w:lineRule="exact"/>
        <w:rPr>
          <w:sz w:val="20"/>
          <w:szCs w:val="20"/>
          <w:color w:val="auto"/>
        </w:rPr>
      </w:pPr>
    </w:p>
    <w:p>
      <w:pPr>
        <w:ind w:left="449" w:right="3299" w:hanging="449"/>
        <w:spacing w:after="0" w:line="238" w:lineRule="auto"/>
        <w:tabs>
          <w:tab w:leader="none" w:pos="449"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Inversiones Credito and Grupo Capital (for contributions through Nov. 2001).</w:t>
      </w:r>
    </w:p>
    <w:p>
      <w:pPr>
        <w:spacing w:after="0" w:line="175"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In the preceding table, the Credicorp and others concept contribute a loss of US$9.0 million in the current quarter, which is mostly due to a US$3.0 million provision for impaired value of investments, and US$2.7 million of provisions on substandard loans transferred from Banco Tequendama. For total 2002, the US$21.6 millones negative contribution is due to Credicorp's US$12.8 million of losses assumed on behalf of Banco Tequendama, of which US$6.5 million corresponded to provisions for transferred loans, and US$6.3 million to exchange losses caused by the devaluation of the Colombian Peso and the Venezuelan Bolivar. Comparing with the previous year, in full year 2001 Credicorp had US$2.4 million cumulative provisions for loans transferred from Banco Tequendama, while there were no provisions for this concept in the fourth quarter of 2001.</w:t>
      </w:r>
    </w:p>
    <w:p>
      <w:pPr>
        <w:spacing w:after="0" w:line="180"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In the present quarter, Banco de Credito BCP contributed US$22.5 million to Credicorp's net income, while its results according to Peruvian accounting principles reported in Section II, amounted to US$12.1 million, with the difference mainly due to higher translation gains registered on Credicorp's records (US$1.2 million) compared to inflation adjustment losses (US$9.9 million), which includes exchange losses on foreign currency asset positions in BCP's accounting based on domestic currency.</w:t>
      </w:r>
    </w:p>
    <w:p>
      <w:pPr>
        <w:spacing w:after="0" w:line="176" w:lineRule="exact"/>
        <w:rPr>
          <w:sz w:val="20"/>
          <w:szCs w:val="20"/>
          <w:color w:val="auto"/>
        </w:rPr>
      </w:pPr>
    </w:p>
    <w:p>
      <w:pPr>
        <w:ind w:left="9" w:right="3119" w:firstLine="444"/>
        <w:spacing w:after="0" w:line="259" w:lineRule="auto"/>
        <w:rPr>
          <w:sz w:val="20"/>
          <w:szCs w:val="20"/>
          <w:color w:val="auto"/>
        </w:rPr>
      </w:pPr>
      <w:r>
        <w:rPr>
          <w:rFonts w:ascii="Courier New" w:cs="Courier New" w:eastAsia="Courier New" w:hAnsi="Courier New"/>
          <w:sz w:val="14"/>
          <w:szCs w:val="14"/>
          <w:color w:val="auto"/>
        </w:rPr>
        <w:t>PPS's contributions to Credicorp in full year 2001 (US$18.7 million) and in the fourth quarter of that year (US$19.4 million) are lower than results according to Peruvian accounting principles (US$60.9 million and US$60.1 million, respectively, see section IV), principally due to lower gains from the sale of Backus &amp; Johnston shares. From this operation, approximately a US$20 million gain was obtained by Credicorp, net of provisions, while a US$54 million net profit was recorded in PPS's local books. The lower profit is due to the higher cost of these shares as registered in Credicorp's books, according to market valuation at Credicorp's inception, compared to historic cost at PPS.</w:t>
      </w:r>
    </w:p>
    <w:p>
      <w:pPr>
        <w:spacing w:after="0" w:line="166" w:lineRule="exact"/>
        <w:rPr>
          <w:sz w:val="20"/>
          <w:szCs w:val="20"/>
          <w:color w:val="auto"/>
        </w:rPr>
      </w:pPr>
    </w:p>
    <w:p>
      <w:pPr>
        <w:ind w:left="9" w:right="3299" w:firstLine="444"/>
        <w:spacing w:after="0" w:line="238" w:lineRule="auto"/>
        <w:rPr>
          <w:sz w:val="20"/>
          <w:szCs w:val="20"/>
          <w:color w:val="auto"/>
        </w:rPr>
      </w:pPr>
      <w:r>
        <w:rPr>
          <w:rFonts w:ascii="Courier New" w:cs="Courier New" w:eastAsia="Courier New" w:hAnsi="Courier New"/>
          <w:sz w:val="15"/>
          <w:szCs w:val="15"/>
          <w:color w:val="auto"/>
        </w:rPr>
        <w:t>Below are brief comments on some of the subsidiaries not discussed in the following sections of this report:</w:t>
      </w:r>
    </w:p>
    <w:p>
      <w:pPr>
        <w:spacing w:after="0" w:line="172"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Banco de Credito de Bolivia ("BCB"), Bolivia</w:t>
      </w:r>
    </w:p>
    <w:p>
      <w:pPr>
        <w:spacing w:after="0" w:line="174" w:lineRule="exact"/>
        <w:rPr>
          <w:sz w:val="20"/>
          <w:szCs w:val="20"/>
          <w:color w:val="auto"/>
        </w:rPr>
      </w:pPr>
    </w:p>
    <w:p>
      <w:pPr>
        <w:ind w:left="9" w:right="3299" w:firstLine="444"/>
        <w:spacing w:after="0"/>
        <w:rPr>
          <w:sz w:val="20"/>
          <w:szCs w:val="20"/>
          <w:color w:val="auto"/>
        </w:rPr>
      </w:pPr>
      <w:r>
        <w:rPr>
          <w:rFonts w:ascii="Courier New" w:cs="Courier New" w:eastAsia="Courier New" w:hAnsi="Courier New"/>
          <w:sz w:val="15"/>
          <w:szCs w:val="15"/>
          <w:color w:val="auto"/>
        </w:rPr>
        <w:t>Credicorp holds a 99.7% interest in BCB, directly and through various subsidiaries, and it is consolidated within BCP's financial statements. The Bolivian economy, after an stagnant year 2001, is expected to grow 2% in 2002 and may not reach 3% growth in 2003, lower than previously expected due to the government's fiscal difficulties and lower foreign investments. President Sanchez de Lozada, that took office in August, has relaxed monetary policy, facing social unrest with measures in favor of social security and public pension plans, increasing difficulties in financing a budget deficit that amounts to 7% of GDP. The general price level grew only 2.5% in 2002 (0.02% as of June 2002), reflecting the weakness in demand, and continues to be below devaluation which was 9.8% in the year, with an ending exchange rate of 7.50 Bolivianos per U.S. Dollar.</w:t>
      </w:r>
    </w:p>
    <w:p>
      <w:pPr>
        <w:spacing w:after="0" w:line="348"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28"/>
          </w:cols>
          <w:pgMar w:left="231" w:top="628" w:right="1440" w:bottom="1440" w:gutter="0" w:footer="0" w:header="0"/>
        </w:sectPr>
      </w:pPr>
    </w:p>
    <w:bookmarkStart w:id="13" w:name="page14"/>
    <w:bookmarkEnd w:id="13"/>
    <w:p>
      <w:pPr>
        <w:ind w:right="3219" w:firstLine="444"/>
        <w:spacing w:after="0" w:line="259" w:lineRule="auto"/>
        <w:rPr>
          <w:sz w:val="20"/>
          <w:szCs w:val="20"/>
          <w:color w:val="auto"/>
        </w:rPr>
      </w:pPr>
      <w:r>
        <w:rPr>
          <w:rFonts w:ascii="Courier New" w:cs="Courier New" w:eastAsia="Courier New" w:hAnsi="Courier New"/>
          <w:sz w:val="14"/>
          <w:szCs w:val="14"/>
          <w:color w:val="auto"/>
        </w:rPr>
        <w:t>Loan volume in the banking system continued to decline, which has led the Superintendency to relax regulations on past due loans and loan restructuring requirements. After falling by 10.8% in 2000 and 16.4% in 2001, loans decreased 11.7% in 2002, to finish at US$2,691 million. Loan quality continued to deteriorate, from a past due ratio of 16.1% in December 2001, to 17.6% in December 2002, but improves from 21.6% at September 2002 mostly due to the regulation change that allows overdue loans with less than 30 days past due not to be registered as past due. Total deposits in the system amounted to US$2,729 million at December 2002, lower by 13.6% compared to December 2001.</w:t>
      </w:r>
    </w:p>
    <w:p>
      <w:pPr>
        <w:spacing w:after="0" w:line="166"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BCB's market share in deposits at the end of 2002 was 12.7%, similar to 12.5% at the end of September 2002, remaining as the fifth bank of twelve banks in the system. In terms of loans, BCB ranked as the fourth in the system with 11.7% market share, also similar to 11.9% it had last September.</w:t>
      </w:r>
    </w:p>
    <w:p>
      <w:pPr>
        <w:spacing w:after="0" w:line="176"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As of December 31, 2002, BCB had total loans of US$313.3 million which compares to the US$322.4 million at September 2002, and US$391.5 million at year-end 2001. At the end of the fourth quarter 2002, BCB's past due loans reached US$67.6 million, or 21.6% of total loans, lower than 25.3% at September 2002, but remains over 14.2% at December 2001. Coverage of past due loans with loan loss provisions increases from 57.6% as of December 2001 to 62.5% in December 2002.</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2002, loan provisions charged against results in BCB's records amounted to US$14.2 million, compared to US$18.2 million charged during 2001. During 2002, an additional US$16.0 million in loan loss provisions were incurred at the BCP level to cover BCB's impaired assets, while in full 2001 an additional US$13.6 million were provisioned by Credicorp (US$7.0 million) and at the BCP level (US$6.6 million).</w:t>
      </w:r>
    </w:p>
    <w:p>
      <w:pPr>
        <w:spacing w:after="0" w:line="175" w:lineRule="exact"/>
        <w:rPr>
          <w:sz w:val="20"/>
          <w:szCs w:val="20"/>
          <w:color w:val="auto"/>
        </w:rPr>
      </w:pPr>
    </w:p>
    <w:p>
      <w:pPr>
        <w:ind w:right="3579" w:firstLine="444"/>
        <w:spacing w:after="0" w:line="239" w:lineRule="auto"/>
        <w:rPr>
          <w:sz w:val="20"/>
          <w:szCs w:val="20"/>
          <w:color w:val="auto"/>
        </w:rPr>
      </w:pPr>
      <w:r>
        <w:rPr>
          <w:rFonts w:ascii="Courier New" w:cs="Courier New" w:eastAsia="Courier New" w:hAnsi="Courier New"/>
          <w:sz w:val="15"/>
          <w:szCs w:val="15"/>
          <w:color w:val="auto"/>
        </w:rPr>
        <w:t>Total year 2002 net income was only US$22 thousand, compared to US$1.3 million in 2001, decreasing principally due to lower net interest income, partially offset by higher gains on sale of securities.</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Banco Tequendama, Colombia</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Colombian GDP grew 1.6% through September 2002, with relatively high growth of 2.2% in the second quarter and 1.9% in the third. Economic activity continues giving slight signs of improvement, led by expansion of the construction and manufacturing sectors, that grew 6.3% and 2.4% in the third quarter, respectively.</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Following the 18.8% devaluation in the third quarter 2002, the exchange rate remained almost unchanged in the last quarter, ending 2002 at Co$2,865 per US$1, resulting in a cumulative devaluation of 25% in the year. Inflation increased from 0.5% in the third quarter 2002 to 1.6% in the current period, reaching 7.0% in the year, which exceeded the official 6% target.</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During the quarter, interest rates continued a slow decline, with the DTF rate decreasing from 8.91% last September to 7.70% at the end of December 2002. After several years of successive lower Central Bank intervention rates with the objective of helping the recovery of economic activity, in January 2003 rates were increased 100 basis points to control inflation.</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Banking system statistics show that loans decrease from US$15.7 billion at December 2001, to US$14.4 billion at the close of October 2002, with the past-due ratio increasing to 13.4%, from 10.3% at year-end 2001. Total deposits in the banking entities were US$18.7 billion at the end of October 2002, decreasing 16.2% since December 2001.</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31" w:right="1440" w:bottom="1440" w:gutter="0" w:footer="0" w:header="0"/>
        </w:sectPr>
      </w:pPr>
    </w:p>
    <w:bookmarkStart w:id="14" w:name="page15"/>
    <w:bookmarkEnd w:id="14"/>
    <w:p>
      <w:pPr>
        <w:ind w:right="3219" w:firstLine="444"/>
        <w:spacing w:after="0" w:line="239" w:lineRule="auto"/>
        <w:rPr>
          <w:sz w:val="20"/>
          <w:szCs w:val="20"/>
          <w:color w:val="auto"/>
        </w:rPr>
      </w:pPr>
      <w:r>
        <w:rPr>
          <w:rFonts w:ascii="Courier New" w:cs="Courier New" w:eastAsia="Courier New" w:hAnsi="Courier New"/>
          <w:sz w:val="15"/>
          <w:szCs w:val="15"/>
          <w:color w:val="auto"/>
        </w:rPr>
        <w:t>Banco Tequendama's loan market share, as of October 2002, was 1.43%, lower than 1.49% obtained in December 2001. At the same dates, deposit market share decreased to 0.74% from 0.78%.</w:t>
      </w:r>
    </w:p>
    <w:p>
      <w:pPr>
        <w:spacing w:after="0" w:line="17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As of December 31, 2002, Banco Tequendama's loans were US$211.7 million, remaining similar to the preceding quarter balance, but decreases from US$245.1 millon as of December 2001. At the end of 2002, deposits totaled US$154.1 million, decreasing slightly compared to US$159.2 million in September 2002, decreasing also from US$227.4 million at the year-ago period.</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The past due loan ratio was 4.3% in December 2002, improving from 4.7% at the end of last September, while coverage with provisions was 67.0%, compared to 72.7%,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31" w:right="1440" w:bottom="1440" w:gutter="0" w:footer="0" w:header="0"/>
        </w:sectPr>
      </w:pPr>
    </w:p>
    <w:bookmarkStart w:id="15" w:name="page16"/>
    <w:bookmarkEnd w:id="15"/>
    <w:p>
      <w:pPr>
        <w:ind w:left="1149"/>
        <w:spacing w:after="0"/>
        <w:rPr>
          <w:sz w:val="20"/>
          <w:szCs w:val="20"/>
          <w:color w:val="auto"/>
        </w:rPr>
      </w:pPr>
      <w:r>
        <w:rPr>
          <w:rFonts w:ascii="Courier New" w:cs="Courier New" w:eastAsia="Courier New" w:hAnsi="Courier New"/>
          <w:sz w:val="15"/>
          <w:szCs w:val="15"/>
          <w:color w:val="auto"/>
        </w:rPr>
        <w:t>II. BANCO DE CREDITO DEL PERU AND SUBSIDIARIES ("BCP")</w:t>
      </w:r>
    </w:p>
    <w:p>
      <w:pPr>
        <w:spacing w:after="0" w:line="342" w:lineRule="exact"/>
        <w:rPr>
          <w:sz w:val="20"/>
          <w:szCs w:val="20"/>
          <w:color w:val="auto"/>
        </w:rPr>
      </w:pPr>
    </w:p>
    <w:p>
      <w:pPr>
        <w:ind w:left="349"/>
        <w:spacing w:after="0"/>
        <w:rPr>
          <w:sz w:val="20"/>
          <w:szCs w:val="20"/>
          <w:color w:val="auto"/>
        </w:rPr>
      </w:pPr>
      <w:r>
        <w:rPr>
          <w:rFonts w:ascii="Courier New" w:cs="Courier New" w:eastAsia="Courier New" w:hAnsi="Courier New"/>
          <w:sz w:val="15"/>
          <w:szCs w:val="15"/>
          <w:color w:val="auto"/>
        </w:rPr>
        <w:t>II.1 NET INCOME</w:t>
      </w:r>
    </w:p>
    <w:p>
      <w:pPr>
        <w:spacing w:after="0" w:line="174" w:lineRule="exact"/>
        <w:rPr>
          <w:sz w:val="20"/>
          <w:szCs w:val="20"/>
          <w:color w:val="auto"/>
        </w:rPr>
      </w:pPr>
    </w:p>
    <w:p>
      <w:pPr>
        <w:ind w:left="9" w:right="4099" w:firstLine="355"/>
        <w:spacing w:after="0"/>
        <w:rPr>
          <w:sz w:val="20"/>
          <w:szCs w:val="20"/>
          <w:color w:val="auto"/>
        </w:rPr>
      </w:pPr>
      <w:r>
        <w:rPr>
          <w:rFonts w:ascii="Courier New" w:cs="Courier New" w:eastAsia="Courier New" w:hAnsi="Courier New"/>
          <w:sz w:val="15"/>
          <w:szCs w:val="15"/>
          <w:color w:val="auto"/>
        </w:rPr>
        <w:t>Consolidated net income for the year ended December 31, 2002 was S/.228.1 million (US$64.9 million), increasing 24.7% compared to net income of S/.182.9 million (US$52.1 million) in 2001. Net income for the quarter ended December 31, 2002 was S/.42.5 million (US$12.1 million), lower than S/.47.0 million (US$13.4 million) in the fourth quarter of 2001. Results in year 2002 increased compared to the previous year principally due to higher non-interest income and lower loan loss provisions, that offset decreased net interest income and higher operating expenses. These same changes are noted comparing fourth quarter 2002 net income with the year-ago period, except for the negative inflation adjustment result, due to the strenghtening of the Nuevo Sol exchange rate in the last quarter, explaining the lower current period profits.</w:t>
      </w:r>
    </w:p>
    <w:p>
      <w:pPr>
        <w:spacing w:after="0" w:line="200" w:lineRule="exact"/>
        <w:rPr>
          <w:sz w:val="20"/>
          <w:szCs w:val="20"/>
          <w:color w:val="auto"/>
        </w:rPr>
      </w:pPr>
    </w:p>
    <w:p>
      <w:pPr>
        <w:spacing w:after="0" w:line="31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BANCO DE CREDITO DEL PERU</w:t>
            </w:r>
          </w:p>
        </w:tc>
        <w:tc>
          <w:tcPr>
            <w:tcW w:w="21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AND SUBSIDIARIES</w:t>
            </w: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4960" w:type="dxa"/>
            <w:vAlign w:val="bottom"/>
            <w:gridSpan w:val="3"/>
          </w:tcPr>
          <w:p>
            <w:pPr>
              <w:jc w:val="right"/>
              <w:ind w:right="366"/>
              <w:spacing w:after="0"/>
              <w:rPr>
                <w:sz w:val="20"/>
                <w:szCs w:val="20"/>
                <w:color w:val="auto"/>
              </w:rPr>
            </w:pPr>
            <w:r>
              <w:rPr>
                <w:rFonts w:ascii="Courier New" w:cs="Courier New" w:eastAsia="Courier New" w:hAnsi="Courier New"/>
                <w:sz w:val="15"/>
                <w:szCs w:val="15"/>
                <w:color w:val="auto"/>
              </w:rPr>
              <w:t>SUMMARY OF RESULTS (1)</w:t>
            </w:r>
          </w:p>
        </w:tc>
        <w:tc>
          <w:tcPr>
            <w:tcW w:w="1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3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 constant S/. and U.S.$ millions,</w:t>
            </w:r>
          </w:p>
        </w:tc>
        <w:tc>
          <w:tcPr>
            <w:tcW w:w="310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except net income per share)</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41"/>
        </w:trPr>
        <w:tc>
          <w:tcPr>
            <w:tcW w:w="3000" w:type="dxa"/>
            <w:vAlign w:val="bottom"/>
          </w:tcPr>
          <w:p>
            <w:pPr>
              <w:spacing w:after="0"/>
              <w:rPr>
                <w:sz w:val="24"/>
                <w:szCs w:val="24"/>
                <w:color w:val="auto"/>
              </w:rPr>
            </w:pPr>
          </w:p>
        </w:tc>
        <w:tc>
          <w:tcPr>
            <w:tcW w:w="6940" w:type="dxa"/>
            <w:vAlign w:val="bottom"/>
            <w:gridSpan w:val="7"/>
          </w:tcPr>
          <w:p>
            <w:pPr>
              <w:jc w:val="center"/>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3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14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Three months ended</w:t>
            </w:r>
          </w:p>
        </w:tc>
        <w:tc>
          <w:tcPr>
            <w:tcW w:w="960" w:type="dxa"/>
            <w:vAlign w:val="bottom"/>
          </w:tcPr>
          <w:p>
            <w:pPr>
              <w:spacing w:after="0"/>
              <w:rPr>
                <w:sz w:val="14"/>
                <w:szCs w:val="14"/>
                <w:color w:val="auto"/>
              </w:rPr>
            </w:pPr>
          </w:p>
        </w:tc>
        <w:tc>
          <w:tcPr>
            <w:tcW w:w="2900" w:type="dxa"/>
            <w:vAlign w:val="bottom"/>
            <w:gridSpan w:val="3"/>
          </w:tcPr>
          <w:p>
            <w:pPr>
              <w:jc w:val="right"/>
              <w:ind w:right="646"/>
              <w:spacing w:after="0"/>
              <w:rPr>
                <w:sz w:val="20"/>
                <w:szCs w:val="20"/>
                <w:color w:val="auto"/>
              </w:rPr>
            </w:pPr>
            <w:r>
              <w:rPr>
                <w:rFonts w:ascii="Courier New" w:cs="Courier New" w:eastAsia="Courier New" w:hAnsi="Courier New"/>
                <w:sz w:val="15"/>
                <w:szCs w:val="15"/>
                <w:color w:val="auto"/>
              </w:rPr>
              <w:t>Twelve months ended</w:t>
            </w:r>
          </w:p>
        </w:tc>
      </w:tr>
      <w:tr>
        <w:trPr>
          <w:trHeight w:val="171"/>
        </w:trPr>
        <w:tc>
          <w:tcPr>
            <w:tcW w:w="3000" w:type="dxa"/>
            <w:vAlign w:val="bottom"/>
          </w:tcPr>
          <w:p>
            <w:pPr>
              <w:spacing w:after="0"/>
              <w:rPr>
                <w:sz w:val="14"/>
                <w:szCs w:val="14"/>
                <w:color w:val="auto"/>
              </w:rPr>
            </w:pPr>
          </w:p>
        </w:tc>
        <w:tc>
          <w:tcPr>
            <w:tcW w:w="6940" w:type="dxa"/>
            <w:vAlign w:val="bottom"/>
            <w:gridSpan w:val="7"/>
          </w:tcPr>
          <w:p>
            <w:pPr>
              <w:jc w:val="center"/>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300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31.12.01</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30.09.02</w:t>
            </w: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31.12.02</w:t>
            </w:r>
          </w:p>
        </w:tc>
        <w:tc>
          <w:tcPr>
            <w:tcW w:w="96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7"/>
              </w:rPr>
              <w:t>31.12.02</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31.12.01</w:t>
            </w: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31.12.02</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31.12.02</w:t>
            </w:r>
          </w:p>
        </w:tc>
      </w:tr>
      <w:tr>
        <w:trPr>
          <w:trHeight w:val="171"/>
        </w:trPr>
        <w:tc>
          <w:tcPr>
            <w:tcW w:w="3000" w:type="dxa"/>
            <w:vAlign w:val="bottom"/>
          </w:tcPr>
          <w:p>
            <w:pPr>
              <w:spacing w:after="0"/>
              <w:rPr>
                <w:sz w:val="14"/>
                <w:szCs w:val="14"/>
                <w:color w:val="auto"/>
              </w:rPr>
            </w:pPr>
          </w:p>
        </w:tc>
        <w:tc>
          <w:tcPr>
            <w:tcW w:w="6940" w:type="dxa"/>
            <w:vAlign w:val="bottom"/>
            <w:gridSpan w:val="7"/>
          </w:tcPr>
          <w:p>
            <w:pPr>
              <w:jc w:val="center"/>
              <w:spacing w:after="0"/>
              <w:rPr>
                <w:sz w:val="20"/>
                <w:szCs w:val="20"/>
                <w:color w:val="auto"/>
              </w:rPr>
            </w:pPr>
            <w:r>
              <w:rPr>
                <w:rFonts w:ascii="Courier New" w:cs="Courier New" w:eastAsia="Courier New" w:hAnsi="Courier New"/>
                <w:sz w:val="15"/>
                <w:szCs w:val="15"/>
                <w:color w:val="auto"/>
                <w:w w:val="98"/>
              </w:rPr>
              <w:t>------------------------------------------------------------------------------</w:t>
            </w:r>
          </w:p>
        </w:tc>
      </w:tr>
      <w:tr>
        <w:trPr>
          <w:trHeight w:val="341"/>
        </w:trPr>
        <w:tc>
          <w:tcPr>
            <w:tcW w:w="3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6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US$</w:t>
            </w: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8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US$</w:t>
            </w:r>
          </w:p>
        </w:tc>
      </w:tr>
      <w:tr>
        <w:trPr>
          <w:trHeight w:val="171"/>
        </w:trPr>
        <w:tc>
          <w:tcPr>
            <w:tcW w:w="3000" w:type="dxa"/>
            <w:vAlign w:val="bottom"/>
          </w:tcPr>
          <w:p>
            <w:pPr>
              <w:spacing w:after="0"/>
              <w:rPr>
                <w:sz w:val="20"/>
                <w:szCs w:val="20"/>
                <w:color w:val="auto"/>
              </w:rPr>
            </w:pPr>
            <w:r>
              <w:rPr>
                <w:rFonts w:ascii="Courier New" w:cs="Courier New" w:eastAsia="Courier New" w:hAnsi="Courier New"/>
                <w:sz w:val="15"/>
                <w:szCs w:val="15"/>
                <w:color w:val="auto"/>
              </w:rPr>
              <w:t>Net interest income</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289.4</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261.9</w:t>
            </w: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281.8</w:t>
            </w:r>
          </w:p>
        </w:tc>
        <w:tc>
          <w:tcPr>
            <w:tcW w:w="9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$80.2</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1,164.3</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1,098.2</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$312.5</w:t>
            </w:r>
          </w:p>
        </w:tc>
      </w:tr>
      <w:tr>
        <w:trPr>
          <w:trHeight w:val="171"/>
        </w:trPr>
        <w:tc>
          <w:tcPr>
            <w:tcW w:w="3000" w:type="dxa"/>
            <w:vAlign w:val="bottom"/>
          </w:tcPr>
          <w:p>
            <w:pPr>
              <w:spacing w:after="0"/>
              <w:rPr>
                <w:sz w:val="20"/>
                <w:szCs w:val="20"/>
                <w:color w:val="auto"/>
              </w:rPr>
            </w:pPr>
            <w:r>
              <w:rPr>
                <w:rFonts w:ascii="Courier New" w:cs="Courier New" w:eastAsia="Courier New" w:hAnsi="Courier New"/>
                <w:sz w:val="15"/>
                <w:szCs w:val="15"/>
                <w:color w:val="auto"/>
              </w:rPr>
              <w:t>Provisions for loan losses, net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113.7</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110.1</w:t>
            </w: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69.0</w:t>
            </w:r>
          </w:p>
        </w:tc>
        <w:tc>
          <w:tcPr>
            <w:tcW w:w="9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$19.6</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428.5</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369.7</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$105.2</w:t>
            </w:r>
          </w:p>
        </w:tc>
      </w:tr>
      <w:tr>
        <w:trPr>
          <w:trHeight w:val="171"/>
        </w:trPr>
        <w:tc>
          <w:tcPr>
            <w:tcW w:w="3000" w:type="dxa"/>
            <w:vAlign w:val="bottom"/>
          </w:tcPr>
          <w:p>
            <w:pPr>
              <w:spacing w:after="0"/>
              <w:rPr>
                <w:sz w:val="20"/>
                <w:szCs w:val="20"/>
                <w:color w:val="auto"/>
              </w:rPr>
            </w:pPr>
            <w:r>
              <w:rPr>
                <w:rFonts w:ascii="Courier New" w:cs="Courier New" w:eastAsia="Courier New" w:hAnsi="Courier New"/>
                <w:sz w:val="15"/>
                <w:szCs w:val="15"/>
                <w:color w:val="auto"/>
              </w:rPr>
              <w:t>Other income</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189.8</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195.1</w:t>
            </w: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212.4</w:t>
            </w:r>
          </w:p>
        </w:tc>
        <w:tc>
          <w:tcPr>
            <w:tcW w:w="9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$60.4</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675.8</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778.3</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$221.5</w:t>
            </w:r>
          </w:p>
        </w:tc>
      </w:tr>
      <w:tr>
        <w:trPr>
          <w:trHeight w:val="171"/>
        </w:trPr>
        <w:tc>
          <w:tcPr>
            <w:tcW w:w="3000" w:type="dxa"/>
            <w:vAlign w:val="bottom"/>
          </w:tcPr>
          <w:p>
            <w:pPr>
              <w:spacing w:after="0"/>
              <w:rPr>
                <w:sz w:val="20"/>
                <w:szCs w:val="20"/>
                <w:color w:val="auto"/>
              </w:rPr>
            </w:pPr>
            <w:r>
              <w:rPr>
                <w:rFonts w:ascii="Courier New" w:cs="Courier New" w:eastAsia="Courier New" w:hAnsi="Courier New"/>
                <w:sz w:val="15"/>
                <w:szCs w:val="15"/>
                <w:color w:val="auto"/>
              </w:rPr>
              <w:t>Other expenses</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295.9</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291.2</w:t>
            </w: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326.7</w:t>
            </w:r>
          </w:p>
        </w:tc>
        <w:tc>
          <w:tcPr>
            <w:tcW w:w="9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$93.0</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1,145.8</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1,201.5</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$341.9</w:t>
            </w:r>
          </w:p>
        </w:tc>
      </w:tr>
      <w:tr>
        <w:trPr>
          <w:trHeight w:val="171"/>
        </w:trPr>
        <w:tc>
          <w:tcPr>
            <w:tcW w:w="3000" w:type="dxa"/>
            <w:vAlign w:val="bottom"/>
          </w:tcPr>
          <w:p>
            <w:pPr>
              <w:spacing w:after="0"/>
              <w:rPr>
                <w:sz w:val="20"/>
                <w:szCs w:val="20"/>
                <w:color w:val="auto"/>
              </w:rPr>
            </w:pPr>
            <w:r>
              <w:rPr>
                <w:rFonts w:ascii="Courier New" w:cs="Courier New" w:eastAsia="Courier New" w:hAnsi="Courier New"/>
                <w:sz w:val="15"/>
                <w:szCs w:val="15"/>
                <w:color w:val="auto"/>
                <w:w w:val="97"/>
              </w:rPr>
              <w:t>Result from exposure  to inflation</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12.9</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27.3</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(34.6)</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($9.9)</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16.8</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$4.8</w:t>
            </w:r>
          </w:p>
        </w:tc>
      </w:tr>
      <w:tr>
        <w:trPr>
          <w:trHeight w:val="341"/>
        </w:trPr>
        <w:tc>
          <w:tcPr>
            <w:tcW w:w="3000" w:type="dxa"/>
            <w:vAlign w:val="bottom"/>
          </w:tcPr>
          <w:p>
            <w:pPr>
              <w:ind w:left="340"/>
              <w:spacing w:after="0"/>
              <w:rPr>
                <w:sz w:val="20"/>
                <w:szCs w:val="20"/>
                <w:color w:val="auto"/>
              </w:rPr>
            </w:pPr>
            <w:r>
              <w:rPr>
                <w:rFonts w:ascii="Courier New" w:cs="Courier New" w:eastAsia="Courier New" w:hAnsi="Courier New"/>
                <w:sz w:val="15"/>
                <w:szCs w:val="15"/>
                <w:color w:val="auto"/>
              </w:rPr>
              <w:t>Income before income tax</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82.4</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83.1</w:t>
            </w: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63.8</w:t>
            </w:r>
          </w:p>
        </w:tc>
        <w:tc>
          <w:tcPr>
            <w:tcW w:w="9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$18.2</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264.4</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322.0</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$91.6</w:t>
            </w:r>
          </w:p>
        </w:tc>
      </w:tr>
      <w:tr>
        <w:trPr>
          <w:trHeight w:val="171"/>
        </w:trPr>
        <w:tc>
          <w:tcPr>
            <w:tcW w:w="3000" w:type="dxa"/>
            <w:vAlign w:val="bottom"/>
          </w:tcPr>
          <w:p>
            <w:pPr>
              <w:spacing w:after="0"/>
              <w:rPr>
                <w:sz w:val="20"/>
                <w:szCs w:val="20"/>
                <w:color w:val="auto"/>
              </w:rPr>
            </w:pPr>
            <w:r>
              <w:rPr>
                <w:rFonts w:ascii="Courier New" w:cs="Courier New" w:eastAsia="Courier New" w:hAnsi="Courier New"/>
                <w:sz w:val="15"/>
                <w:szCs w:val="15"/>
                <w:color w:val="auto"/>
              </w:rPr>
              <w:t>Income Tax</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35.4</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21.9</w:t>
            </w: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21.3</w:t>
            </w:r>
          </w:p>
        </w:tc>
        <w:tc>
          <w:tcPr>
            <w:tcW w:w="9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$6.1</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81.5</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93.9</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$26.7</w:t>
            </w:r>
          </w:p>
        </w:tc>
      </w:tr>
      <w:tr>
        <w:trPr>
          <w:trHeight w:val="341"/>
        </w:trPr>
        <w:tc>
          <w:tcPr>
            <w:tcW w:w="3000" w:type="dxa"/>
            <w:vAlign w:val="bottom"/>
          </w:tcPr>
          <w:p>
            <w:pPr>
              <w:ind w:left="960"/>
              <w:spacing w:after="0"/>
              <w:rPr>
                <w:sz w:val="20"/>
                <w:szCs w:val="20"/>
                <w:color w:val="auto"/>
              </w:rPr>
            </w:pPr>
            <w:r>
              <w:rPr>
                <w:rFonts w:ascii="Courier New" w:cs="Courier New" w:eastAsia="Courier New" w:hAnsi="Courier New"/>
                <w:sz w:val="15"/>
                <w:szCs w:val="15"/>
                <w:color w:val="auto"/>
              </w:rPr>
              <w:t>Net Income</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47.0</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61.2</w:t>
            </w: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42.5</w:t>
            </w:r>
          </w:p>
        </w:tc>
        <w:tc>
          <w:tcPr>
            <w:tcW w:w="9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$12.1</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182.9</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228.1</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$64.9</w:t>
            </w:r>
          </w:p>
        </w:tc>
      </w:tr>
      <w:tr>
        <w:trPr>
          <w:trHeight w:val="171"/>
        </w:trPr>
        <w:tc>
          <w:tcPr>
            <w:tcW w:w="3000" w:type="dxa"/>
            <w:vAlign w:val="bottom"/>
          </w:tcPr>
          <w:p>
            <w:pPr>
              <w:spacing w:after="0"/>
              <w:rPr>
                <w:sz w:val="20"/>
                <w:szCs w:val="20"/>
                <w:color w:val="auto"/>
              </w:rPr>
            </w:pPr>
            <w:r>
              <w:rPr>
                <w:rFonts w:ascii="Courier New" w:cs="Courier New" w:eastAsia="Courier New" w:hAnsi="Courier New"/>
                <w:sz w:val="15"/>
                <w:szCs w:val="15"/>
                <w:color w:val="auto"/>
              </w:rPr>
              <w:t>Net Income per share (2)</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0.044</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0.057</w:t>
            </w: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0.039</w:t>
            </w:r>
          </w:p>
        </w:tc>
        <w:tc>
          <w:tcPr>
            <w:tcW w:w="9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$0.011</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0.170</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0.212</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$0.060</w:t>
            </w:r>
          </w:p>
        </w:tc>
      </w:tr>
    </w:tbl>
    <w:p>
      <w:pPr>
        <w:spacing w:after="0" w:line="345" w:lineRule="exact"/>
        <w:rPr>
          <w:sz w:val="20"/>
          <w:szCs w:val="20"/>
          <w:color w:val="auto"/>
        </w:rPr>
      </w:pPr>
    </w:p>
    <w:p>
      <w:pPr>
        <w:ind w:left="449" w:right="3399" w:hanging="449"/>
        <w:spacing w:after="0" w:line="264" w:lineRule="auto"/>
        <w:tabs>
          <w:tab w:leader="none" w:pos="449"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statements prepared according to Peruvian GAAP. The financial information is in constant soles as of December 31, 2002. Figures in US$ have been translated at the exchange rate of S/.3.514 to the dollar.</w:t>
      </w:r>
    </w:p>
    <w:p>
      <w:pPr>
        <w:spacing w:after="0" w:line="156" w:lineRule="exact"/>
        <w:rPr>
          <w:rFonts w:ascii="Courier New" w:cs="Courier New" w:eastAsia="Courier New" w:hAnsi="Courier New"/>
          <w:sz w:val="14"/>
          <w:szCs w:val="14"/>
          <w:color w:val="auto"/>
        </w:rPr>
      </w:pPr>
    </w:p>
    <w:p>
      <w:pPr>
        <w:ind w:left="449" w:hanging="449"/>
        <w:spacing w:after="0"/>
        <w:tabs>
          <w:tab w:leader="none" w:pos="449"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1,076 million outstanding shares in all periods.</w:t>
      </w:r>
    </w:p>
    <w:p>
      <w:pPr>
        <w:spacing w:after="0" w:line="200" w:lineRule="exact"/>
        <w:rPr>
          <w:sz w:val="20"/>
          <w:szCs w:val="20"/>
          <w:color w:val="auto"/>
        </w:rPr>
      </w:pPr>
    </w:p>
    <w:p>
      <w:pPr>
        <w:spacing w:after="0" w:line="313"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28"/>
          </w:cols>
          <w:pgMar w:left="231" w:top="628" w:right="1440" w:bottom="1440" w:gutter="0" w:footer="0" w:header="0"/>
        </w:sectPr>
      </w:pPr>
    </w:p>
    <w:bookmarkStart w:id="16" w:name="page17"/>
    <w:bookmarkEnd w:id="16"/>
    <w:p>
      <w:pPr>
        <w:ind w:left="9" w:right="3399" w:firstLine="444"/>
        <w:spacing w:after="0" w:line="260" w:lineRule="auto"/>
        <w:rPr>
          <w:sz w:val="20"/>
          <w:szCs w:val="20"/>
          <w:color w:val="auto"/>
        </w:rPr>
      </w:pPr>
      <w:r>
        <w:rPr>
          <w:rFonts w:ascii="Courier New" w:cs="Courier New" w:eastAsia="Courier New" w:hAnsi="Courier New"/>
          <w:sz w:val="14"/>
          <w:szCs w:val="14"/>
          <w:color w:val="auto"/>
        </w:rPr>
        <w:t>During the fourth quarter of 2002 BCP acquired Banco Santander Central Hispano Peru ("BSCH Peru"), which is included in BCP's consolidated financial statements since the beginning of December 2002. The following summary of results, according to Peruvian GAAP, corresponding to the month of December 2002, should be considered only for reference since they include numerous non recurring adjustments due to the acquisition and pending merger.</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709"/>
        <w:spacing w:after="0"/>
        <w:tabs>
          <w:tab w:leader="none" w:pos="4949" w:val="left"/>
        </w:tabs>
        <w:rPr>
          <w:sz w:val="20"/>
          <w:szCs w:val="20"/>
          <w:color w:val="auto"/>
        </w:rPr>
      </w:pPr>
      <w:r>
        <w:rPr>
          <w:rFonts w:ascii="Courier New" w:cs="Courier New" w:eastAsia="Courier New" w:hAnsi="Courier New"/>
          <w:sz w:val="15"/>
          <w:szCs w:val="15"/>
          <w:color w:val="auto"/>
        </w:rPr>
        <w:t>BSCH Peru Results month of December 2002</w:t>
      </w:r>
      <w:r>
        <w:rPr>
          <w:sz w:val="20"/>
          <w:szCs w:val="20"/>
          <w:color w:val="auto"/>
        </w:rPr>
        <w:tab/>
      </w:r>
      <w:r>
        <w:rPr>
          <w:rFonts w:ascii="Courier New" w:cs="Courier New" w:eastAsia="Courier New" w:hAnsi="Courier New"/>
          <w:sz w:val="14"/>
          <w:szCs w:val="14"/>
          <w:color w:val="auto"/>
        </w:rPr>
        <w:t>S/.Mn US$Mn(1)</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980" w:type="dxa"/>
            <w:vAlign w:val="bottom"/>
          </w:tcPr>
          <w:p>
            <w:pPr>
              <w:spacing w:after="0"/>
              <w:rPr>
                <w:sz w:val="20"/>
                <w:szCs w:val="20"/>
                <w:color w:val="auto"/>
              </w:rPr>
            </w:pPr>
            <w:r>
              <w:rPr>
                <w:rFonts w:ascii="Courier New" w:cs="Courier New" w:eastAsia="Courier New" w:hAnsi="Courier New"/>
                <w:sz w:val="15"/>
                <w:szCs w:val="15"/>
                <w:color w:val="auto"/>
              </w:rPr>
              <w:t>Net interest income</w:t>
            </w:r>
          </w:p>
        </w:tc>
        <w:tc>
          <w:tcPr>
            <w:tcW w:w="16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18.2</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5.2</w:t>
            </w: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rPr>
              <w:t>Provisions for loan losses, net</w:t>
            </w:r>
          </w:p>
        </w:tc>
        <w:tc>
          <w:tcPr>
            <w:tcW w:w="16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0.0</w:t>
            </w: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rPr>
              <w:t>Other income</w:t>
            </w:r>
          </w:p>
        </w:tc>
        <w:tc>
          <w:tcPr>
            <w:tcW w:w="16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7.5</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rPr>
              <w:t>Other expenses</w:t>
            </w:r>
          </w:p>
        </w:tc>
        <w:tc>
          <w:tcPr>
            <w:tcW w:w="16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12.7</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3.6</w:t>
            </w: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rPr>
              <w:t>Result from exposure  to inflation</w:t>
            </w:r>
          </w:p>
        </w:tc>
        <w:tc>
          <w:tcPr>
            <w:tcW w:w="16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0.8</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0.2</w:t>
            </w: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rPr>
              <w:t>Income before income tax</w:t>
            </w:r>
          </w:p>
        </w:tc>
        <w:tc>
          <w:tcPr>
            <w:tcW w:w="16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13.9</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3.9</w:t>
            </w:r>
          </w:p>
        </w:tc>
      </w:tr>
      <w:tr>
        <w:trPr>
          <w:trHeight w:val="171"/>
        </w:trPr>
        <w:tc>
          <w:tcPr>
            <w:tcW w:w="3980" w:type="dxa"/>
            <w:vAlign w:val="bottom"/>
          </w:tcPr>
          <w:p>
            <w:pPr>
              <w:ind w:left="160"/>
              <w:spacing w:after="0"/>
              <w:rPr>
                <w:sz w:val="20"/>
                <w:szCs w:val="20"/>
                <w:color w:val="auto"/>
              </w:rPr>
            </w:pPr>
            <w:r>
              <w:rPr>
                <w:rFonts w:ascii="Courier New" w:cs="Courier New" w:eastAsia="Courier New" w:hAnsi="Courier New"/>
                <w:sz w:val="15"/>
                <w:szCs w:val="15"/>
                <w:color w:val="auto"/>
              </w:rPr>
              <w:t>Income Tax</w:t>
            </w:r>
          </w:p>
        </w:tc>
        <w:tc>
          <w:tcPr>
            <w:tcW w:w="16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4.2</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171"/>
        </w:trPr>
        <w:tc>
          <w:tcPr>
            <w:tcW w:w="3980" w:type="dxa"/>
            <w:vAlign w:val="bottom"/>
          </w:tcPr>
          <w:p>
            <w:pPr>
              <w:ind w:left="340"/>
              <w:spacing w:after="0"/>
              <w:rPr>
                <w:sz w:val="20"/>
                <w:szCs w:val="20"/>
                <w:color w:val="auto"/>
              </w:rPr>
            </w:pPr>
            <w:r>
              <w:rPr>
                <w:rFonts w:ascii="Courier New" w:cs="Courier New" w:eastAsia="Courier New" w:hAnsi="Courier New"/>
                <w:sz w:val="15"/>
                <w:szCs w:val="15"/>
                <w:color w:val="auto"/>
              </w:rPr>
              <w:t>Net Income</w:t>
            </w:r>
          </w:p>
        </w:tc>
        <w:tc>
          <w:tcPr>
            <w:tcW w:w="16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9.7</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r>
    </w:tbl>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342" w:lineRule="exact"/>
        <w:rPr>
          <w:sz w:val="20"/>
          <w:szCs w:val="20"/>
          <w:color w:val="auto"/>
        </w:rPr>
      </w:pPr>
    </w:p>
    <w:p>
      <w:pPr>
        <w:ind w:left="449" w:hanging="449"/>
        <w:spacing w:after="0"/>
        <w:tabs>
          <w:tab w:leader="none" w:pos="449"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Translated at the exchange rate of S/.3.514 per US$1.</w:t>
      </w:r>
    </w:p>
    <w:p>
      <w:pPr>
        <w:spacing w:after="0" w:line="171" w:lineRule="exact"/>
        <w:rPr>
          <w:rFonts w:ascii="Courier New" w:cs="Courier New" w:eastAsia="Courier New" w:hAnsi="Courier New"/>
          <w:sz w:val="15"/>
          <w:szCs w:val="15"/>
          <w:color w:val="auto"/>
        </w:rPr>
      </w:pPr>
    </w:p>
    <w:p>
      <w:pPr>
        <w:ind w:left="4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II.2 NET INTEREST INCOME</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Interest income, net of interest payments, in the fourth quarter of 2002 reached S/.281.8 million (US$80.2 million), decreasing 2.6% compared to the same period of last year, but grew 7.6% compared to the preceding third quarter of 2002. The decline versus the prior year quarter is mainly due to lower interest margins, within a persistent excess liquidity environment in both local and foreign currencies.</w:t>
      </w:r>
    </w:p>
    <w:p>
      <w:pPr>
        <w:spacing w:after="0" w:line="175"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During the fourth quarter of 2002, the net interest margin was 5.38%, decreasing from 5.57% in the third quarter of 2002, and also compared to 6.15% during the last quarter of 2001. During the current quarter the margin decreased mostly due to continued declining loan rates in foreign currency and higher local currency deposit interest rates.</w:t>
      </w:r>
    </w:p>
    <w:p>
      <w:pPr>
        <w:spacing w:after="0" w:line="172"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II.3 NON-INTEREST INCOME</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Non-interest income, including fee revenue and other non-interest items, in the fourth quarter of 2002 amounted to S/.212.4 million (US$60.4 million), 11.9% higher than income earned during the same period of 2001, while total year 2002 revenue grew 15.2%, reaching S/.778.3 million (US$221.5 million), mostly due to higher banking services fees and increased recoveries of charged-off accounts and provisions of prior years.</w:t>
      </w:r>
    </w:p>
    <w:p>
      <w:pPr>
        <w:spacing w:after="0" w:line="175" w:lineRule="exact"/>
        <w:rPr>
          <w:sz w:val="20"/>
          <w:szCs w:val="20"/>
          <w:color w:val="auto"/>
        </w:rPr>
      </w:pPr>
    </w:p>
    <w:p>
      <w:pPr>
        <w:ind w:left="9" w:right="3299" w:firstLine="444"/>
        <w:spacing w:after="0"/>
        <w:rPr>
          <w:sz w:val="20"/>
          <w:szCs w:val="20"/>
          <w:color w:val="auto"/>
        </w:rPr>
      </w:pPr>
      <w:r>
        <w:rPr>
          <w:rFonts w:ascii="Courier New" w:cs="Courier New" w:eastAsia="Courier New" w:hAnsi="Courier New"/>
          <w:sz w:val="15"/>
          <w:szCs w:val="15"/>
          <w:color w:val="auto"/>
        </w:rPr>
        <w:t>In the fourth quarter of 2002, fees from banking services amounted to S/.148.5 million (US$42.2 million), 14.1% higher than in the same period of 2001, mostly due to increased revenue from account maintenance and credit card fees. (See note in table of Section I.2.) In the quarter, fees on the most important banking services had the following growth rates:</w:t>
      </w:r>
    </w:p>
    <w:p>
      <w:pPr>
        <w:spacing w:after="0" w:line="34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28"/>
          </w:cols>
          <w:pgMar w:left="231" w:top="801" w:right="1440" w:bottom="1440" w:gutter="0" w:footer="0" w:header="0"/>
        </w:sectPr>
      </w:pPr>
    </w:p>
    <w:bookmarkStart w:id="17" w:name="page18"/>
    <w:bookmarkEnd w:id="17"/>
    <w:p>
      <w:pPr>
        <w:spacing w:after="0"/>
        <w:tabs>
          <w:tab w:leader="none" w:pos="4580" w:val="left"/>
          <w:tab w:leader="none" w:pos="5120" w:val="left"/>
          <w:tab w:leader="none" w:pos="5660" w:val="left"/>
        </w:tabs>
        <w:rPr>
          <w:sz w:val="20"/>
          <w:szCs w:val="20"/>
          <w:color w:val="auto"/>
        </w:rPr>
      </w:pPr>
      <w:r>
        <w:rPr>
          <w:rFonts w:ascii="Courier New" w:cs="Courier New" w:eastAsia="Courier New" w:hAnsi="Courier New"/>
          <w:sz w:val="15"/>
          <w:szCs w:val="15"/>
          <w:color w:val="auto"/>
        </w:rPr>
        <w:t>(In constant S/. Mn.)</w:t>
      </w:r>
      <w:r>
        <w:rPr>
          <w:sz w:val="20"/>
          <w:szCs w:val="20"/>
          <w:color w:val="auto"/>
        </w:rPr>
        <w:tab/>
      </w:r>
      <w:r>
        <w:rPr>
          <w:rFonts w:ascii="Courier New" w:cs="Courier New" w:eastAsia="Courier New" w:hAnsi="Courier New"/>
          <w:sz w:val="15"/>
          <w:szCs w:val="15"/>
          <w:color w:val="auto"/>
        </w:rPr>
        <w:t>4Q01</w:t>
        <w:tab/>
        <w:t>4Q02</w:t>
      </w:r>
      <w:r>
        <w:rPr>
          <w:sz w:val="20"/>
          <w:szCs w:val="20"/>
          <w:color w:val="auto"/>
        </w:rPr>
        <w:tab/>
      </w:r>
      <w:r>
        <w:rPr>
          <w:rFonts w:ascii="Courier New" w:cs="Courier New" w:eastAsia="Courier New" w:hAnsi="Courier New"/>
          <w:sz w:val="14"/>
          <w:szCs w:val="14"/>
          <w:color w:val="auto"/>
        </w:rPr>
        <w:t>Growth</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40" w:type="dxa"/>
            <w:vAlign w:val="bottom"/>
          </w:tcPr>
          <w:p>
            <w:pPr>
              <w:spacing w:after="0"/>
              <w:rPr>
                <w:sz w:val="20"/>
                <w:szCs w:val="20"/>
                <w:color w:val="auto"/>
              </w:rPr>
            </w:pPr>
            <w:r>
              <w:rPr>
                <w:rFonts w:ascii="Courier New" w:cs="Courier New" w:eastAsia="Courier New" w:hAnsi="Courier New"/>
                <w:sz w:val="15"/>
                <w:szCs w:val="15"/>
                <w:color w:val="auto"/>
              </w:rPr>
              <w:t>Contingent credits</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6.7</w:t>
            </w:r>
          </w:p>
        </w:tc>
        <w:tc>
          <w:tcPr>
            <w:tcW w:w="580" w:type="dxa"/>
            <w:vAlign w:val="bottom"/>
          </w:tcPr>
          <w:p>
            <w:pPr>
              <w:jc w:val="right"/>
              <w:ind w:right="6"/>
              <w:spacing w:after="0"/>
              <w:rPr>
                <w:sz w:val="20"/>
                <w:szCs w:val="20"/>
                <w:color w:val="auto"/>
              </w:rPr>
            </w:pPr>
            <w:r>
              <w:rPr>
                <w:rFonts w:ascii="Courier New" w:cs="Courier New" w:eastAsia="Courier New" w:hAnsi="Courier New"/>
                <w:sz w:val="15"/>
                <w:szCs w:val="15"/>
                <w:color w:val="auto"/>
              </w:rPr>
              <w:t>8.1</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20.9%</w:t>
            </w:r>
          </w:p>
        </w:tc>
      </w:tr>
      <w:tr>
        <w:trPr>
          <w:trHeight w:val="171"/>
        </w:trPr>
        <w:tc>
          <w:tcPr>
            <w:tcW w:w="3240" w:type="dxa"/>
            <w:vAlign w:val="bottom"/>
          </w:tcPr>
          <w:p>
            <w:pPr>
              <w:spacing w:after="0"/>
              <w:rPr>
                <w:sz w:val="20"/>
                <w:szCs w:val="20"/>
                <w:color w:val="auto"/>
              </w:rPr>
            </w:pPr>
            <w:r>
              <w:rPr>
                <w:rFonts w:ascii="Courier New" w:cs="Courier New" w:eastAsia="Courier New" w:hAnsi="Courier New"/>
                <w:sz w:val="15"/>
                <w:szCs w:val="15"/>
                <w:color w:val="auto"/>
              </w:rPr>
              <w:t>Foreign Trade</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5.9</w:t>
            </w:r>
          </w:p>
        </w:tc>
        <w:tc>
          <w:tcPr>
            <w:tcW w:w="580" w:type="dxa"/>
            <w:vAlign w:val="bottom"/>
          </w:tcPr>
          <w:p>
            <w:pPr>
              <w:jc w:val="right"/>
              <w:ind w:right="6"/>
              <w:spacing w:after="0"/>
              <w:rPr>
                <w:sz w:val="20"/>
                <w:szCs w:val="20"/>
                <w:color w:val="auto"/>
              </w:rPr>
            </w:pPr>
            <w:r>
              <w:rPr>
                <w:rFonts w:ascii="Courier New" w:cs="Courier New" w:eastAsia="Courier New" w:hAnsi="Courier New"/>
                <w:sz w:val="15"/>
                <w:szCs w:val="15"/>
                <w:color w:val="auto"/>
              </w:rPr>
              <w:t>7.9</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33.9%</w:t>
            </w:r>
          </w:p>
        </w:tc>
      </w:tr>
      <w:tr>
        <w:trPr>
          <w:trHeight w:val="171"/>
        </w:trPr>
        <w:tc>
          <w:tcPr>
            <w:tcW w:w="3240" w:type="dxa"/>
            <w:vAlign w:val="bottom"/>
          </w:tcPr>
          <w:p>
            <w:pPr>
              <w:spacing w:after="0"/>
              <w:rPr>
                <w:sz w:val="20"/>
                <w:szCs w:val="20"/>
                <w:color w:val="auto"/>
              </w:rPr>
            </w:pPr>
            <w:r>
              <w:rPr>
                <w:rFonts w:ascii="Courier New" w:cs="Courier New" w:eastAsia="Courier New" w:hAnsi="Courier New"/>
                <w:sz w:val="15"/>
                <w:szCs w:val="15"/>
                <w:color w:val="auto"/>
              </w:rPr>
              <w:t>Account Maintenance</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29.9</w:t>
            </w:r>
          </w:p>
        </w:tc>
        <w:tc>
          <w:tcPr>
            <w:tcW w:w="5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37.9</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26.8%</w:t>
            </w:r>
          </w:p>
        </w:tc>
      </w:tr>
      <w:tr>
        <w:trPr>
          <w:trHeight w:val="171"/>
        </w:trPr>
        <w:tc>
          <w:tcPr>
            <w:tcW w:w="3240" w:type="dxa"/>
            <w:vAlign w:val="bottom"/>
          </w:tcPr>
          <w:p>
            <w:pPr>
              <w:spacing w:after="0"/>
              <w:rPr>
                <w:sz w:val="20"/>
                <w:szCs w:val="20"/>
                <w:color w:val="auto"/>
              </w:rPr>
            </w:pPr>
            <w:r>
              <w:rPr>
                <w:rFonts w:ascii="Courier New" w:cs="Courier New" w:eastAsia="Courier New" w:hAnsi="Courier New"/>
                <w:sz w:val="15"/>
                <w:szCs w:val="15"/>
                <w:color w:val="auto"/>
              </w:rPr>
              <w:t>Insurance</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6.0</w:t>
            </w:r>
          </w:p>
        </w:tc>
        <w:tc>
          <w:tcPr>
            <w:tcW w:w="580" w:type="dxa"/>
            <w:vAlign w:val="bottom"/>
          </w:tcPr>
          <w:p>
            <w:pPr>
              <w:jc w:val="right"/>
              <w:ind w:right="6"/>
              <w:spacing w:after="0"/>
              <w:rPr>
                <w:sz w:val="20"/>
                <w:szCs w:val="20"/>
                <w:color w:val="auto"/>
              </w:rPr>
            </w:pPr>
            <w:r>
              <w:rPr>
                <w:rFonts w:ascii="Courier New" w:cs="Courier New" w:eastAsia="Courier New" w:hAnsi="Courier New"/>
                <w:sz w:val="15"/>
                <w:szCs w:val="15"/>
                <w:color w:val="auto"/>
              </w:rPr>
              <w:t>6.2</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3.3%</w:t>
            </w:r>
          </w:p>
        </w:tc>
      </w:tr>
      <w:tr>
        <w:trPr>
          <w:trHeight w:val="171"/>
        </w:trPr>
        <w:tc>
          <w:tcPr>
            <w:tcW w:w="3240" w:type="dxa"/>
            <w:vAlign w:val="bottom"/>
          </w:tcPr>
          <w:p>
            <w:pPr>
              <w:spacing w:after="0"/>
              <w:rPr>
                <w:sz w:val="20"/>
                <w:szCs w:val="20"/>
                <w:color w:val="auto"/>
              </w:rPr>
            </w:pPr>
            <w:r>
              <w:rPr>
                <w:rFonts w:ascii="Courier New" w:cs="Courier New" w:eastAsia="Courier New" w:hAnsi="Courier New"/>
                <w:sz w:val="15"/>
                <w:szCs w:val="15"/>
                <w:color w:val="auto"/>
              </w:rPr>
              <w:t>Collections fees</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14.0</w:t>
            </w:r>
          </w:p>
        </w:tc>
        <w:tc>
          <w:tcPr>
            <w:tcW w:w="5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16.3</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16.4%</w:t>
            </w:r>
          </w:p>
        </w:tc>
      </w:tr>
      <w:tr>
        <w:trPr>
          <w:trHeight w:val="171"/>
        </w:trPr>
        <w:tc>
          <w:tcPr>
            <w:tcW w:w="3240" w:type="dxa"/>
            <w:vAlign w:val="bottom"/>
          </w:tcPr>
          <w:p>
            <w:pPr>
              <w:spacing w:after="0"/>
              <w:rPr>
                <w:sz w:val="20"/>
                <w:szCs w:val="20"/>
                <w:color w:val="auto"/>
              </w:rPr>
            </w:pPr>
            <w:r>
              <w:rPr>
                <w:rFonts w:ascii="Courier New" w:cs="Courier New" w:eastAsia="Courier New" w:hAnsi="Courier New"/>
                <w:sz w:val="15"/>
                <w:szCs w:val="15"/>
                <w:color w:val="auto"/>
              </w:rPr>
              <w:t>Fund transfer services</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24.2</w:t>
            </w:r>
          </w:p>
        </w:tc>
        <w:tc>
          <w:tcPr>
            <w:tcW w:w="5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26.1</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7.9%</w:t>
            </w:r>
          </w:p>
        </w:tc>
      </w:tr>
      <w:tr>
        <w:trPr>
          <w:trHeight w:val="171"/>
        </w:trPr>
        <w:tc>
          <w:tcPr>
            <w:tcW w:w="3240" w:type="dxa"/>
            <w:vAlign w:val="bottom"/>
          </w:tcPr>
          <w:p>
            <w:pPr>
              <w:spacing w:after="0"/>
              <w:rPr>
                <w:sz w:val="20"/>
                <w:szCs w:val="20"/>
                <w:color w:val="auto"/>
              </w:rPr>
            </w:pPr>
            <w:r>
              <w:rPr>
                <w:rFonts w:ascii="Courier New" w:cs="Courier New" w:eastAsia="Courier New" w:hAnsi="Courier New"/>
                <w:sz w:val="15"/>
                <w:szCs w:val="15"/>
                <w:color w:val="auto"/>
              </w:rPr>
              <w:t>Credit card fees</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14.7</w:t>
            </w:r>
          </w:p>
        </w:tc>
        <w:tc>
          <w:tcPr>
            <w:tcW w:w="5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18.4</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25.2%</w:t>
            </w:r>
          </w:p>
        </w:tc>
      </w:tr>
      <w:tr>
        <w:trPr>
          <w:trHeight w:val="171"/>
        </w:trPr>
        <w:tc>
          <w:tcPr>
            <w:tcW w:w="3240" w:type="dxa"/>
            <w:vAlign w:val="bottom"/>
          </w:tcPr>
          <w:p>
            <w:pPr>
              <w:spacing w:after="0"/>
              <w:rPr>
                <w:sz w:val="20"/>
                <w:szCs w:val="20"/>
                <w:color w:val="auto"/>
              </w:rPr>
            </w:pPr>
            <w:r>
              <w:rPr>
                <w:rFonts w:ascii="Courier New" w:cs="Courier New" w:eastAsia="Courier New" w:hAnsi="Courier New"/>
                <w:sz w:val="15"/>
                <w:szCs w:val="15"/>
                <w:color w:val="auto"/>
              </w:rPr>
              <w:t>Brokerage</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6.6</w:t>
            </w:r>
          </w:p>
        </w:tc>
        <w:tc>
          <w:tcPr>
            <w:tcW w:w="580" w:type="dxa"/>
            <w:vAlign w:val="bottom"/>
          </w:tcPr>
          <w:p>
            <w:pPr>
              <w:jc w:val="right"/>
              <w:ind w:right="6"/>
              <w:spacing w:after="0"/>
              <w:rPr>
                <w:sz w:val="20"/>
                <w:szCs w:val="20"/>
                <w:color w:val="auto"/>
              </w:rPr>
            </w:pPr>
            <w:r>
              <w:rPr>
                <w:rFonts w:ascii="Courier New" w:cs="Courier New" w:eastAsia="Courier New" w:hAnsi="Courier New"/>
                <w:sz w:val="15"/>
                <w:szCs w:val="15"/>
                <w:color w:val="auto"/>
              </w:rPr>
              <w:t>8.6</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30.3%</w:t>
            </w:r>
          </w:p>
        </w:tc>
      </w:tr>
      <w:tr>
        <w:trPr>
          <w:trHeight w:val="171"/>
        </w:trPr>
        <w:tc>
          <w:tcPr>
            <w:tcW w:w="3240" w:type="dxa"/>
            <w:vAlign w:val="bottom"/>
          </w:tcPr>
          <w:p>
            <w:pPr>
              <w:spacing w:after="0"/>
              <w:rPr>
                <w:sz w:val="20"/>
                <w:szCs w:val="20"/>
                <w:color w:val="auto"/>
              </w:rPr>
            </w:pPr>
            <w:r>
              <w:rPr>
                <w:rFonts w:ascii="Courier New" w:cs="Courier New" w:eastAsia="Courier New" w:hAnsi="Courier New"/>
                <w:sz w:val="15"/>
                <w:szCs w:val="15"/>
                <w:color w:val="auto"/>
              </w:rPr>
              <w:t>Corporate Finance</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3.9</w:t>
            </w:r>
          </w:p>
        </w:tc>
        <w:tc>
          <w:tcPr>
            <w:tcW w:w="5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4.3</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10.3%</w:t>
            </w:r>
          </w:p>
        </w:tc>
      </w:tr>
      <w:tr>
        <w:trPr>
          <w:trHeight w:val="171"/>
        </w:trPr>
        <w:tc>
          <w:tcPr>
            <w:tcW w:w="3240" w:type="dxa"/>
            <w:vAlign w:val="bottom"/>
          </w:tcPr>
          <w:p>
            <w:pPr>
              <w:spacing w:after="0"/>
              <w:rPr>
                <w:sz w:val="20"/>
                <w:szCs w:val="20"/>
                <w:color w:val="auto"/>
              </w:rPr>
            </w:pPr>
            <w:r>
              <w:rPr>
                <w:rFonts w:ascii="Courier New" w:cs="Courier New" w:eastAsia="Courier New" w:hAnsi="Courier New"/>
                <w:sz w:val="15"/>
                <w:szCs w:val="15"/>
                <w:color w:val="auto"/>
              </w:rPr>
              <w:t>Loan administration</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c>
          <w:tcPr>
            <w:tcW w:w="580" w:type="dxa"/>
            <w:vAlign w:val="bottom"/>
          </w:tcPr>
          <w:p>
            <w:pPr>
              <w:jc w:val="right"/>
              <w:ind w:right="6"/>
              <w:spacing w:after="0"/>
              <w:rPr>
                <w:sz w:val="20"/>
                <w:szCs w:val="20"/>
                <w:color w:val="auto"/>
              </w:rPr>
            </w:pPr>
            <w:r>
              <w:rPr>
                <w:rFonts w:ascii="Courier New" w:cs="Courier New" w:eastAsia="Courier New" w:hAnsi="Courier New"/>
                <w:sz w:val="15"/>
                <w:szCs w:val="15"/>
                <w:color w:val="auto"/>
              </w:rPr>
              <w:t>0.8</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-52.9%</w:t>
            </w:r>
          </w:p>
        </w:tc>
      </w:tr>
      <w:tr>
        <w:trPr>
          <w:trHeight w:val="171"/>
        </w:trPr>
        <w:tc>
          <w:tcPr>
            <w:tcW w:w="3240" w:type="dxa"/>
            <w:vAlign w:val="bottom"/>
          </w:tcPr>
          <w:p>
            <w:pPr>
              <w:spacing w:after="0"/>
              <w:rPr>
                <w:sz w:val="20"/>
                <w:szCs w:val="20"/>
                <w:color w:val="auto"/>
              </w:rPr>
            </w:pPr>
            <w:r>
              <w:rPr>
                <w:rFonts w:ascii="Courier New" w:cs="Courier New" w:eastAsia="Courier New" w:hAnsi="Courier New"/>
                <w:sz w:val="15"/>
                <w:szCs w:val="15"/>
                <w:color w:val="auto"/>
              </w:rPr>
              <w:t>Shipping and handling</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6.5</w:t>
            </w:r>
          </w:p>
        </w:tc>
        <w:tc>
          <w:tcPr>
            <w:tcW w:w="580" w:type="dxa"/>
            <w:vAlign w:val="bottom"/>
          </w:tcPr>
          <w:p>
            <w:pPr>
              <w:jc w:val="right"/>
              <w:ind w:right="6"/>
              <w:spacing w:after="0"/>
              <w:rPr>
                <w:sz w:val="20"/>
                <w:szCs w:val="20"/>
                <w:color w:val="auto"/>
              </w:rPr>
            </w:pPr>
            <w:r>
              <w:rPr>
                <w:rFonts w:ascii="Courier New" w:cs="Courier New" w:eastAsia="Courier New" w:hAnsi="Courier New"/>
                <w:sz w:val="15"/>
                <w:szCs w:val="15"/>
                <w:color w:val="auto"/>
              </w:rPr>
              <w:t>6.9</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6.2%</w:t>
            </w:r>
          </w:p>
        </w:tc>
      </w:tr>
      <w:tr>
        <w:trPr>
          <w:trHeight w:val="171"/>
        </w:trPr>
        <w:tc>
          <w:tcPr>
            <w:tcW w:w="324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10.1</w:t>
            </w:r>
          </w:p>
        </w:tc>
        <w:tc>
          <w:tcPr>
            <w:tcW w:w="580" w:type="dxa"/>
            <w:vAlign w:val="bottom"/>
          </w:tcPr>
          <w:p>
            <w:pPr>
              <w:jc w:val="right"/>
              <w:ind w:right="6"/>
              <w:spacing w:after="0"/>
              <w:rPr>
                <w:sz w:val="20"/>
                <w:szCs w:val="20"/>
                <w:color w:val="auto"/>
              </w:rPr>
            </w:pPr>
            <w:r>
              <w:rPr>
                <w:rFonts w:ascii="Courier New" w:cs="Courier New" w:eastAsia="Courier New" w:hAnsi="Courier New"/>
                <w:sz w:val="15"/>
                <w:szCs w:val="15"/>
                <w:color w:val="auto"/>
              </w:rPr>
              <w:t>7.0</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-30.7%</w:t>
            </w:r>
          </w:p>
        </w:tc>
      </w:tr>
      <w:tr>
        <w:trPr>
          <w:trHeight w:val="171"/>
        </w:trPr>
        <w:tc>
          <w:tcPr>
            <w:tcW w:w="3240" w:type="dxa"/>
            <w:vAlign w:val="bottom"/>
          </w:tcPr>
          <w:p>
            <w:pPr>
              <w:ind w:left="340"/>
              <w:spacing w:after="0"/>
              <w:rPr>
                <w:sz w:val="20"/>
                <w:szCs w:val="20"/>
                <w:color w:val="auto"/>
              </w:rPr>
            </w:pPr>
            <w:r>
              <w:rPr>
                <w:rFonts w:ascii="Courier New" w:cs="Courier New" w:eastAsia="Courier New" w:hAnsi="Courier New"/>
                <w:sz w:val="15"/>
                <w:szCs w:val="15"/>
                <w:color w:val="auto"/>
              </w:rPr>
              <w:t>Total</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130.2</w:t>
            </w:r>
          </w:p>
        </w:tc>
        <w:tc>
          <w:tcPr>
            <w:tcW w:w="5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148.5</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14.1%</w:t>
            </w:r>
          </w:p>
        </w:tc>
      </w:tr>
    </w:tbl>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4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the fourth quarter of 2002, securities transactions resulted in gains of S/.4.7 million (US$1.4 million), compared to the last quarter of 2001 which had gains of S/.21.2 million (US$6.0 million) due to recoveries of excess provisions. The general index of the Lima Stock Exchange increased 21.0% in the fourth quarter of 2002, growing a cumulative 18.3% in the year 2002.</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Gains from foreign exchange operations were S/.23.5 million (US$6.7 million) in the fourth quarter of 2002, 50.4% over revenue in the same period in 2001, mainly due to increased traded volumes, while margins remained almost unchanged.</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Other Income caption, where reversals of prior year expenses and provisions and recoveries of certain operating costs from clients are booked, increased from S/.22.7 million (US$6.5 million) in the fourth quarter of 2001 to S/.35.6 million (US$10.1 million) in the current period, principally due to increased recoveries of accounts charged-off in previous periods and prior years provisions.</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II.4 OTHER NON-INTEREST EXPENSES</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Non-interest expenses during the fourth quarter of 2002 were S/.326.7 million (US$93.0 million), 10.4% above those of the same period in 2001, mainly due to increased personnel and general expenses. Adjusted operating expenses, determined by excluding provisions for assets received in lieu of loan repayment, non recurring expenses and employee profit sharing expenses, reached S/.287.1 million (US$81.7 million) in the fourth quarter of 2002, increasing 7.3% compared to the year-ago period.</w:t>
      </w:r>
    </w:p>
    <w:p>
      <w:pPr>
        <w:spacing w:after="0" w:line="176" w:lineRule="exact"/>
        <w:rPr>
          <w:sz w:val="20"/>
          <w:szCs w:val="20"/>
          <w:color w:val="auto"/>
        </w:rPr>
      </w:pPr>
    </w:p>
    <w:p>
      <w:pPr>
        <w:ind w:right="3219" w:firstLine="444"/>
        <w:spacing w:after="0" w:line="259" w:lineRule="auto"/>
        <w:rPr>
          <w:sz w:val="20"/>
          <w:szCs w:val="20"/>
          <w:color w:val="auto"/>
        </w:rPr>
      </w:pPr>
      <w:r>
        <w:rPr>
          <w:rFonts w:ascii="Courier New" w:cs="Courier New" w:eastAsia="Courier New" w:hAnsi="Courier New"/>
          <w:sz w:val="14"/>
          <w:szCs w:val="14"/>
          <w:color w:val="auto"/>
        </w:rPr>
        <w:t>Approximately 45% of non-interest expenses were attributable to employee salaries and other expenses related to personnel. This concept increased 23.4% to S/.147.5 million (US$42.0 million) when compared to the fourth quarter of 2001, due principally to increased expenses in subsidiaries BSCH Peru and Solucion, and at the Miami office, higher bonuses and severance payments, including payments for the closing of the New York office. At the end of the fourth quarter 2002 the number of employees stood at 8,356, increasing from 7,977 employees as of September 2002, mainly due to 685 employees included from BSCH Peru, partly offset by lower fixed positions at Banco de Credito del Peru, Solucion Financiera and Banco de Credito de Bolivia.</w:t>
      </w:r>
    </w:p>
    <w:p>
      <w:pPr>
        <w:spacing w:after="0" w:line="166"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General and Administrative expenses, which represented 34% of non-interest expenses, reached S/.111.1 million (US$31.6 million) in the fourth quarter of 2002, increasing 24.9% when compared to expenses in the same period a year ago mainly from non-recurring increases in expenses related to systems, third party fees and marketing, while BSCH Peru's expenses amounted to S/.4.0 million (US$1.2 million). Non-recurring expenses are related to BCP's new identity campaign and system's restructuring projects, and in the twelve months through December 2002 amounted to S/.44.1 million (US$12.5 million), while S/.14.2 million (US$4.0 million) were incurred in fourth quarter 2002. (See note in table of Section I.2.) In the quarter, the most significant general and administrative expenses were:</w:t>
      </w:r>
    </w:p>
    <w:p>
      <w:pPr>
        <w:spacing w:after="0" w:line="347"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969" w:right="1440" w:bottom="1440" w:gutter="0" w:footer="0" w:header="0"/>
        </w:sectPr>
      </w:pPr>
    </w:p>
    <w:bookmarkStart w:id="18" w:name="page19"/>
    <w:bookmarkEnd w:id="18"/>
    <w:p>
      <w:pPr>
        <w:spacing w:after="0"/>
        <w:tabs>
          <w:tab w:leader="none" w:pos="4140" w:val="left"/>
          <w:tab w:leader="none" w:pos="4940" w:val="left"/>
          <w:tab w:leader="none" w:pos="5560" w:val="left"/>
        </w:tabs>
        <w:rPr>
          <w:sz w:val="20"/>
          <w:szCs w:val="20"/>
          <w:color w:val="auto"/>
        </w:rPr>
      </w:pPr>
      <w:r>
        <w:rPr>
          <w:rFonts w:ascii="Courier New" w:cs="Courier New" w:eastAsia="Courier New" w:hAnsi="Courier New"/>
          <w:sz w:val="15"/>
          <w:szCs w:val="15"/>
          <w:color w:val="auto"/>
        </w:rPr>
        <w:t>(In constant S/. Mn.)</w:t>
      </w:r>
      <w:r>
        <w:rPr>
          <w:sz w:val="20"/>
          <w:szCs w:val="20"/>
          <w:color w:val="auto"/>
        </w:rPr>
        <w:tab/>
      </w:r>
      <w:r>
        <w:rPr>
          <w:rFonts w:ascii="Courier New" w:cs="Courier New" w:eastAsia="Courier New" w:hAnsi="Courier New"/>
          <w:sz w:val="15"/>
          <w:szCs w:val="15"/>
          <w:color w:val="auto"/>
        </w:rPr>
        <w:t>4Q01</w:t>
      </w:r>
      <w:r>
        <w:rPr>
          <w:sz w:val="20"/>
          <w:szCs w:val="20"/>
          <w:color w:val="auto"/>
        </w:rPr>
        <w:tab/>
      </w:r>
      <w:r>
        <w:rPr>
          <w:rFonts w:ascii="Courier New" w:cs="Courier New" w:eastAsia="Courier New" w:hAnsi="Courier New"/>
          <w:sz w:val="15"/>
          <w:szCs w:val="15"/>
          <w:color w:val="auto"/>
        </w:rPr>
        <w:t>4Q02</w:t>
        <w:tab/>
        <w:t>Chnge.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20" w:type="dxa"/>
            <w:vAlign w:val="bottom"/>
          </w:tcPr>
          <w:p>
            <w:pPr>
              <w:spacing w:after="0"/>
              <w:rPr>
                <w:sz w:val="20"/>
                <w:szCs w:val="20"/>
                <w:color w:val="auto"/>
              </w:rPr>
            </w:pPr>
            <w:r>
              <w:rPr>
                <w:rFonts w:ascii="Courier New" w:cs="Courier New" w:eastAsia="Courier New" w:hAnsi="Courier New"/>
                <w:sz w:val="15"/>
                <w:szCs w:val="15"/>
                <w:color w:val="auto"/>
              </w:rPr>
              <w:t>Office supplies and operating costs</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11.9</w:t>
            </w: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14.1</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18.5%</w:t>
            </w:r>
          </w:p>
        </w:tc>
      </w:tr>
      <w:tr>
        <w:trPr>
          <w:trHeight w:val="171"/>
        </w:trPr>
        <w:tc>
          <w:tcPr>
            <w:tcW w:w="3720" w:type="dxa"/>
            <w:vAlign w:val="bottom"/>
          </w:tcPr>
          <w:p>
            <w:pPr>
              <w:spacing w:after="0"/>
              <w:rPr>
                <w:sz w:val="20"/>
                <w:szCs w:val="20"/>
                <w:color w:val="auto"/>
              </w:rPr>
            </w:pPr>
            <w:r>
              <w:rPr>
                <w:rFonts w:ascii="Courier New" w:cs="Courier New" w:eastAsia="Courier New" w:hAnsi="Courier New"/>
                <w:sz w:val="15"/>
                <w:szCs w:val="15"/>
                <w:color w:val="auto"/>
              </w:rPr>
              <w:t>Communications</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8.8</w:t>
            </w: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13.6%</w:t>
            </w:r>
          </w:p>
        </w:tc>
      </w:tr>
      <w:tr>
        <w:trPr>
          <w:trHeight w:val="171"/>
        </w:trPr>
        <w:tc>
          <w:tcPr>
            <w:tcW w:w="3720" w:type="dxa"/>
            <w:vAlign w:val="bottom"/>
          </w:tcPr>
          <w:p>
            <w:pPr>
              <w:spacing w:after="0"/>
              <w:rPr>
                <w:sz w:val="20"/>
                <w:szCs w:val="20"/>
                <w:color w:val="auto"/>
              </w:rPr>
            </w:pPr>
            <w:r>
              <w:rPr>
                <w:rFonts w:ascii="Courier New" w:cs="Courier New" w:eastAsia="Courier New" w:hAnsi="Courier New"/>
                <w:sz w:val="15"/>
                <w:szCs w:val="15"/>
                <w:color w:val="auto"/>
              </w:rPr>
              <w:t>Third party fees</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11.3</w:t>
            </w: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23.5</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108.0%</w:t>
            </w:r>
          </w:p>
        </w:tc>
      </w:tr>
      <w:tr>
        <w:trPr>
          <w:trHeight w:val="171"/>
        </w:trPr>
        <w:tc>
          <w:tcPr>
            <w:tcW w:w="3720" w:type="dxa"/>
            <w:vAlign w:val="bottom"/>
          </w:tcPr>
          <w:p>
            <w:pPr>
              <w:spacing w:after="0"/>
              <w:rPr>
                <w:sz w:val="20"/>
                <w:szCs w:val="20"/>
                <w:color w:val="auto"/>
              </w:rPr>
            </w:pPr>
            <w:r>
              <w:rPr>
                <w:rFonts w:ascii="Courier New" w:cs="Courier New" w:eastAsia="Courier New" w:hAnsi="Courier New"/>
                <w:sz w:val="15"/>
                <w:szCs w:val="15"/>
                <w:color w:val="auto"/>
              </w:rPr>
              <w:t>Insurance and security</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9.0</w:t>
            </w: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7.6</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-15.6%</w:t>
            </w:r>
          </w:p>
        </w:tc>
      </w:tr>
      <w:tr>
        <w:trPr>
          <w:trHeight w:val="171"/>
        </w:trPr>
        <w:tc>
          <w:tcPr>
            <w:tcW w:w="3720" w:type="dxa"/>
            <w:vAlign w:val="bottom"/>
          </w:tcPr>
          <w:p>
            <w:pPr>
              <w:spacing w:after="0"/>
              <w:rPr>
                <w:sz w:val="20"/>
                <w:szCs w:val="20"/>
                <w:color w:val="auto"/>
              </w:rPr>
            </w:pPr>
            <w:r>
              <w:rPr>
                <w:rFonts w:ascii="Courier New" w:cs="Courier New" w:eastAsia="Courier New" w:hAnsi="Courier New"/>
                <w:sz w:val="15"/>
                <w:szCs w:val="15"/>
                <w:color w:val="auto"/>
              </w:rPr>
              <w:t>Transport of currency and securities</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12.7</w:t>
            </w: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-5.5%</w:t>
            </w:r>
          </w:p>
        </w:tc>
      </w:tr>
      <w:tr>
        <w:trPr>
          <w:trHeight w:val="171"/>
        </w:trPr>
        <w:tc>
          <w:tcPr>
            <w:tcW w:w="3720" w:type="dxa"/>
            <w:vAlign w:val="bottom"/>
          </w:tcPr>
          <w:p>
            <w:pPr>
              <w:spacing w:after="0"/>
              <w:rPr>
                <w:sz w:val="20"/>
                <w:szCs w:val="20"/>
                <w:color w:val="auto"/>
              </w:rPr>
            </w:pPr>
            <w:r>
              <w:rPr>
                <w:rFonts w:ascii="Courier New" w:cs="Courier New" w:eastAsia="Courier New" w:hAnsi="Courier New"/>
                <w:sz w:val="15"/>
                <w:szCs w:val="15"/>
                <w:color w:val="auto"/>
              </w:rPr>
              <w:t>Systems and maintenance</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15.1</w:t>
            </w: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19.2</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27.2%</w:t>
            </w:r>
          </w:p>
        </w:tc>
      </w:tr>
      <w:tr>
        <w:trPr>
          <w:trHeight w:val="171"/>
        </w:trPr>
        <w:tc>
          <w:tcPr>
            <w:tcW w:w="3720" w:type="dxa"/>
            <w:vAlign w:val="bottom"/>
          </w:tcPr>
          <w:p>
            <w:pPr>
              <w:spacing w:after="0"/>
              <w:rPr>
                <w:sz w:val="20"/>
                <w:szCs w:val="20"/>
                <w:color w:val="auto"/>
              </w:rPr>
            </w:pPr>
            <w:r>
              <w:rPr>
                <w:rFonts w:ascii="Courier New" w:cs="Courier New" w:eastAsia="Courier New" w:hAnsi="Courier New"/>
                <w:sz w:val="15"/>
                <w:szCs w:val="15"/>
                <w:color w:val="auto"/>
              </w:rPr>
              <w:t>Advertising and marketing</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17.5</w:t>
            </w: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18.2</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4.0%</w:t>
            </w:r>
          </w:p>
        </w:tc>
      </w:tr>
      <w:tr>
        <w:trPr>
          <w:trHeight w:val="171"/>
        </w:trPr>
        <w:tc>
          <w:tcPr>
            <w:tcW w:w="3720" w:type="dxa"/>
            <w:vAlign w:val="bottom"/>
          </w:tcPr>
          <w:p>
            <w:pPr>
              <w:spacing w:after="0"/>
              <w:rPr>
                <w:sz w:val="20"/>
                <w:szCs w:val="20"/>
                <w:color w:val="auto"/>
              </w:rPr>
            </w:pPr>
            <w:r>
              <w:rPr>
                <w:rFonts w:ascii="Courier New" w:cs="Courier New" w:eastAsia="Courier New" w:hAnsi="Courier New"/>
                <w:sz w:val="15"/>
                <w:szCs w:val="15"/>
                <w:color w:val="auto"/>
              </w:rPr>
              <w:t>Other G&amp;A</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2.6</w:t>
            </w: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150.0%</w:t>
            </w:r>
          </w:p>
        </w:tc>
      </w:tr>
      <w:tr>
        <w:trPr>
          <w:trHeight w:val="171"/>
        </w:trPr>
        <w:tc>
          <w:tcPr>
            <w:tcW w:w="3720" w:type="dxa"/>
            <w:vAlign w:val="bottom"/>
          </w:tcPr>
          <w:p>
            <w:pPr>
              <w:ind w:left="340"/>
              <w:spacing w:after="0"/>
              <w:rPr>
                <w:sz w:val="20"/>
                <w:szCs w:val="20"/>
                <w:color w:val="auto"/>
              </w:rPr>
            </w:pPr>
            <w:r>
              <w:rPr>
                <w:rFonts w:ascii="Courier New" w:cs="Courier New" w:eastAsia="Courier New" w:hAnsi="Courier New"/>
                <w:sz w:val="15"/>
                <w:szCs w:val="15"/>
                <w:color w:val="auto"/>
              </w:rPr>
              <w:t>Total G&amp;A</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88.9</w:t>
            </w: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111.1</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24.9%</w:t>
            </w:r>
          </w:p>
        </w:tc>
      </w:tr>
    </w:tbl>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315"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The Other caption within Other Non-Interest Expenses, decreased from S/.48.9 million (US$13.9 million) in the fourth quarter of 2001 to S/.29.8 million (US$8.5 million) in the current quarter, mainly due to lower provisions for contingencies registered within this caption.</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ratio of adjusted operating expenses (determined by excluding provisions for assets received in lieu of loan repayment, employee profit sharing expense and non-recurring expenses) as a percentage of average total assets, slightly decreased from 5.0% in the fourth quarter of 2001 to 4.9 in the current period.</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Adjusted operating expenses, as a percentage of total income, increased from 55.8% to 58.1% when comparing the fourth quarters of 2001 and 2002, respectively, but improves for total year figures to 55.9% in 2002 from 56.6% in 2001.</w:t>
      </w:r>
    </w:p>
    <w:p>
      <w:pPr>
        <w:spacing w:after="0" w:line="34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1140" w:right="1440" w:bottom="1440" w:gutter="0" w:footer="0" w:header="0"/>
        </w:sectPr>
      </w:pPr>
    </w:p>
    <w:bookmarkStart w:id="19" w:name="page20"/>
    <w:bookmarkEnd w:id="19"/>
    <w:p>
      <w:pPr>
        <w:ind w:left="449"/>
        <w:spacing w:after="0"/>
        <w:rPr>
          <w:sz w:val="20"/>
          <w:szCs w:val="20"/>
          <w:color w:val="auto"/>
        </w:rPr>
      </w:pPr>
      <w:r>
        <w:rPr>
          <w:rFonts w:ascii="Courier New" w:cs="Courier New" w:eastAsia="Courier New" w:hAnsi="Courier New"/>
          <w:sz w:val="15"/>
          <w:szCs w:val="15"/>
          <w:color w:val="auto"/>
        </w:rPr>
        <w:t>II.5 ASSETS AND LIABILITIES</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Total assets of BCP reached S/.25,517 million (US$7,261 million) at the end of December 2002, increasing 22.0% with respect to the balance at the end of the preceding quarter, and by 21.4% compared to assets at December 2001. Balance sheet changes during the fourth quarter 2002 are mostly due to the inclusion of BSCH Peru, which is consolidated by BCP in its financial statements since the beginning of December 2002. A summary balance sheet of BSCH Peru at December 31, 2002, is shown in the following table:</w:t>
      </w:r>
    </w:p>
    <w:p>
      <w:pPr>
        <w:spacing w:after="0" w:line="200" w:lineRule="exact"/>
        <w:rPr>
          <w:sz w:val="20"/>
          <w:szCs w:val="20"/>
          <w:color w:val="auto"/>
        </w:rPr>
      </w:pPr>
    </w:p>
    <w:p>
      <w:pPr>
        <w:spacing w:after="0" w:line="315"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620" w:type="dxa"/>
            <w:vAlign w:val="bottom"/>
          </w:tcPr>
          <w:p>
            <w:pPr>
              <w:spacing w:after="0"/>
              <w:rPr>
                <w:sz w:val="14"/>
                <w:szCs w:val="14"/>
                <w:color w:val="auto"/>
              </w:rPr>
            </w:pPr>
          </w:p>
        </w:tc>
        <w:tc>
          <w:tcPr>
            <w:tcW w:w="4380" w:type="dxa"/>
            <w:vAlign w:val="bottom"/>
          </w:tcPr>
          <w:p>
            <w:pPr>
              <w:ind w:left="1680"/>
              <w:spacing w:after="0"/>
              <w:rPr>
                <w:sz w:val="20"/>
                <w:szCs w:val="20"/>
                <w:color w:val="auto"/>
              </w:rPr>
            </w:pPr>
            <w:r>
              <w:rPr>
                <w:rFonts w:ascii="Courier New" w:cs="Courier New" w:eastAsia="Courier New" w:hAnsi="Courier New"/>
                <w:sz w:val="15"/>
                <w:szCs w:val="15"/>
                <w:color w:val="auto"/>
              </w:rPr>
              <w:t>BALANCE SHEETS as of 31.12.02</w:t>
            </w: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6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52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620" w:type="dxa"/>
            <w:vAlign w:val="bottom"/>
          </w:tcPr>
          <w:p>
            <w:pPr>
              <w:spacing w:after="0"/>
              <w:rPr>
                <w:sz w:val="14"/>
                <w:szCs w:val="14"/>
                <w:color w:val="auto"/>
              </w:rPr>
            </w:pPr>
          </w:p>
        </w:tc>
        <w:tc>
          <w:tcPr>
            <w:tcW w:w="4380" w:type="dxa"/>
            <w:vAlign w:val="bottom"/>
          </w:tcPr>
          <w:p>
            <w:pPr>
              <w:jc w:val="center"/>
              <w:ind w:right="1126"/>
              <w:spacing w:after="0"/>
              <w:rPr>
                <w:sz w:val="20"/>
                <w:szCs w:val="20"/>
                <w:color w:val="auto"/>
              </w:rPr>
            </w:pPr>
            <w:r>
              <w:rPr>
                <w:rFonts w:ascii="Courier New" w:cs="Courier New" w:eastAsia="Courier New" w:hAnsi="Courier New"/>
                <w:sz w:val="15"/>
                <w:szCs w:val="15"/>
                <w:color w:val="auto"/>
                <w:w w:val="99"/>
              </w:rPr>
              <w:t>ASSETS</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BSCH Peru</w:t>
            </w:r>
          </w:p>
        </w:tc>
        <w:tc>
          <w:tcPr>
            <w:tcW w:w="1300" w:type="dxa"/>
            <w:vAlign w:val="bottom"/>
          </w:tcPr>
          <w:p>
            <w:pPr>
              <w:spacing w:after="0"/>
              <w:rPr>
                <w:sz w:val="14"/>
                <w:szCs w:val="14"/>
                <w:color w:val="auto"/>
              </w:rPr>
            </w:pPr>
          </w:p>
        </w:tc>
        <w:tc>
          <w:tcPr>
            <w:tcW w:w="248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BCP Consolidated</w:t>
            </w:r>
          </w:p>
        </w:tc>
      </w:tr>
      <w:tr>
        <w:trPr>
          <w:trHeight w:val="171"/>
        </w:trPr>
        <w:tc>
          <w:tcPr>
            <w:tcW w:w="6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52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6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4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S/.Mn</w:t>
            </w:r>
          </w:p>
        </w:tc>
        <w:tc>
          <w:tcPr>
            <w:tcW w:w="13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US$Mn(1)</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S/.Mn</w:t>
            </w: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US$Mn(1)</w:t>
            </w:r>
          </w:p>
        </w:tc>
      </w:tr>
      <w:tr>
        <w:trPr>
          <w:trHeight w:val="171"/>
        </w:trPr>
        <w:tc>
          <w:tcPr>
            <w:tcW w:w="6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4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000" w:type="dxa"/>
            <w:vAlign w:val="bottom"/>
            <w:gridSpan w:val="2"/>
          </w:tcPr>
          <w:p>
            <w:pPr>
              <w:spacing w:after="0"/>
              <w:rPr>
                <w:sz w:val="20"/>
                <w:szCs w:val="20"/>
                <w:color w:val="auto"/>
              </w:rPr>
            </w:pPr>
            <w:r>
              <w:rPr>
                <w:rFonts w:ascii="Courier New" w:cs="Courier New" w:eastAsia="Courier New" w:hAnsi="Courier New"/>
                <w:sz w:val="15"/>
                <w:szCs w:val="15"/>
                <w:color w:val="auto"/>
              </w:rPr>
              <w:t>CASH AND DUE FROM BANKS</w:t>
            </w:r>
          </w:p>
        </w:tc>
        <w:tc>
          <w:tcPr>
            <w:tcW w:w="14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908</w:t>
            </w:r>
          </w:p>
        </w:tc>
        <w:tc>
          <w:tcPr>
            <w:tcW w:w="13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$258</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7,296</w:t>
            </w: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$2,076</w:t>
            </w:r>
          </w:p>
        </w:tc>
      </w:tr>
      <w:tr>
        <w:trPr>
          <w:trHeight w:val="171"/>
        </w:trPr>
        <w:tc>
          <w:tcPr>
            <w:tcW w:w="5000" w:type="dxa"/>
            <w:vAlign w:val="bottom"/>
            <w:gridSpan w:val="2"/>
          </w:tcPr>
          <w:p>
            <w:pPr>
              <w:spacing w:after="0"/>
              <w:rPr>
                <w:sz w:val="20"/>
                <w:szCs w:val="20"/>
                <w:color w:val="auto"/>
              </w:rPr>
            </w:pPr>
            <w:r>
              <w:rPr>
                <w:rFonts w:ascii="Courier New" w:cs="Courier New" w:eastAsia="Courier New" w:hAnsi="Courier New"/>
                <w:sz w:val="15"/>
                <w:szCs w:val="15"/>
                <w:color w:val="auto"/>
              </w:rPr>
              <w:t>MARKETABLE SECURITIES, net</w:t>
            </w:r>
          </w:p>
        </w:tc>
        <w:tc>
          <w:tcPr>
            <w:tcW w:w="14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78</w:t>
            </w:r>
          </w:p>
        </w:tc>
        <w:tc>
          <w:tcPr>
            <w:tcW w:w="13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$22</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1,938</w:t>
            </w: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$552</w:t>
            </w:r>
          </w:p>
        </w:tc>
      </w:tr>
      <w:tr>
        <w:trPr>
          <w:trHeight w:val="171"/>
        </w:trPr>
        <w:tc>
          <w:tcPr>
            <w:tcW w:w="620" w:type="dxa"/>
            <w:vAlign w:val="bottom"/>
          </w:tcPr>
          <w:p>
            <w:pPr>
              <w:spacing w:after="0"/>
              <w:rPr>
                <w:sz w:val="20"/>
                <w:szCs w:val="20"/>
                <w:color w:val="auto"/>
              </w:rPr>
            </w:pPr>
            <w:r>
              <w:rPr>
                <w:rFonts w:ascii="Courier New" w:cs="Courier New" w:eastAsia="Courier New" w:hAnsi="Courier New"/>
                <w:sz w:val="15"/>
                <w:szCs w:val="15"/>
                <w:color w:val="auto"/>
              </w:rPr>
              <w:t>LOANS</w:t>
            </w:r>
          </w:p>
        </w:tc>
        <w:tc>
          <w:tcPr>
            <w:tcW w:w="4380" w:type="dxa"/>
            <w:vAlign w:val="bottom"/>
          </w:tcPr>
          <w:p>
            <w:pPr>
              <w:spacing w:after="0"/>
              <w:rPr>
                <w:sz w:val="14"/>
                <w:szCs w:val="14"/>
                <w:color w:val="auto"/>
              </w:rPr>
            </w:pPr>
          </w:p>
        </w:tc>
        <w:tc>
          <w:tcPr>
            <w:tcW w:w="14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2,528</w:t>
            </w:r>
          </w:p>
        </w:tc>
        <w:tc>
          <w:tcPr>
            <w:tcW w:w="13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$719</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15,653</w:t>
            </w: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$4,454</w:t>
            </w:r>
          </w:p>
        </w:tc>
      </w:tr>
      <w:tr>
        <w:trPr>
          <w:trHeight w:val="171"/>
        </w:trPr>
        <w:tc>
          <w:tcPr>
            <w:tcW w:w="620" w:type="dxa"/>
            <w:vAlign w:val="bottom"/>
          </w:tcPr>
          <w:p>
            <w:pPr>
              <w:spacing w:after="0"/>
              <w:rPr>
                <w:sz w:val="20"/>
                <w:szCs w:val="20"/>
                <w:color w:val="auto"/>
              </w:rPr>
            </w:pPr>
            <w:r>
              <w:rPr>
                <w:rFonts w:ascii="Courier New" w:cs="Courier New" w:eastAsia="Courier New" w:hAnsi="Courier New"/>
                <w:sz w:val="15"/>
                <w:szCs w:val="15"/>
                <w:color w:val="auto"/>
                <w:w w:val="95"/>
              </w:rPr>
              <w:t>- -----</w:t>
            </w:r>
          </w:p>
        </w:tc>
        <w:tc>
          <w:tcPr>
            <w:tcW w:w="4380" w:type="dxa"/>
            <w:vAlign w:val="bottom"/>
          </w:tcPr>
          <w:p>
            <w:pPr>
              <w:spacing w:after="0"/>
              <w:rPr>
                <w:sz w:val="14"/>
                <w:szCs w:val="14"/>
                <w:color w:val="auto"/>
              </w:rPr>
            </w:pPr>
          </w:p>
        </w:tc>
        <w:tc>
          <w:tcPr>
            <w:tcW w:w="14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0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Current</w:t>
            </w:r>
          </w:p>
        </w:tc>
        <w:tc>
          <w:tcPr>
            <w:tcW w:w="14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2,165</w:t>
            </w:r>
          </w:p>
        </w:tc>
        <w:tc>
          <w:tcPr>
            <w:tcW w:w="13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$616</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14,313</w:t>
            </w: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$4,073</w:t>
            </w:r>
          </w:p>
        </w:tc>
      </w:tr>
      <w:tr>
        <w:trPr>
          <w:trHeight w:val="171"/>
        </w:trPr>
        <w:tc>
          <w:tcPr>
            <w:tcW w:w="50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Past Due</w:t>
            </w:r>
          </w:p>
        </w:tc>
        <w:tc>
          <w:tcPr>
            <w:tcW w:w="14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363</w:t>
            </w:r>
          </w:p>
        </w:tc>
        <w:tc>
          <w:tcPr>
            <w:tcW w:w="13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$103</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1,340</w:t>
            </w: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$381</w:t>
            </w:r>
          </w:p>
        </w:tc>
      </w:tr>
      <w:tr>
        <w:trPr>
          <w:trHeight w:val="171"/>
        </w:trPr>
        <w:tc>
          <w:tcPr>
            <w:tcW w:w="620" w:type="dxa"/>
            <w:vAlign w:val="bottom"/>
          </w:tcPr>
          <w:p>
            <w:pPr>
              <w:ind w:left="160"/>
              <w:spacing w:after="0"/>
              <w:rPr>
                <w:sz w:val="20"/>
                <w:szCs w:val="20"/>
                <w:color w:val="auto"/>
              </w:rPr>
            </w:pPr>
            <w:r>
              <w:rPr>
                <w:rFonts w:ascii="Courier New" w:cs="Courier New" w:eastAsia="Courier New" w:hAnsi="Courier New"/>
                <w:sz w:val="15"/>
                <w:szCs w:val="15"/>
                <w:color w:val="auto"/>
              </w:rPr>
              <w:t>Less</w:t>
            </w:r>
          </w:p>
        </w:tc>
        <w:tc>
          <w:tcPr>
            <w:tcW w:w="4380" w:type="dxa"/>
            <w:vAlign w:val="bottom"/>
          </w:tcPr>
          <w:p>
            <w:pPr>
              <w:spacing w:after="0"/>
              <w:rPr>
                <w:sz w:val="20"/>
                <w:szCs w:val="20"/>
                <w:color w:val="auto"/>
              </w:rPr>
            </w:pPr>
            <w:r>
              <w:rPr>
                <w:rFonts w:ascii="Courier New" w:cs="Courier New" w:eastAsia="Courier New" w:hAnsi="Courier New"/>
                <w:sz w:val="15"/>
                <w:szCs w:val="15"/>
                <w:color w:val="auto"/>
              </w:rPr>
              <w:t>- Reserve for possible loan losses</w:t>
            </w:r>
          </w:p>
        </w:tc>
        <w:tc>
          <w:tcPr>
            <w:tcW w:w="14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(409)</w:t>
            </w:r>
          </w:p>
        </w:tc>
        <w:tc>
          <w:tcPr>
            <w:tcW w:w="130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($116)</w:t>
            </w:r>
          </w:p>
        </w:tc>
        <w:tc>
          <w:tcPr>
            <w:tcW w:w="12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(1,457)</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($415)</w:t>
            </w:r>
          </w:p>
        </w:tc>
      </w:tr>
      <w:tr>
        <w:trPr>
          <w:trHeight w:val="171"/>
        </w:trPr>
        <w:tc>
          <w:tcPr>
            <w:tcW w:w="620" w:type="dxa"/>
            <w:vAlign w:val="bottom"/>
          </w:tcPr>
          <w:p>
            <w:pPr>
              <w:spacing w:after="0"/>
              <w:rPr>
                <w:sz w:val="20"/>
                <w:szCs w:val="20"/>
                <w:color w:val="auto"/>
              </w:rPr>
            </w:pPr>
            <w:r>
              <w:rPr>
                <w:rFonts w:ascii="Courier New" w:cs="Courier New" w:eastAsia="Courier New" w:hAnsi="Courier New"/>
                <w:sz w:val="15"/>
                <w:szCs w:val="15"/>
                <w:color w:val="auto"/>
              </w:rPr>
              <w:t>LOANS</w:t>
            </w:r>
          </w:p>
        </w:tc>
        <w:tc>
          <w:tcPr>
            <w:tcW w:w="4380" w:type="dxa"/>
            <w:vAlign w:val="bottom"/>
          </w:tcPr>
          <w:p>
            <w:pPr>
              <w:spacing w:after="0"/>
              <w:rPr>
                <w:sz w:val="20"/>
                <w:szCs w:val="20"/>
                <w:color w:val="auto"/>
              </w:rPr>
            </w:pPr>
            <w:r>
              <w:rPr>
                <w:rFonts w:ascii="Courier New" w:cs="Courier New" w:eastAsia="Courier New" w:hAnsi="Courier New"/>
                <w:sz w:val="15"/>
                <w:szCs w:val="15"/>
                <w:color w:val="auto"/>
              </w:rPr>
              <w:t>NET</w:t>
            </w:r>
          </w:p>
        </w:tc>
        <w:tc>
          <w:tcPr>
            <w:tcW w:w="14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2,120</w:t>
            </w:r>
          </w:p>
        </w:tc>
        <w:tc>
          <w:tcPr>
            <w:tcW w:w="13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$603</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14,196</w:t>
            </w: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$4,040</w:t>
            </w:r>
          </w:p>
        </w:tc>
      </w:tr>
      <w:tr>
        <w:trPr>
          <w:trHeight w:val="171"/>
        </w:trPr>
        <w:tc>
          <w:tcPr>
            <w:tcW w:w="500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14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6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w:t>
            </w: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w:t>
            </w:r>
          </w:p>
        </w:tc>
      </w:tr>
      <w:tr>
        <w:trPr>
          <w:trHeight w:val="171"/>
        </w:trPr>
        <w:tc>
          <w:tcPr>
            <w:tcW w:w="5000" w:type="dxa"/>
            <w:vAlign w:val="bottom"/>
            <w:gridSpan w:val="2"/>
          </w:tcPr>
          <w:p>
            <w:pPr>
              <w:spacing w:after="0"/>
              <w:rPr>
                <w:sz w:val="20"/>
                <w:szCs w:val="20"/>
                <w:color w:val="auto"/>
              </w:rPr>
            </w:pPr>
            <w:r>
              <w:rPr>
                <w:rFonts w:ascii="Courier New" w:cs="Courier New" w:eastAsia="Courier New" w:hAnsi="Courier New"/>
                <w:sz w:val="15"/>
                <w:szCs w:val="15"/>
                <w:color w:val="auto"/>
              </w:rPr>
              <w:t>INVESTMENT SECURITIES AVAILABLE FOR SALE</w:t>
            </w:r>
          </w:p>
        </w:tc>
        <w:tc>
          <w:tcPr>
            <w:tcW w:w="14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7</w:t>
            </w:r>
          </w:p>
        </w:tc>
        <w:tc>
          <w:tcPr>
            <w:tcW w:w="13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$2</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416</w:t>
            </w: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$118</w:t>
            </w:r>
          </w:p>
        </w:tc>
      </w:tr>
      <w:tr>
        <w:trPr>
          <w:trHeight w:val="171"/>
        </w:trPr>
        <w:tc>
          <w:tcPr>
            <w:tcW w:w="5000" w:type="dxa"/>
            <w:vAlign w:val="bottom"/>
            <w:gridSpan w:val="2"/>
          </w:tcPr>
          <w:p>
            <w:pPr>
              <w:spacing w:after="0"/>
              <w:rPr>
                <w:sz w:val="20"/>
                <w:szCs w:val="20"/>
                <w:color w:val="auto"/>
              </w:rPr>
            </w:pPr>
            <w:r>
              <w:rPr>
                <w:rFonts w:ascii="Courier New" w:cs="Courier New" w:eastAsia="Courier New" w:hAnsi="Courier New"/>
                <w:sz w:val="15"/>
                <w:szCs w:val="15"/>
                <w:color w:val="auto"/>
              </w:rPr>
              <w:t>PROPERTY, PLANT and EQUIPMENT, net</w:t>
            </w:r>
          </w:p>
        </w:tc>
        <w:tc>
          <w:tcPr>
            <w:tcW w:w="14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146</w:t>
            </w:r>
          </w:p>
        </w:tc>
        <w:tc>
          <w:tcPr>
            <w:tcW w:w="13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$42</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779</w:t>
            </w: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$222</w:t>
            </w:r>
          </w:p>
        </w:tc>
      </w:tr>
      <w:tr>
        <w:trPr>
          <w:trHeight w:val="171"/>
        </w:trPr>
        <w:tc>
          <w:tcPr>
            <w:tcW w:w="5000" w:type="dxa"/>
            <w:vAlign w:val="bottom"/>
            <w:gridSpan w:val="2"/>
          </w:tcPr>
          <w:p>
            <w:pPr>
              <w:spacing w:after="0"/>
              <w:rPr>
                <w:sz w:val="20"/>
                <w:szCs w:val="20"/>
                <w:color w:val="auto"/>
              </w:rPr>
            </w:pPr>
            <w:r>
              <w:rPr>
                <w:rFonts w:ascii="Courier New" w:cs="Courier New" w:eastAsia="Courier New" w:hAnsi="Courier New"/>
                <w:sz w:val="15"/>
                <w:szCs w:val="15"/>
                <w:color w:val="auto"/>
              </w:rPr>
              <w:t>OTHER ASSETS</w:t>
            </w:r>
          </w:p>
        </w:tc>
        <w:tc>
          <w:tcPr>
            <w:tcW w:w="14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169</w:t>
            </w:r>
          </w:p>
        </w:tc>
        <w:tc>
          <w:tcPr>
            <w:tcW w:w="13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$48</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891</w:t>
            </w: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$253</w:t>
            </w:r>
          </w:p>
        </w:tc>
      </w:tr>
      <w:tr>
        <w:trPr>
          <w:trHeight w:val="171"/>
        </w:trPr>
        <w:tc>
          <w:tcPr>
            <w:tcW w:w="620" w:type="dxa"/>
            <w:vAlign w:val="bottom"/>
          </w:tcPr>
          <w:p>
            <w:pPr>
              <w:spacing w:after="0"/>
              <w:rPr>
                <w:sz w:val="14"/>
                <w:szCs w:val="14"/>
                <w:color w:val="auto"/>
              </w:rPr>
            </w:pPr>
          </w:p>
        </w:tc>
        <w:tc>
          <w:tcPr>
            <w:tcW w:w="4380" w:type="dxa"/>
            <w:vAlign w:val="bottom"/>
          </w:tcPr>
          <w:p>
            <w:pPr>
              <w:jc w:val="center"/>
              <w:ind w:right="1126"/>
              <w:spacing w:after="0"/>
              <w:rPr>
                <w:sz w:val="20"/>
                <w:szCs w:val="20"/>
                <w:color w:val="auto"/>
              </w:rPr>
            </w:pPr>
            <w:r>
              <w:rPr>
                <w:rFonts w:ascii="Courier New" w:cs="Courier New" w:eastAsia="Courier New" w:hAnsi="Courier New"/>
                <w:sz w:val="15"/>
                <w:szCs w:val="15"/>
                <w:color w:val="auto"/>
                <w:w w:val="98"/>
              </w:rPr>
              <w:t>TOTAL ASSETS</w:t>
            </w:r>
          </w:p>
        </w:tc>
        <w:tc>
          <w:tcPr>
            <w:tcW w:w="14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3,427</w:t>
            </w:r>
          </w:p>
        </w:tc>
        <w:tc>
          <w:tcPr>
            <w:tcW w:w="13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$975</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25,517</w:t>
            </w: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$7,261</w:t>
            </w:r>
          </w:p>
        </w:tc>
      </w:tr>
      <w:tr>
        <w:trPr>
          <w:trHeight w:val="341"/>
        </w:trPr>
        <w:tc>
          <w:tcPr>
            <w:tcW w:w="620" w:type="dxa"/>
            <w:vAlign w:val="bottom"/>
          </w:tcPr>
          <w:p>
            <w:pPr>
              <w:spacing w:after="0"/>
              <w:rPr>
                <w:sz w:val="24"/>
                <w:szCs w:val="24"/>
                <w:color w:val="auto"/>
              </w:rPr>
            </w:pPr>
          </w:p>
        </w:tc>
        <w:tc>
          <w:tcPr>
            <w:tcW w:w="4380" w:type="dxa"/>
            <w:vAlign w:val="bottom"/>
          </w:tcPr>
          <w:p>
            <w:pPr>
              <w:ind w:left="700"/>
              <w:spacing w:after="0"/>
              <w:rPr>
                <w:sz w:val="20"/>
                <w:szCs w:val="20"/>
                <w:color w:val="auto"/>
              </w:rPr>
            </w:pPr>
            <w:r>
              <w:rPr>
                <w:rFonts w:ascii="Courier New" w:cs="Courier New" w:eastAsia="Courier New" w:hAnsi="Courier New"/>
                <w:sz w:val="15"/>
                <w:szCs w:val="15"/>
                <w:color w:val="auto"/>
              </w:rPr>
              <w:t>LIABILITIES AND SHAREHOLDERS' EQUITY</w:t>
            </w:r>
          </w:p>
        </w:tc>
        <w:tc>
          <w:tcPr>
            <w:tcW w:w="1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1"/>
        </w:trPr>
        <w:tc>
          <w:tcPr>
            <w:tcW w:w="5000" w:type="dxa"/>
            <w:vAlign w:val="bottom"/>
            <w:gridSpan w:val="2"/>
          </w:tcPr>
          <w:p>
            <w:pPr>
              <w:spacing w:after="0"/>
              <w:rPr>
                <w:sz w:val="20"/>
                <w:szCs w:val="20"/>
                <w:color w:val="auto"/>
              </w:rPr>
            </w:pPr>
            <w:r>
              <w:rPr>
                <w:rFonts w:ascii="Courier New" w:cs="Courier New" w:eastAsia="Courier New" w:hAnsi="Courier New"/>
                <w:sz w:val="15"/>
                <w:szCs w:val="15"/>
                <w:color w:val="auto"/>
              </w:rPr>
              <w:t>DEPOSITS AND OBLIGATIONS:</w:t>
            </w:r>
          </w:p>
        </w:tc>
        <w:tc>
          <w:tcPr>
            <w:tcW w:w="14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2,920</w:t>
            </w:r>
          </w:p>
        </w:tc>
        <w:tc>
          <w:tcPr>
            <w:tcW w:w="13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$831</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21,802</w:t>
            </w: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$6,204</w:t>
            </w:r>
          </w:p>
        </w:tc>
      </w:tr>
      <w:tr>
        <w:trPr>
          <w:trHeight w:val="171"/>
        </w:trPr>
        <w:tc>
          <w:tcPr>
            <w:tcW w:w="5000" w:type="dxa"/>
            <w:vAlign w:val="bottom"/>
            <w:gridSpan w:val="2"/>
          </w:tcPr>
          <w:p>
            <w:pPr>
              <w:spacing w:after="0"/>
              <w:rPr>
                <w:sz w:val="20"/>
                <w:szCs w:val="20"/>
                <w:color w:val="auto"/>
              </w:rPr>
            </w:pPr>
            <w:r>
              <w:rPr>
                <w:rFonts w:ascii="Courier New" w:cs="Courier New" w:eastAsia="Courier New" w:hAnsi="Courier New"/>
                <w:sz w:val="15"/>
                <w:szCs w:val="15"/>
                <w:color w:val="auto"/>
              </w:rPr>
              <w:t>DUE TO BANKS  AND CORRESPONDENTS</w:t>
            </w:r>
          </w:p>
        </w:tc>
        <w:tc>
          <w:tcPr>
            <w:tcW w:w="14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82</w:t>
            </w:r>
          </w:p>
        </w:tc>
        <w:tc>
          <w:tcPr>
            <w:tcW w:w="13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$23</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555</w:t>
            </w: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$158</w:t>
            </w:r>
          </w:p>
        </w:tc>
      </w:tr>
      <w:tr>
        <w:trPr>
          <w:trHeight w:val="171"/>
        </w:trPr>
        <w:tc>
          <w:tcPr>
            <w:tcW w:w="5000" w:type="dxa"/>
            <w:vAlign w:val="bottom"/>
            <w:gridSpan w:val="2"/>
          </w:tcPr>
          <w:p>
            <w:pPr>
              <w:spacing w:after="0"/>
              <w:rPr>
                <w:sz w:val="20"/>
                <w:szCs w:val="20"/>
                <w:color w:val="auto"/>
              </w:rPr>
            </w:pPr>
            <w:r>
              <w:rPr>
                <w:rFonts w:ascii="Courier New" w:cs="Courier New" w:eastAsia="Courier New" w:hAnsi="Courier New"/>
                <w:sz w:val="15"/>
                <w:szCs w:val="15"/>
                <w:color w:val="auto"/>
              </w:rPr>
              <w:t>OTHER LIABILITIES</w:t>
            </w:r>
          </w:p>
        </w:tc>
        <w:tc>
          <w:tcPr>
            <w:tcW w:w="14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241</w:t>
            </w:r>
          </w:p>
        </w:tc>
        <w:tc>
          <w:tcPr>
            <w:tcW w:w="13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$69</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1,165</w:t>
            </w: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$331</w:t>
            </w:r>
          </w:p>
        </w:tc>
      </w:tr>
      <w:tr>
        <w:trPr>
          <w:trHeight w:val="171"/>
        </w:trPr>
        <w:tc>
          <w:tcPr>
            <w:tcW w:w="5000" w:type="dxa"/>
            <w:vAlign w:val="bottom"/>
            <w:gridSpan w:val="2"/>
          </w:tcPr>
          <w:p>
            <w:pPr>
              <w:spacing w:after="0"/>
              <w:rPr>
                <w:sz w:val="20"/>
                <w:szCs w:val="20"/>
                <w:color w:val="auto"/>
              </w:rPr>
            </w:pPr>
            <w:r>
              <w:rPr>
                <w:rFonts w:ascii="Courier New" w:cs="Courier New" w:eastAsia="Courier New" w:hAnsi="Courier New"/>
                <w:sz w:val="15"/>
                <w:szCs w:val="15"/>
                <w:color w:val="auto"/>
              </w:rPr>
              <w:t>SHAREHOLDERS EQUITY:</w:t>
            </w:r>
          </w:p>
        </w:tc>
        <w:tc>
          <w:tcPr>
            <w:tcW w:w="14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183</w:t>
            </w:r>
          </w:p>
        </w:tc>
        <w:tc>
          <w:tcPr>
            <w:tcW w:w="13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$52</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1,995</w:t>
            </w: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$568</w:t>
            </w:r>
          </w:p>
        </w:tc>
      </w:tr>
      <w:tr>
        <w:trPr>
          <w:trHeight w:val="171"/>
        </w:trPr>
        <w:tc>
          <w:tcPr>
            <w:tcW w:w="6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4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spacing w:after="0"/>
              <w:rPr>
                <w:sz w:val="14"/>
                <w:szCs w:val="14"/>
                <w:color w:val="auto"/>
              </w:rPr>
            </w:pP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4"/>
                <w:szCs w:val="14"/>
                <w:color w:val="auto"/>
              </w:rPr>
            </w:pPr>
          </w:p>
        </w:tc>
      </w:tr>
      <w:tr>
        <w:trPr>
          <w:trHeight w:val="171"/>
        </w:trPr>
        <w:tc>
          <w:tcPr>
            <w:tcW w:w="620" w:type="dxa"/>
            <w:vAlign w:val="bottom"/>
          </w:tcPr>
          <w:p>
            <w:pPr>
              <w:spacing w:after="0"/>
              <w:rPr>
                <w:sz w:val="14"/>
                <w:szCs w:val="14"/>
                <w:color w:val="auto"/>
              </w:rPr>
            </w:pPr>
          </w:p>
        </w:tc>
        <w:tc>
          <w:tcPr>
            <w:tcW w:w="4380" w:type="dxa"/>
            <w:vAlign w:val="bottom"/>
          </w:tcPr>
          <w:p>
            <w:pPr>
              <w:jc w:val="center"/>
              <w:ind w:right="1126"/>
              <w:spacing w:after="0"/>
              <w:rPr>
                <w:sz w:val="20"/>
                <w:szCs w:val="20"/>
                <w:color w:val="auto"/>
              </w:rPr>
            </w:pPr>
            <w:r>
              <w:rPr>
                <w:rFonts w:ascii="Courier New" w:cs="Courier New" w:eastAsia="Courier New" w:hAnsi="Courier New"/>
                <w:sz w:val="15"/>
                <w:szCs w:val="15"/>
                <w:color w:val="auto"/>
                <w:w w:val="99"/>
              </w:rPr>
              <w:t>TOTAL LIABILITIES AND EQUITY</w:t>
            </w:r>
          </w:p>
        </w:tc>
        <w:tc>
          <w:tcPr>
            <w:tcW w:w="14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3,427</w:t>
            </w:r>
          </w:p>
        </w:tc>
        <w:tc>
          <w:tcPr>
            <w:tcW w:w="13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$975</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25,517</w:t>
            </w: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$7,261</w:t>
            </w:r>
          </w:p>
        </w:tc>
      </w:tr>
      <w:tr>
        <w:trPr>
          <w:trHeight w:val="171"/>
        </w:trPr>
        <w:tc>
          <w:tcPr>
            <w:tcW w:w="50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Contingent Credits</w:t>
            </w:r>
          </w:p>
        </w:tc>
        <w:tc>
          <w:tcPr>
            <w:tcW w:w="14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1,231</w:t>
            </w:r>
          </w:p>
        </w:tc>
        <w:tc>
          <w:tcPr>
            <w:tcW w:w="13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$350</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5,465</w:t>
            </w: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$1,555</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351" w:lineRule="exact"/>
        <w:rPr>
          <w:sz w:val="20"/>
          <w:szCs w:val="20"/>
          <w:color w:val="auto"/>
        </w:rPr>
      </w:pPr>
    </w:p>
    <w:p>
      <w:pPr>
        <w:ind w:left="449" w:hanging="449"/>
        <w:spacing w:after="0"/>
        <w:tabs>
          <w:tab w:leader="none" w:pos="449"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Translated at S/.3.514 per US$1.00.</w:t>
      </w:r>
    </w:p>
    <w:p>
      <w:pPr>
        <w:spacing w:after="0" w:line="345" w:lineRule="exact"/>
        <w:rPr>
          <w:sz w:val="20"/>
          <w:szCs w:val="20"/>
          <w:color w:val="auto"/>
        </w:rPr>
      </w:pPr>
    </w:p>
    <w:p>
      <w:pPr>
        <w:ind w:left="9" w:right="3219" w:firstLine="444"/>
        <w:spacing w:after="0"/>
        <w:rPr>
          <w:sz w:val="20"/>
          <w:szCs w:val="20"/>
          <w:color w:val="auto"/>
        </w:rPr>
      </w:pPr>
      <w:r>
        <w:rPr>
          <w:rFonts w:ascii="Courier New" w:cs="Courier New" w:eastAsia="Courier New" w:hAnsi="Courier New"/>
          <w:sz w:val="15"/>
          <w:szCs w:val="15"/>
          <w:color w:val="auto"/>
        </w:rPr>
        <w:t>Consolidated total loans were S/.15,653 million (US$4,454 million) at the end of December 2002, increasing 22.7% compared to September 2002, and by 21.5% with respect to year-end 2001. At December 31, 2002, the loan portfolio, net of provisions, represented 55.6% of total assets, higher than 55.2% a year-ago. At the end of the fourth quarter of 2002, the Nuevos Soles portion of the loan portfolio was 15.2%, slightly over 14.9% in September 2002, but below 15.8% as of December 2001.</w:t>
      </w:r>
    </w:p>
    <w:p>
      <w:pPr>
        <w:spacing w:after="0" w:line="176" w:lineRule="exact"/>
        <w:rPr>
          <w:sz w:val="20"/>
          <w:szCs w:val="20"/>
          <w:color w:val="auto"/>
        </w:rPr>
      </w:pPr>
    </w:p>
    <w:p>
      <w:pPr>
        <w:ind w:left="9" w:right="3219" w:firstLine="444"/>
        <w:spacing w:after="0" w:line="260" w:lineRule="auto"/>
        <w:rPr>
          <w:sz w:val="20"/>
          <w:szCs w:val="20"/>
          <w:color w:val="auto"/>
        </w:rPr>
      </w:pPr>
      <w:r>
        <w:rPr>
          <w:rFonts w:ascii="Courier New" w:cs="Courier New" w:eastAsia="Courier New" w:hAnsi="Courier New"/>
          <w:sz w:val="14"/>
          <w:szCs w:val="14"/>
          <w:color w:val="auto"/>
        </w:rPr>
        <w:t>As of December 31, 2002 total deposits were S/.21,802 million (US$6,204 million), increasing 18.7% during the current quarter, and by 22.1% since the beginning of the year. During the present quarter, demand deposits grew 26.3%, time deposits increased 18.9% and savings deposits by 12.6%. Deposits denominated in Nuevos Soles were 21.8% of total deposits, remaining similar to 21.9% at September 2002, but increasing over 19.8% at the end of December 2001.</w:t>
      </w:r>
    </w:p>
    <w:p>
      <w:pPr>
        <w:spacing w:after="0" w:line="33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28"/>
          </w:cols>
          <w:pgMar w:left="231" w:top="628" w:right="1440" w:bottom="1440" w:gutter="0" w:footer="0" w:header="0"/>
        </w:sectPr>
      </w:pPr>
    </w:p>
    <w:bookmarkStart w:id="20" w:name="page21"/>
    <w:bookmarkEnd w:id="20"/>
    <w:p>
      <w:pPr>
        <w:ind w:right="3299" w:firstLine="444"/>
        <w:spacing w:after="0" w:line="238" w:lineRule="auto"/>
        <w:rPr>
          <w:sz w:val="20"/>
          <w:szCs w:val="20"/>
          <w:color w:val="auto"/>
        </w:rPr>
      </w:pPr>
      <w:r>
        <w:rPr>
          <w:rFonts w:ascii="Courier New" w:cs="Courier New" w:eastAsia="Courier New" w:hAnsi="Courier New"/>
          <w:sz w:val="15"/>
          <w:szCs w:val="15"/>
          <w:color w:val="auto"/>
        </w:rPr>
        <w:t>BCP's subsidiaries had the following loan, net of provisions, and deposit contributions: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Loans,</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net</w:t>
            </w: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20" w:type="dxa"/>
            <w:vAlign w:val="bottom"/>
          </w:tcPr>
          <w:p>
            <w:pPr>
              <w:ind w:left="180"/>
              <w:spacing w:after="0"/>
              <w:rPr>
                <w:sz w:val="20"/>
                <w:szCs w:val="20"/>
                <w:color w:val="auto"/>
              </w:rPr>
            </w:pPr>
            <w:r>
              <w:rPr>
                <w:rFonts w:ascii="Courier New" w:cs="Courier New" w:eastAsia="Courier New" w:hAnsi="Courier New"/>
                <w:sz w:val="15"/>
                <w:szCs w:val="15"/>
                <w:color w:val="auto"/>
              </w:rPr>
              <w:t>Total Deposits</w:t>
            </w:r>
          </w:p>
        </w:tc>
        <w:tc>
          <w:tcPr>
            <w:tcW w:w="440" w:type="dxa"/>
            <w:vAlign w:val="bottom"/>
          </w:tcPr>
          <w:p>
            <w:pPr>
              <w:spacing w:after="0"/>
              <w:rPr>
                <w:sz w:val="14"/>
                <w:szCs w:val="14"/>
                <w:color w:val="auto"/>
              </w:rPr>
            </w:pPr>
          </w:p>
        </w:tc>
      </w:tr>
      <w:tr>
        <w:trPr>
          <w:trHeight w:val="171"/>
        </w:trPr>
        <w:tc>
          <w:tcPr>
            <w:tcW w:w="2380" w:type="dxa"/>
            <w:vAlign w:val="bottom"/>
          </w:tcPr>
          <w:p>
            <w:pPr>
              <w:spacing w:after="0"/>
              <w:rPr>
                <w:sz w:val="20"/>
                <w:szCs w:val="20"/>
                <w:color w:val="auto"/>
              </w:rPr>
            </w:pPr>
            <w:r>
              <w:rPr>
                <w:rFonts w:ascii="Courier New" w:cs="Courier New" w:eastAsia="Courier New" w:hAnsi="Courier New"/>
                <w:sz w:val="15"/>
                <w:szCs w:val="15"/>
                <w:color w:val="auto"/>
              </w:rPr>
              <w:t>(In % and constant S/.Mn.</w:t>
            </w:r>
          </w:p>
        </w:tc>
        <w:tc>
          <w:tcPr>
            <w:tcW w:w="94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ind w:left="660"/>
              <w:spacing w:after="0"/>
              <w:rPr>
                <w:sz w:val="20"/>
                <w:szCs w:val="20"/>
                <w:color w:val="auto"/>
              </w:rPr>
            </w:pPr>
            <w:r>
              <w:rPr>
                <w:rFonts w:ascii="Courier New" w:cs="Courier New" w:eastAsia="Courier New" w:hAnsi="Courier New"/>
                <w:sz w:val="15"/>
                <w:szCs w:val="15"/>
                <w:color w:val="auto"/>
              </w:rPr>
              <w:t>4Q01</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3Q02</w:t>
            </w:r>
          </w:p>
        </w:tc>
        <w:tc>
          <w:tcPr>
            <w:tcW w:w="540" w:type="dxa"/>
            <w:vAlign w:val="bottom"/>
          </w:tcPr>
          <w:p>
            <w:pPr>
              <w:spacing w:after="0"/>
              <w:rPr>
                <w:sz w:val="14"/>
                <w:szCs w:val="14"/>
                <w:color w:val="auto"/>
              </w:rPr>
            </w:pPr>
          </w:p>
        </w:tc>
        <w:tc>
          <w:tcPr>
            <w:tcW w:w="920" w:type="dxa"/>
            <w:vAlign w:val="bottom"/>
          </w:tcPr>
          <w:p>
            <w:pPr>
              <w:ind w:left="220"/>
              <w:spacing w:after="0"/>
              <w:rPr>
                <w:sz w:val="20"/>
                <w:szCs w:val="20"/>
                <w:color w:val="auto"/>
              </w:rPr>
            </w:pPr>
            <w:r>
              <w:rPr>
                <w:rFonts w:ascii="Courier New" w:cs="Courier New" w:eastAsia="Courier New" w:hAnsi="Courier New"/>
                <w:sz w:val="15"/>
                <w:szCs w:val="15"/>
                <w:color w:val="auto"/>
              </w:rPr>
              <w:t>4Q02</w:t>
            </w:r>
          </w:p>
        </w:tc>
        <w:tc>
          <w:tcPr>
            <w:tcW w:w="880" w:type="dxa"/>
            <w:vAlign w:val="bottom"/>
          </w:tcPr>
          <w:p>
            <w:pPr>
              <w:ind w:left="360"/>
              <w:spacing w:after="0"/>
              <w:rPr>
                <w:sz w:val="20"/>
                <w:szCs w:val="20"/>
                <w:color w:val="auto"/>
              </w:rPr>
            </w:pPr>
            <w:r>
              <w:rPr>
                <w:rFonts w:ascii="Courier New" w:cs="Courier New" w:eastAsia="Courier New" w:hAnsi="Courier New"/>
                <w:sz w:val="15"/>
                <w:szCs w:val="15"/>
                <w:color w:val="auto"/>
              </w:rPr>
              <w:t>4Q01</w:t>
            </w:r>
          </w:p>
        </w:tc>
        <w:tc>
          <w:tcPr>
            <w:tcW w:w="1520" w:type="dxa"/>
            <w:vAlign w:val="bottom"/>
          </w:tcPr>
          <w:p>
            <w:pPr>
              <w:ind w:left="540"/>
              <w:spacing w:after="0"/>
              <w:rPr>
                <w:sz w:val="20"/>
                <w:szCs w:val="20"/>
                <w:color w:val="auto"/>
              </w:rPr>
            </w:pPr>
            <w:r>
              <w:rPr>
                <w:rFonts w:ascii="Courier New" w:cs="Courier New" w:eastAsia="Courier New" w:hAnsi="Courier New"/>
                <w:sz w:val="15"/>
                <w:szCs w:val="15"/>
                <w:color w:val="auto"/>
              </w:rPr>
              <w:t>3Q02</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w w:val="94"/>
              </w:rPr>
              <w:t>4Q02</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40" w:type="dxa"/>
            <w:vAlign w:val="bottom"/>
          </w:tcPr>
          <w:p>
            <w:pPr>
              <w:spacing w:after="0"/>
              <w:rPr>
                <w:sz w:val="20"/>
                <w:szCs w:val="20"/>
                <w:color w:val="auto"/>
              </w:rPr>
            </w:pPr>
            <w:r>
              <w:rPr>
                <w:rFonts w:ascii="Courier New" w:cs="Courier New" w:eastAsia="Courier New" w:hAnsi="Courier New"/>
                <w:sz w:val="15"/>
                <w:szCs w:val="15"/>
                <w:color w:val="auto"/>
              </w:rPr>
              <w:t>Banco de Credito del Peru</w:t>
            </w:r>
          </w:p>
        </w:tc>
        <w:tc>
          <w:tcPr>
            <w:tcW w:w="14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71.1%</w:t>
            </w:r>
          </w:p>
        </w:tc>
        <w:tc>
          <w:tcPr>
            <w:tcW w:w="12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81.4%</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71.3%</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79.8%</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88.6%</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76.9%</w:t>
            </w:r>
          </w:p>
        </w:tc>
      </w:tr>
      <w:tr>
        <w:trPr>
          <w:trHeight w:val="171"/>
        </w:trPr>
        <w:tc>
          <w:tcPr>
            <w:tcW w:w="3240" w:type="dxa"/>
            <w:vAlign w:val="bottom"/>
          </w:tcPr>
          <w:p>
            <w:pPr>
              <w:spacing w:after="0"/>
              <w:rPr>
                <w:sz w:val="20"/>
                <w:szCs w:val="20"/>
                <w:color w:val="auto"/>
              </w:rPr>
            </w:pPr>
            <w:r>
              <w:rPr>
                <w:rFonts w:ascii="Courier New" w:cs="Courier New" w:eastAsia="Courier New" w:hAnsi="Courier New"/>
                <w:sz w:val="15"/>
                <w:szCs w:val="15"/>
                <w:color w:val="auto"/>
              </w:rPr>
              <w:t>Banco Santander Peru</w:t>
            </w:r>
          </w:p>
        </w:tc>
        <w:tc>
          <w:tcPr>
            <w:tcW w:w="14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14.9%</w:t>
            </w:r>
          </w:p>
        </w:tc>
        <w:tc>
          <w:tcPr>
            <w:tcW w:w="10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13.4%</w:t>
            </w:r>
          </w:p>
        </w:tc>
      </w:tr>
      <w:tr>
        <w:trPr>
          <w:trHeight w:val="171"/>
        </w:trPr>
        <w:tc>
          <w:tcPr>
            <w:tcW w:w="3240" w:type="dxa"/>
            <w:vAlign w:val="bottom"/>
          </w:tcPr>
          <w:p>
            <w:pPr>
              <w:spacing w:after="0"/>
              <w:rPr>
                <w:sz w:val="20"/>
                <w:szCs w:val="20"/>
                <w:color w:val="auto"/>
              </w:rPr>
            </w:pPr>
            <w:r>
              <w:rPr>
                <w:rFonts w:ascii="Courier New" w:cs="Courier New" w:eastAsia="Courier New" w:hAnsi="Courier New"/>
                <w:sz w:val="15"/>
                <w:szCs w:val="15"/>
                <w:color w:val="auto"/>
              </w:rPr>
              <w:t>Banco de Credito de Bolivia</w:t>
            </w:r>
          </w:p>
        </w:tc>
        <w:tc>
          <w:tcPr>
            <w:tcW w:w="14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13.1%</w:t>
            </w:r>
          </w:p>
        </w:tc>
        <w:tc>
          <w:tcPr>
            <w:tcW w:w="12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9.2%</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6.6%</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9.8%</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6.0%</w:t>
            </w:r>
          </w:p>
        </w:tc>
      </w:tr>
      <w:tr>
        <w:trPr>
          <w:trHeight w:val="171"/>
        </w:trPr>
        <w:tc>
          <w:tcPr>
            <w:tcW w:w="3240" w:type="dxa"/>
            <w:vAlign w:val="bottom"/>
          </w:tcPr>
          <w:p>
            <w:pPr>
              <w:spacing w:after="0"/>
              <w:rPr>
                <w:sz w:val="20"/>
                <w:szCs w:val="20"/>
                <w:color w:val="auto"/>
              </w:rPr>
            </w:pPr>
            <w:r>
              <w:rPr>
                <w:rFonts w:ascii="Courier New" w:cs="Courier New" w:eastAsia="Courier New" w:hAnsi="Courier New"/>
                <w:sz w:val="15"/>
                <w:szCs w:val="15"/>
                <w:color w:val="auto"/>
              </w:rPr>
              <w:t>Banco de Credito Overseas</w:t>
            </w:r>
          </w:p>
        </w:tc>
        <w:tc>
          <w:tcPr>
            <w:tcW w:w="14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9.5%</w:t>
            </w:r>
          </w:p>
        </w:tc>
        <w:tc>
          <w:tcPr>
            <w:tcW w:w="12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1.3%</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0.5%</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7.3%</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0.3%</w:t>
            </w:r>
          </w:p>
        </w:tc>
      </w:tr>
      <w:tr>
        <w:trPr>
          <w:trHeight w:val="171"/>
        </w:trPr>
        <w:tc>
          <w:tcPr>
            <w:tcW w:w="3240" w:type="dxa"/>
            <w:vAlign w:val="bottom"/>
          </w:tcPr>
          <w:p>
            <w:pPr>
              <w:spacing w:after="0"/>
              <w:rPr>
                <w:sz w:val="20"/>
                <w:szCs w:val="20"/>
                <w:color w:val="auto"/>
              </w:rPr>
            </w:pPr>
            <w:r>
              <w:rPr>
                <w:rFonts w:ascii="Courier New" w:cs="Courier New" w:eastAsia="Courier New" w:hAnsi="Courier New"/>
                <w:sz w:val="15"/>
                <w:szCs w:val="15"/>
                <w:color w:val="auto"/>
              </w:rPr>
              <w:t>Credito Leasing</w:t>
            </w:r>
          </w:p>
        </w:tc>
        <w:tc>
          <w:tcPr>
            <w:tcW w:w="14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4.9%</w:t>
            </w:r>
          </w:p>
        </w:tc>
        <w:tc>
          <w:tcPr>
            <w:tcW w:w="12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6.1%</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4.8%</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2.7%</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r>
      <w:tr>
        <w:trPr>
          <w:trHeight w:val="171"/>
        </w:trPr>
        <w:tc>
          <w:tcPr>
            <w:tcW w:w="3240" w:type="dxa"/>
            <w:vAlign w:val="bottom"/>
          </w:tcPr>
          <w:p>
            <w:pPr>
              <w:spacing w:after="0"/>
              <w:rPr>
                <w:sz w:val="20"/>
                <w:szCs w:val="20"/>
                <w:color w:val="auto"/>
              </w:rPr>
            </w:pPr>
            <w:r>
              <w:rPr>
                <w:rFonts w:ascii="Courier New" w:cs="Courier New" w:eastAsia="Courier New" w:hAnsi="Courier New"/>
                <w:sz w:val="15"/>
                <w:szCs w:val="15"/>
                <w:color w:val="auto"/>
              </w:rPr>
              <w:t>Solucion Financiera de Credito</w:t>
            </w:r>
          </w:p>
        </w:tc>
        <w:tc>
          <w:tcPr>
            <w:tcW w:w="14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1.4%</w:t>
            </w:r>
          </w:p>
        </w:tc>
        <w:tc>
          <w:tcPr>
            <w:tcW w:w="12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2.0%</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0.4%</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71"/>
        </w:trPr>
        <w:tc>
          <w:tcPr>
            <w:tcW w:w="3240" w:type="dxa"/>
            <w:vAlign w:val="bottom"/>
          </w:tcPr>
          <w:p>
            <w:pPr>
              <w:ind w:left="80"/>
              <w:spacing w:after="0"/>
              <w:rPr>
                <w:sz w:val="20"/>
                <w:szCs w:val="20"/>
                <w:color w:val="auto"/>
              </w:rPr>
            </w:pPr>
            <w:r>
              <w:rPr>
                <w:rFonts w:ascii="Courier New" w:cs="Courier New" w:eastAsia="Courier New" w:hAnsi="Courier New"/>
                <w:sz w:val="15"/>
                <w:szCs w:val="15"/>
                <w:color w:val="auto"/>
              </w:rPr>
              <w:t>TOTAL%</w:t>
            </w:r>
          </w:p>
        </w:tc>
        <w:tc>
          <w:tcPr>
            <w:tcW w:w="14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100.0%</w:t>
            </w:r>
          </w:p>
        </w:tc>
        <w:tc>
          <w:tcPr>
            <w:tcW w:w="12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100.0%</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100.0%</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100.0%</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100.0%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p>
      <w:pPr>
        <w:spacing w:after="0"/>
        <w:tabs>
          <w:tab w:leader="none" w:pos="3520" w:val="left"/>
          <w:tab w:leader="none" w:pos="4760" w:val="left"/>
          <w:tab w:leader="none" w:pos="5920" w:val="left"/>
          <w:tab w:leader="none" w:pos="6900" w:val="left"/>
          <w:tab w:leader="none" w:pos="7960" w:val="left"/>
          <w:tab w:leader="none" w:pos="9020" w:val="left"/>
        </w:tabs>
        <w:rPr>
          <w:sz w:val="20"/>
          <w:szCs w:val="20"/>
          <w:color w:val="auto"/>
        </w:rPr>
      </w:pPr>
      <w:r>
        <w:rPr>
          <w:rFonts w:ascii="Courier New" w:cs="Courier New" w:eastAsia="Courier New" w:hAnsi="Courier New"/>
          <w:sz w:val="15"/>
          <w:szCs w:val="15"/>
          <w:color w:val="auto"/>
        </w:rPr>
        <w:t>BCP consolidated Total</w:t>
      </w:r>
      <w:r>
        <w:rPr>
          <w:sz w:val="20"/>
          <w:szCs w:val="20"/>
          <w:color w:val="auto"/>
        </w:rPr>
        <w:tab/>
      </w:r>
      <w:r>
        <w:rPr>
          <w:rFonts w:ascii="Courier New" w:cs="Courier New" w:eastAsia="Courier New" w:hAnsi="Courier New"/>
          <w:sz w:val="15"/>
          <w:szCs w:val="15"/>
          <w:color w:val="auto"/>
        </w:rPr>
        <w:t>S/.11,693</w:t>
      </w:r>
      <w:r>
        <w:rPr>
          <w:sz w:val="20"/>
          <w:szCs w:val="20"/>
          <w:color w:val="auto"/>
        </w:rPr>
        <w:tab/>
      </w:r>
      <w:r>
        <w:rPr>
          <w:rFonts w:ascii="Courier New" w:cs="Courier New" w:eastAsia="Courier New" w:hAnsi="Courier New"/>
          <w:sz w:val="15"/>
          <w:szCs w:val="15"/>
          <w:color w:val="auto"/>
        </w:rPr>
        <w:t>S/.11,632</w:t>
      </w:r>
      <w:r>
        <w:rPr>
          <w:sz w:val="20"/>
          <w:szCs w:val="20"/>
          <w:color w:val="auto"/>
        </w:rPr>
        <w:tab/>
      </w:r>
      <w:r>
        <w:rPr>
          <w:rFonts w:ascii="Courier New" w:cs="Courier New" w:eastAsia="Courier New" w:hAnsi="Courier New"/>
          <w:sz w:val="15"/>
          <w:szCs w:val="15"/>
          <w:color w:val="auto"/>
        </w:rPr>
        <w:t>S/.14,196</w:t>
        <w:tab/>
        <w:t>S/.17,863</w:t>
        <w:tab/>
        <w:t>S/.18,371</w:t>
      </w:r>
      <w:r>
        <w:rPr>
          <w:sz w:val="20"/>
          <w:szCs w:val="20"/>
          <w:color w:val="auto"/>
        </w:rPr>
        <w:tab/>
      </w:r>
      <w:r>
        <w:rPr>
          <w:rFonts w:ascii="Courier New" w:cs="Courier New" w:eastAsia="Courier New" w:hAnsi="Courier New"/>
          <w:sz w:val="14"/>
          <w:szCs w:val="14"/>
          <w:color w:val="auto"/>
        </w:rPr>
        <w:t>S/.21,801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53"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According to statistics from the Peruvian Banking Association (ASBANC) for Peruvian commercial banks as of December 31, 2002, Banco de Credito del Peru had a total loan market share of 29.7% (27.8% at September 30, 2002 and 27.2% at December 31, 2001), and 34.0% of deposits (32.9% at September 30, 2002 and 30.9% at December 31, 2001). At December 31, 2002, BSCH Peru's loan market share was 6.6% and 4.7% of deposits.</w:t>
      </w:r>
    </w:p>
    <w:p>
      <w:pPr>
        <w:spacing w:after="0" w:line="200" w:lineRule="exact"/>
        <w:rPr>
          <w:sz w:val="20"/>
          <w:szCs w:val="20"/>
          <w:color w:val="auto"/>
        </w:rPr>
      </w:pPr>
    </w:p>
    <w:p>
      <w:pPr>
        <w:spacing w:after="0" w:line="31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Loan portfolio composition by business segment developed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20" w:type="dxa"/>
            <w:vAlign w:val="bottom"/>
          </w:tcPr>
          <w:p>
            <w:pPr>
              <w:spacing w:after="0"/>
              <w:rPr>
                <w:sz w:val="20"/>
                <w:szCs w:val="20"/>
                <w:color w:val="auto"/>
              </w:rPr>
            </w:pPr>
            <w:r>
              <w:rPr>
                <w:rFonts w:ascii="Courier New" w:cs="Courier New" w:eastAsia="Courier New" w:hAnsi="Courier New"/>
                <w:sz w:val="15"/>
                <w:szCs w:val="15"/>
                <w:color w:val="auto"/>
              </w:rPr>
              <w:t>(In % of total and constant S/. Mn)</w:t>
            </w:r>
          </w:p>
        </w:tc>
        <w:tc>
          <w:tcPr>
            <w:tcW w:w="19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31.12.01  30.09.02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31.12.02</w:t>
            </w:r>
          </w:p>
        </w:tc>
      </w:tr>
    </w:tbl>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00" w:type="dxa"/>
            <w:vAlign w:val="bottom"/>
          </w:tcPr>
          <w:p>
            <w:pPr>
              <w:spacing w:after="0"/>
              <w:rPr>
                <w:sz w:val="20"/>
                <w:szCs w:val="20"/>
                <w:color w:val="auto"/>
              </w:rPr>
            </w:pPr>
            <w:r>
              <w:rPr>
                <w:rFonts w:ascii="Courier New" w:cs="Courier New" w:eastAsia="Courier New" w:hAnsi="Courier New"/>
                <w:sz w:val="15"/>
                <w:szCs w:val="15"/>
                <w:color w:val="auto"/>
              </w:rPr>
              <w:t>Corporate</w:t>
            </w:r>
          </w:p>
        </w:tc>
        <w:tc>
          <w:tcPr>
            <w:tcW w:w="19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44.9%</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46.7%</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42.6%</w:t>
            </w:r>
          </w:p>
        </w:tc>
      </w:tr>
      <w:tr>
        <w:trPr>
          <w:trHeight w:val="171"/>
        </w:trPr>
        <w:tc>
          <w:tcPr>
            <w:tcW w:w="2700" w:type="dxa"/>
            <w:vAlign w:val="bottom"/>
          </w:tcPr>
          <w:p>
            <w:pPr>
              <w:spacing w:after="0"/>
              <w:rPr>
                <w:sz w:val="20"/>
                <w:szCs w:val="20"/>
                <w:color w:val="auto"/>
              </w:rPr>
            </w:pPr>
            <w:r>
              <w:rPr>
                <w:rFonts w:ascii="Courier New" w:cs="Courier New" w:eastAsia="Courier New" w:hAnsi="Courier New"/>
                <w:sz w:val="15"/>
                <w:szCs w:val="15"/>
                <w:color w:val="auto"/>
              </w:rPr>
              <w:t>Middle market</w:t>
            </w:r>
          </w:p>
        </w:tc>
        <w:tc>
          <w:tcPr>
            <w:tcW w:w="19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27.0%</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26.3%</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28.3%</w:t>
            </w:r>
          </w:p>
        </w:tc>
      </w:tr>
      <w:tr>
        <w:trPr>
          <w:trHeight w:val="171"/>
        </w:trPr>
        <w:tc>
          <w:tcPr>
            <w:tcW w:w="2700" w:type="dxa"/>
            <w:vAlign w:val="bottom"/>
          </w:tcPr>
          <w:p>
            <w:pPr>
              <w:spacing w:after="0"/>
              <w:rPr>
                <w:sz w:val="20"/>
                <w:szCs w:val="20"/>
                <w:color w:val="auto"/>
              </w:rPr>
            </w:pPr>
            <w:r>
              <w:rPr>
                <w:rFonts w:ascii="Courier New" w:cs="Courier New" w:eastAsia="Courier New" w:hAnsi="Courier New"/>
                <w:sz w:val="15"/>
                <w:szCs w:val="15"/>
                <w:color w:val="auto"/>
              </w:rPr>
              <w:t>Retail:</w:t>
            </w:r>
          </w:p>
        </w:tc>
        <w:tc>
          <w:tcPr>
            <w:tcW w:w="19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28.1%</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27.0%</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29.1%</w:t>
            </w:r>
          </w:p>
        </w:tc>
      </w:tr>
      <w:tr>
        <w:trPr>
          <w:trHeight w:val="171"/>
        </w:trPr>
        <w:tc>
          <w:tcPr>
            <w:tcW w:w="2700" w:type="dxa"/>
            <w:vAlign w:val="bottom"/>
          </w:tcPr>
          <w:p>
            <w:pPr>
              <w:spacing w:after="0"/>
              <w:rPr>
                <w:sz w:val="20"/>
                <w:szCs w:val="20"/>
                <w:color w:val="auto"/>
              </w:rPr>
            </w:pPr>
            <w:r>
              <w:rPr>
                <w:rFonts w:ascii="Courier New" w:cs="Courier New" w:eastAsia="Courier New" w:hAnsi="Courier New"/>
                <w:sz w:val="15"/>
                <w:szCs w:val="15"/>
                <w:color w:val="auto"/>
              </w:rPr>
              <w:t>- - small business</w:t>
            </w:r>
          </w:p>
        </w:tc>
        <w:tc>
          <w:tcPr>
            <w:tcW w:w="1900" w:type="dxa"/>
            <w:vAlign w:val="bottom"/>
          </w:tcPr>
          <w:p>
            <w:pPr>
              <w:jc w:val="right"/>
              <w:ind w:right="6"/>
              <w:spacing w:after="0"/>
              <w:rPr>
                <w:sz w:val="20"/>
                <w:szCs w:val="20"/>
                <w:color w:val="auto"/>
              </w:rPr>
            </w:pPr>
            <w:r>
              <w:rPr>
                <w:rFonts w:ascii="Courier New" w:cs="Courier New" w:eastAsia="Courier New" w:hAnsi="Courier New"/>
                <w:sz w:val="15"/>
                <w:szCs w:val="15"/>
                <w:color w:val="auto"/>
              </w:rPr>
              <w:t>9.7%</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9.8%</w:t>
            </w:r>
          </w:p>
        </w:tc>
      </w:tr>
      <w:tr>
        <w:trPr>
          <w:trHeight w:val="171"/>
        </w:trPr>
        <w:tc>
          <w:tcPr>
            <w:tcW w:w="2700" w:type="dxa"/>
            <w:vAlign w:val="bottom"/>
          </w:tcPr>
          <w:p>
            <w:pPr>
              <w:spacing w:after="0"/>
              <w:rPr>
                <w:sz w:val="20"/>
                <w:szCs w:val="20"/>
                <w:color w:val="auto"/>
              </w:rPr>
            </w:pPr>
            <w:r>
              <w:rPr>
                <w:rFonts w:ascii="Courier New" w:cs="Courier New" w:eastAsia="Courier New" w:hAnsi="Courier New"/>
                <w:sz w:val="15"/>
                <w:szCs w:val="15"/>
                <w:color w:val="auto"/>
              </w:rPr>
              <w:t>- - home mortgage</w:t>
            </w:r>
          </w:p>
        </w:tc>
        <w:tc>
          <w:tcPr>
            <w:tcW w:w="1900" w:type="dxa"/>
            <w:vAlign w:val="bottom"/>
          </w:tcPr>
          <w:p>
            <w:pPr>
              <w:jc w:val="right"/>
              <w:ind w:right="6"/>
              <w:spacing w:after="0"/>
              <w:rPr>
                <w:sz w:val="20"/>
                <w:szCs w:val="20"/>
                <w:color w:val="auto"/>
              </w:rPr>
            </w:pPr>
            <w:r>
              <w:rPr>
                <w:rFonts w:ascii="Courier New" w:cs="Courier New" w:eastAsia="Courier New" w:hAnsi="Courier New"/>
                <w:sz w:val="15"/>
                <w:szCs w:val="15"/>
                <w:color w:val="auto"/>
              </w:rPr>
              <w:t>9.9%</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11.7%</w:t>
            </w:r>
          </w:p>
        </w:tc>
      </w:tr>
      <w:tr>
        <w:trPr>
          <w:trHeight w:val="171"/>
        </w:trPr>
        <w:tc>
          <w:tcPr>
            <w:tcW w:w="2700" w:type="dxa"/>
            <w:vAlign w:val="bottom"/>
          </w:tcPr>
          <w:p>
            <w:pPr>
              <w:spacing w:after="0"/>
              <w:rPr>
                <w:sz w:val="20"/>
                <w:szCs w:val="20"/>
                <w:color w:val="auto"/>
              </w:rPr>
            </w:pPr>
            <w:r>
              <w:rPr>
                <w:rFonts w:ascii="Courier New" w:cs="Courier New" w:eastAsia="Courier New" w:hAnsi="Courier New"/>
                <w:sz w:val="15"/>
                <w:szCs w:val="15"/>
                <w:color w:val="auto"/>
              </w:rPr>
              <w:t>- - consumer</w:t>
            </w:r>
          </w:p>
        </w:tc>
        <w:tc>
          <w:tcPr>
            <w:tcW w:w="19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5.1%</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4.7%</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4.2%</w:t>
            </w:r>
          </w:p>
        </w:tc>
      </w:tr>
      <w:tr>
        <w:trPr>
          <w:trHeight w:val="171"/>
        </w:trPr>
        <w:tc>
          <w:tcPr>
            <w:tcW w:w="2700" w:type="dxa"/>
            <w:vAlign w:val="bottom"/>
          </w:tcPr>
          <w:p>
            <w:pPr>
              <w:spacing w:after="0"/>
              <w:rPr>
                <w:sz w:val="20"/>
                <w:szCs w:val="20"/>
                <w:color w:val="auto"/>
              </w:rPr>
            </w:pPr>
            <w:r>
              <w:rPr>
                <w:rFonts w:ascii="Courier New" w:cs="Courier New" w:eastAsia="Courier New" w:hAnsi="Courier New"/>
                <w:sz w:val="15"/>
                <w:szCs w:val="15"/>
                <w:color w:val="auto"/>
              </w:rPr>
              <w:t>- - credit cards</w:t>
            </w:r>
          </w:p>
        </w:tc>
        <w:tc>
          <w:tcPr>
            <w:tcW w:w="19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3.3%</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3.3%</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3.4%</w:t>
            </w:r>
          </w:p>
        </w:tc>
      </w:tr>
      <w:tr>
        <w:trPr>
          <w:trHeight w:val="171"/>
        </w:trPr>
        <w:tc>
          <w:tcPr>
            <w:tcW w:w="270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19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100.0%</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100.0%</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100.0%</w:t>
            </w:r>
          </w:p>
        </w:tc>
      </w:tr>
    </w:tbl>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p>
      <w:pPr>
        <w:ind w:left="1240"/>
        <w:spacing w:after="0"/>
        <w:tabs>
          <w:tab w:leader="none" w:pos="3520" w:val="left"/>
          <w:tab w:leader="none" w:pos="5380" w:val="left"/>
        </w:tabs>
        <w:rPr>
          <w:sz w:val="20"/>
          <w:szCs w:val="20"/>
          <w:color w:val="auto"/>
        </w:rPr>
      </w:pPr>
      <w:r>
        <w:rPr>
          <w:rFonts w:ascii="Courier New" w:cs="Courier New" w:eastAsia="Courier New" w:hAnsi="Courier New"/>
          <w:sz w:val="15"/>
          <w:szCs w:val="15"/>
          <w:color w:val="auto"/>
        </w:rPr>
        <w:t>Total Loans</w:t>
      </w:r>
      <w:r>
        <w:rPr>
          <w:sz w:val="20"/>
          <w:szCs w:val="20"/>
          <w:color w:val="auto"/>
        </w:rPr>
        <w:tab/>
      </w:r>
      <w:r>
        <w:rPr>
          <w:rFonts w:ascii="Courier New" w:cs="Courier New" w:eastAsia="Courier New" w:hAnsi="Courier New"/>
          <w:sz w:val="15"/>
          <w:szCs w:val="15"/>
          <w:color w:val="auto"/>
        </w:rPr>
        <w:t>S/.12,883 S/.12,752</w:t>
      </w:r>
      <w:r>
        <w:rPr>
          <w:sz w:val="20"/>
          <w:szCs w:val="20"/>
          <w:color w:val="auto"/>
        </w:rPr>
        <w:tab/>
      </w:r>
      <w:r>
        <w:rPr>
          <w:rFonts w:ascii="Courier New" w:cs="Courier New" w:eastAsia="Courier New" w:hAnsi="Courier New"/>
          <w:sz w:val="14"/>
          <w:szCs w:val="14"/>
          <w:color w:val="auto"/>
        </w:rPr>
        <w:t>S/.15,653</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4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the current quarter, loan balances grew 22.7%, middle market loans higher by 32.2% to S/.4,436 million (US$1,262 million), retail loans by 31.9% to S/.4,546 million (US$1,294 million), and corporate loans higher by 12.1% to S/.6,671 million (US$1,898 million). Retail loans by product performed as follows:</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631" w:right="1440"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70"/>
        </w:trPr>
        <w:tc>
          <w:tcPr>
            <w:tcW w:w="3720" w:type="dxa"/>
            <w:vAlign w:val="bottom"/>
          </w:tcPr>
          <w:p>
            <w:pPr>
              <w:ind w:left="3100"/>
              <w:spacing w:after="0"/>
              <w:rPr>
                <w:sz w:val="20"/>
                <w:szCs w:val="20"/>
                <w:color w:val="auto"/>
              </w:rPr>
            </w:pPr>
            <w:r>
              <w:rPr>
                <w:rFonts w:ascii="Courier New" w:cs="Courier New" w:eastAsia="Courier New" w:hAnsi="Courier New"/>
                <w:sz w:val="15"/>
                <w:szCs w:val="15"/>
                <w:color w:val="auto"/>
              </w:rPr>
              <w:t>4Q01</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3Q02</w:t>
            </w:r>
          </w:p>
        </w:tc>
        <w:tc>
          <w:tcPr>
            <w:tcW w:w="1020" w:type="dxa"/>
            <w:vAlign w:val="bottom"/>
          </w:tcPr>
          <w:p>
            <w:pPr>
              <w:ind w:left="280"/>
              <w:spacing w:after="0"/>
              <w:rPr>
                <w:sz w:val="20"/>
                <w:szCs w:val="20"/>
                <w:color w:val="auto"/>
              </w:rPr>
            </w:pPr>
            <w:r>
              <w:rPr>
                <w:rFonts w:ascii="Courier New" w:cs="Courier New" w:eastAsia="Courier New" w:hAnsi="Courier New"/>
                <w:sz w:val="15"/>
                <w:szCs w:val="15"/>
                <w:color w:val="auto"/>
              </w:rPr>
              <w:t>4Q02</w:t>
            </w:r>
          </w:p>
        </w:tc>
        <w:tc>
          <w:tcPr>
            <w:tcW w:w="800" w:type="dxa"/>
            <w:vAlign w:val="bottom"/>
          </w:tcPr>
          <w:p>
            <w:pPr>
              <w:ind w:left="400"/>
              <w:spacing w:after="0"/>
              <w:rPr>
                <w:sz w:val="20"/>
                <w:szCs w:val="20"/>
                <w:color w:val="auto"/>
              </w:rPr>
            </w:pPr>
            <w:r>
              <w:rPr>
                <w:rFonts w:ascii="Courier New" w:cs="Courier New" w:eastAsia="Courier New" w:hAnsi="Courier New"/>
                <w:sz w:val="15"/>
                <w:szCs w:val="15"/>
                <w:color w:val="auto"/>
              </w:rPr>
              <w:t>4Q02</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vs</w:t>
            </w:r>
          </w:p>
        </w:tc>
        <w:tc>
          <w:tcPr>
            <w:tcW w:w="640" w:type="dxa"/>
            <w:vAlign w:val="bottom"/>
          </w:tcPr>
          <w:p>
            <w:pPr>
              <w:ind w:left="240"/>
              <w:spacing w:after="0"/>
              <w:rPr>
                <w:sz w:val="20"/>
                <w:szCs w:val="20"/>
                <w:color w:val="auto"/>
              </w:rPr>
            </w:pPr>
            <w:r>
              <w:rPr>
                <w:rFonts w:ascii="Courier New" w:cs="Courier New" w:eastAsia="Courier New" w:hAnsi="Courier New"/>
                <w:sz w:val="15"/>
                <w:szCs w:val="15"/>
                <w:color w:val="auto"/>
              </w:rPr>
              <w:t>4Q02</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w w:val="88"/>
              </w:rPr>
              <w:t>vs</w:t>
            </w:r>
          </w:p>
        </w:tc>
      </w:tr>
      <w:tr>
        <w:trPr>
          <w:trHeight w:val="171"/>
        </w:trPr>
        <w:tc>
          <w:tcPr>
            <w:tcW w:w="3720" w:type="dxa"/>
            <w:vAlign w:val="bottom"/>
          </w:tcPr>
          <w:p>
            <w:pPr>
              <w:spacing w:after="0"/>
              <w:rPr>
                <w:sz w:val="20"/>
                <w:szCs w:val="20"/>
                <w:color w:val="auto"/>
              </w:rPr>
            </w:pPr>
            <w:r>
              <w:rPr>
                <w:rFonts w:ascii="Courier New" w:cs="Courier New" w:eastAsia="Courier New" w:hAnsi="Courier New"/>
                <w:sz w:val="15"/>
                <w:szCs w:val="15"/>
                <w:color w:val="auto"/>
              </w:rPr>
              <w:t>(% change and constant S/. Mn)</w:t>
            </w: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0" w:type="dxa"/>
            <w:vAlign w:val="bottom"/>
          </w:tcPr>
          <w:p>
            <w:pPr>
              <w:ind w:left="400"/>
              <w:spacing w:after="0"/>
              <w:rPr>
                <w:sz w:val="20"/>
                <w:szCs w:val="20"/>
                <w:color w:val="auto"/>
              </w:rPr>
            </w:pPr>
            <w:r>
              <w:rPr>
                <w:rFonts w:ascii="Courier New" w:cs="Courier New" w:eastAsia="Courier New" w:hAnsi="Courier New"/>
                <w:sz w:val="15"/>
                <w:szCs w:val="15"/>
                <w:color w:val="auto"/>
              </w:rPr>
              <w:t>3Q02</w:t>
            </w:r>
          </w:p>
        </w:tc>
        <w:tc>
          <w:tcPr>
            <w:tcW w:w="440" w:type="dxa"/>
            <w:vAlign w:val="bottom"/>
          </w:tcPr>
          <w:p>
            <w:pPr>
              <w:spacing w:after="0"/>
              <w:rPr>
                <w:sz w:val="14"/>
                <w:szCs w:val="14"/>
                <w:color w:val="auto"/>
              </w:rPr>
            </w:pPr>
          </w:p>
        </w:tc>
        <w:tc>
          <w:tcPr>
            <w:tcW w:w="640" w:type="dxa"/>
            <w:vAlign w:val="bottom"/>
          </w:tcPr>
          <w:p>
            <w:pPr>
              <w:ind w:left="240"/>
              <w:spacing w:after="0"/>
              <w:rPr>
                <w:sz w:val="20"/>
                <w:szCs w:val="20"/>
                <w:color w:val="auto"/>
              </w:rPr>
            </w:pPr>
            <w:r>
              <w:rPr>
                <w:rFonts w:ascii="Courier New" w:cs="Courier New" w:eastAsia="Courier New" w:hAnsi="Courier New"/>
                <w:sz w:val="15"/>
                <w:szCs w:val="15"/>
                <w:color w:val="auto"/>
              </w:rPr>
              <w:t>4Q01</w:t>
            </w:r>
          </w:p>
        </w:tc>
        <w:tc>
          <w:tcPr>
            <w:tcW w:w="220" w:type="dxa"/>
            <w:vAlign w:val="bottom"/>
          </w:tcPr>
          <w:p>
            <w:pPr>
              <w:spacing w:after="0"/>
              <w:rPr>
                <w:sz w:val="14"/>
                <w:szCs w:val="14"/>
                <w:color w:val="auto"/>
              </w:rPr>
            </w:pP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40" w:type="dxa"/>
            <w:vAlign w:val="bottom"/>
            <w:gridSpan w:val="2"/>
          </w:tcPr>
          <w:p>
            <w:pPr>
              <w:spacing w:after="0"/>
              <w:rPr>
                <w:sz w:val="20"/>
                <w:szCs w:val="20"/>
                <w:color w:val="auto"/>
              </w:rPr>
            </w:pPr>
            <w:r>
              <w:rPr>
                <w:rFonts w:ascii="Courier New" w:cs="Courier New" w:eastAsia="Courier New" w:hAnsi="Courier New"/>
                <w:sz w:val="15"/>
                <w:szCs w:val="15"/>
                <w:color w:val="auto"/>
              </w:rPr>
              <w:t>Small business loans</w:t>
            </w:r>
          </w:p>
        </w:tc>
        <w:tc>
          <w:tcPr>
            <w:tcW w:w="13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1,247</w:t>
            </w:r>
          </w:p>
        </w:tc>
        <w:tc>
          <w:tcPr>
            <w:tcW w:w="9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1,298</w:t>
            </w:r>
          </w:p>
        </w:tc>
        <w:tc>
          <w:tcPr>
            <w:tcW w:w="10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1,535</w:t>
            </w:r>
          </w:p>
        </w:tc>
        <w:tc>
          <w:tcPr>
            <w:tcW w:w="11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18.3%</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23.0%</w:t>
            </w:r>
          </w:p>
        </w:tc>
      </w:tr>
      <w:tr>
        <w:trPr>
          <w:trHeight w:val="171"/>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Mortgage</w:t>
            </w: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loans</w:t>
            </w:r>
          </w:p>
        </w:tc>
        <w:tc>
          <w:tcPr>
            <w:tcW w:w="13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1,270</w:t>
            </w:r>
          </w:p>
        </w:tc>
        <w:tc>
          <w:tcPr>
            <w:tcW w:w="9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1,126</w:t>
            </w:r>
          </w:p>
        </w:tc>
        <w:tc>
          <w:tcPr>
            <w:tcW w:w="10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1,825</w:t>
            </w:r>
          </w:p>
        </w:tc>
        <w:tc>
          <w:tcPr>
            <w:tcW w:w="11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62.0%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43.7%</w:t>
            </w:r>
          </w:p>
        </w:tc>
      </w:tr>
      <w:tr>
        <w:trPr>
          <w:trHeight w:val="171"/>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Consumer</w:t>
            </w: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loans</w:t>
            </w:r>
          </w:p>
        </w:tc>
        <w:tc>
          <w:tcPr>
            <w:tcW w:w="13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657</w:t>
            </w:r>
          </w:p>
        </w:tc>
        <w:tc>
          <w:tcPr>
            <w:tcW w:w="9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601</w:t>
            </w:r>
          </w:p>
        </w:tc>
        <w:tc>
          <w:tcPr>
            <w:tcW w:w="10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657</w:t>
            </w:r>
          </w:p>
        </w:tc>
        <w:tc>
          <w:tcPr>
            <w:tcW w:w="11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9.3%</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0.0%</w:t>
            </w:r>
          </w:p>
        </w:tc>
      </w:tr>
      <w:tr>
        <w:trPr>
          <w:trHeight w:val="171"/>
        </w:trPr>
        <w:tc>
          <w:tcPr>
            <w:tcW w:w="2440" w:type="dxa"/>
            <w:vAlign w:val="bottom"/>
            <w:gridSpan w:val="2"/>
          </w:tcPr>
          <w:p>
            <w:pPr>
              <w:spacing w:after="0"/>
              <w:rPr>
                <w:sz w:val="20"/>
                <w:szCs w:val="20"/>
                <w:color w:val="auto"/>
              </w:rPr>
            </w:pPr>
            <w:r>
              <w:rPr>
                <w:rFonts w:ascii="Courier New" w:cs="Courier New" w:eastAsia="Courier New" w:hAnsi="Courier New"/>
                <w:sz w:val="15"/>
                <w:szCs w:val="15"/>
                <w:color w:val="auto"/>
              </w:rPr>
              <w:t>Credit card loans</w:t>
            </w:r>
          </w:p>
        </w:tc>
        <w:tc>
          <w:tcPr>
            <w:tcW w:w="13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437</w:t>
            </w:r>
          </w:p>
        </w:tc>
        <w:tc>
          <w:tcPr>
            <w:tcW w:w="9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421</w:t>
            </w:r>
          </w:p>
        </w:tc>
        <w:tc>
          <w:tcPr>
            <w:tcW w:w="10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529</w:t>
            </w:r>
          </w:p>
        </w:tc>
        <w:tc>
          <w:tcPr>
            <w:tcW w:w="11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25.5%</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21.1%</w:t>
            </w:r>
          </w:p>
        </w:tc>
      </w:tr>
      <w:tr>
        <w:trPr>
          <w:trHeight w:val="171"/>
        </w:trPr>
        <w:tc>
          <w:tcPr>
            <w:tcW w:w="2440" w:type="dxa"/>
            <w:vAlign w:val="bottom"/>
            <w:gridSpan w:val="2"/>
          </w:tcPr>
          <w:p>
            <w:pPr>
              <w:spacing w:after="0"/>
              <w:rPr>
                <w:sz w:val="20"/>
                <w:szCs w:val="20"/>
                <w:color w:val="auto"/>
              </w:rPr>
            </w:pPr>
            <w:r>
              <w:rPr>
                <w:rFonts w:ascii="Courier New" w:cs="Courier New" w:eastAsia="Courier New" w:hAnsi="Courier New"/>
                <w:sz w:val="15"/>
                <w:szCs w:val="15"/>
                <w:color w:val="auto"/>
              </w:rPr>
              <w:t>Total Retail</w:t>
            </w:r>
          </w:p>
        </w:tc>
        <w:tc>
          <w:tcPr>
            <w:tcW w:w="13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3,611</w:t>
            </w:r>
          </w:p>
        </w:tc>
        <w:tc>
          <w:tcPr>
            <w:tcW w:w="9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3,447</w:t>
            </w:r>
          </w:p>
        </w:tc>
        <w:tc>
          <w:tcPr>
            <w:tcW w:w="10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4,546</w:t>
            </w:r>
          </w:p>
        </w:tc>
        <w:tc>
          <w:tcPr>
            <w:tcW w:w="11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31.9%</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25.9%</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53"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At December 31, 2002 contingent credits were S/.5,465 million (US$1,555.3 million), increasing 21.4% during the current quarter, and by 52.4% over the December 2001 figure, as can be seen in the following chart: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40" w:type="dxa"/>
            <w:vAlign w:val="bottom"/>
          </w:tcPr>
          <w:p>
            <w:pPr>
              <w:ind w:left="3000"/>
              <w:spacing w:after="0"/>
              <w:rPr>
                <w:sz w:val="20"/>
                <w:szCs w:val="20"/>
                <w:color w:val="auto"/>
              </w:rPr>
            </w:pPr>
            <w:r>
              <w:rPr>
                <w:rFonts w:ascii="Courier New" w:cs="Courier New" w:eastAsia="Courier New" w:hAnsi="Courier New"/>
                <w:sz w:val="15"/>
                <w:szCs w:val="15"/>
                <w:color w:val="auto"/>
              </w:rPr>
              <w:t>4Q01</w:t>
            </w:r>
          </w:p>
        </w:tc>
        <w:tc>
          <w:tcPr>
            <w:tcW w:w="720" w:type="dxa"/>
            <w:vAlign w:val="bottom"/>
          </w:tcPr>
          <w:p>
            <w:pPr>
              <w:ind w:left="180"/>
              <w:spacing w:after="0"/>
              <w:rPr>
                <w:sz w:val="20"/>
                <w:szCs w:val="20"/>
                <w:color w:val="auto"/>
              </w:rPr>
            </w:pPr>
            <w:r>
              <w:rPr>
                <w:rFonts w:ascii="Courier New" w:cs="Courier New" w:eastAsia="Courier New" w:hAnsi="Courier New"/>
                <w:sz w:val="15"/>
                <w:szCs w:val="15"/>
                <w:color w:val="auto"/>
              </w:rPr>
              <w:t>3Q02</w:t>
            </w:r>
          </w:p>
        </w:tc>
        <w:tc>
          <w:tcPr>
            <w:tcW w:w="780" w:type="dxa"/>
            <w:vAlign w:val="bottom"/>
          </w:tcPr>
          <w:p>
            <w:pPr>
              <w:ind w:left="160"/>
              <w:spacing w:after="0"/>
              <w:rPr>
                <w:sz w:val="20"/>
                <w:szCs w:val="20"/>
                <w:color w:val="auto"/>
              </w:rPr>
            </w:pPr>
            <w:r>
              <w:rPr>
                <w:rFonts w:ascii="Courier New" w:cs="Courier New" w:eastAsia="Courier New" w:hAnsi="Courier New"/>
                <w:sz w:val="15"/>
                <w:szCs w:val="15"/>
                <w:color w:val="auto"/>
              </w:rPr>
              <w:t>4Q02</w:t>
            </w:r>
          </w:p>
        </w:tc>
        <w:tc>
          <w:tcPr>
            <w:tcW w:w="680" w:type="dxa"/>
            <w:vAlign w:val="bottom"/>
          </w:tcPr>
          <w:p>
            <w:pPr>
              <w:ind w:left="280"/>
              <w:spacing w:after="0"/>
              <w:rPr>
                <w:sz w:val="20"/>
                <w:szCs w:val="20"/>
                <w:color w:val="auto"/>
              </w:rPr>
            </w:pPr>
            <w:r>
              <w:rPr>
                <w:rFonts w:ascii="Courier New" w:cs="Courier New" w:eastAsia="Courier New" w:hAnsi="Courier New"/>
                <w:sz w:val="15"/>
                <w:szCs w:val="15"/>
                <w:color w:val="auto"/>
              </w:rPr>
              <w:t>4Q02</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vs</w:t>
            </w:r>
          </w:p>
        </w:tc>
        <w:tc>
          <w:tcPr>
            <w:tcW w:w="580" w:type="dxa"/>
            <w:vAlign w:val="bottom"/>
          </w:tcPr>
          <w:p>
            <w:pPr>
              <w:ind w:left="180"/>
              <w:spacing w:after="0"/>
              <w:rPr>
                <w:sz w:val="20"/>
                <w:szCs w:val="20"/>
                <w:color w:val="auto"/>
              </w:rPr>
            </w:pPr>
            <w:r>
              <w:rPr>
                <w:rFonts w:ascii="Courier New" w:cs="Courier New" w:eastAsia="Courier New" w:hAnsi="Courier New"/>
                <w:sz w:val="15"/>
                <w:szCs w:val="15"/>
                <w:color w:val="auto"/>
              </w:rPr>
              <w:t>4Q02</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w w:val="88"/>
              </w:rPr>
              <w:t>vs</w:t>
            </w:r>
          </w:p>
        </w:tc>
      </w:tr>
      <w:tr>
        <w:trPr>
          <w:trHeight w:val="171"/>
        </w:trPr>
        <w:tc>
          <w:tcPr>
            <w:tcW w:w="3540" w:type="dxa"/>
            <w:vAlign w:val="bottom"/>
          </w:tcPr>
          <w:p>
            <w:pPr>
              <w:spacing w:after="0"/>
              <w:rPr>
                <w:sz w:val="20"/>
                <w:szCs w:val="20"/>
                <w:color w:val="auto"/>
              </w:rPr>
            </w:pPr>
            <w:r>
              <w:rPr>
                <w:rFonts w:ascii="Courier New" w:cs="Courier New" w:eastAsia="Courier New" w:hAnsi="Courier New"/>
                <w:sz w:val="15"/>
                <w:szCs w:val="15"/>
                <w:color w:val="auto"/>
              </w:rPr>
              <w:t>(% change and constant S/. Mn)</w:t>
            </w: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ind w:left="280"/>
              <w:spacing w:after="0"/>
              <w:rPr>
                <w:sz w:val="20"/>
                <w:szCs w:val="20"/>
                <w:color w:val="auto"/>
              </w:rPr>
            </w:pPr>
            <w:r>
              <w:rPr>
                <w:rFonts w:ascii="Courier New" w:cs="Courier New" w:eastAsia="Courier New" w:hAnsi="Courier New"/>
                <w:sz w:val="15"/>
                <w:szCs w:val="15"/>
                <w:color w:val="auto"/>
              </w:rPr>
              <w:t>3Q02</w:t>
            </w:r>
          </w:p>
        </w:tc>
        <w:tc>
          <w:tcPr>
            <w:tcW w:w="400" w:type="dxa"/>
            <w:vAlign w:val="bottom"/>
          </w:tcPr>
          <w:p>
            <w:pPr>
              <w:spacing w:after="0"/>
              <w:rPr>
                <w:sz w:val="14"/>
                <w:szCs w:val="14"/>
                <w:color w:val="auto"/>
              </w:rPr>
            </w:pPr>
          </w:p>
        </w:tc>
        <w:tc>
          <w:tcPr>
            <w:tcW w:w="580" w:type="dxa"/>
            <w:vAlign w:val="bottom"/>
          </w:tcPr>
          <w:p>
            <w:pPr>
              <w:ind w:left="180"/>
              <w:spacing w:after="0"/>
              <w:rPr>
                <w:sz w:val="20"/>
                <w:szCs w:val="20"/>
                <w:color w:val="auto"/>
              </w:rPr>
            </w:pPr>
            <w:r>
              <w:rPr>
                <w:rFonts w:ascii="Courier New" w:cs="Courier New" w:eastAsia="Courier New" w:hAnsi="Courier New"/>
                <w:sz w:val="15"/>
                <w:szCs w:val="15"/>
                <w:color w:val="auto"/>
              </w:rPr>
              <w:t>3Q01</w:t>
            </w:r>
          </w:p>
        </w:tc>
        <w:tc>
          <w:tcPr>
            <w:tcW w:w="220" w:type="dxa"/>
            <w:vAlign w:val="bottom"/>
          </w:tcPr>
          <w:p>
            <w:pPr>
              <w:spacing w:after="0"/>
              <w:rPr>
                <w:sz w:val="14"/>
                <w:szCs w:val="14"/>
                <w:color w:val="auto"/>
              </w:rPr>
            </w:pPr>
          </w:p>
        </w:tc>
      </w:tr>
    </w:tbl>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40" w:type="dxa"/>
            <w:vAlign w:val="bottom"/>
          </w:tcPr>
          <w:p>
            <w:pPr>
              <w:spacing w:after="0"/>
              <w:rPr>
                <w:sz w:val="20"/>
                <w:szCs w:val="20"/>
                <w:color w:val="auto"/>
              </w:rPr>
            </w:pPr>
            <w:r>
              <w:rPr>
                <w:rFonts w:ascii="Courier New" w:cs="Courier New" w:eastAsia="Courier New" w:hAnsi="Courier New"/>
                <w:sz w:val="15"/>
                <w:szCs w:val="15"/>
                <w:color w:val="auto"/>
              </w:rPr>
              <w:t>- - Guarantees and Stand-by LCs</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1,776</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1,874</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2,383</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27.1%</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34.2%</w:t>
            </w: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5"/>
                <w:szCs w:val="15"/>
                <w:color w:val="auto"/>
              </w:rPr>
              <w:t>- - Letters of Credit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344</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391</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380</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-2.8%</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10.4%</w:t>
            </w: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5"/>
                <w:szCs w:val="15"/>
                <w:color w:val="auto"/>
              </w:rPr>
              <w:t>- - Acceptances</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128</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107</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145</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36.1%</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13.8%</w:t>
            </w: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5"/>
                <w:szCs w:val="15"/>
                <w:color w:val="auto"/>
              </w:rPr>
              <w:t>- - Foreign currency forwards</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682</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1,489</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1,572</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5.6%</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130.7%</w:t>
            </w: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5"/>
                <w:szCs w:val="15"/>
                <w:color w:val="auto"/>
              </w:rPr>
              <w:t>- - Other contingent accounts</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657</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641</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985</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53.7%</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49.8%</w:t>
            </w: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5"/>
                <w:szCs w:val="15"/>
                <w:color w:val="auto"/>
              </w:rPr>
              <w:t>Total Contingent Credits</w:t>
            </w:r>
          </w:p>
        </w:tc>
        <w:tc>
          <w:tcPr>
            <w:tcW w:w="7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3,586</w:t>
            </w:r>
          </w:p>
        </w:tc>
        <w:tc>
          <w:tcPr>
            <w:tcW w:w="7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4,502</w:t>
            </w:r>
          </w:p>
        </w:tc>
        <w:tc>
          <w:tcPr>
            <w:tcW w:w="8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5,465</w:t>
            </w:r>
          </w:p>
        </w:tc>
        <w:tc>
          <w:tcPr>
            <w:tcW w:w="10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21.4%</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52.4%</w:t>
            </w:r>
          </w:p>
        </w:tc>
      </w:tr>
    </w:tbl>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31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II.6 LOAN QUALITY</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Balances at December 31, 2002 include S/.363 million (US$103.4 million) of overdue loans from BSCH Peru. Nevertheless, loan quality improvement in other units of BCP partly offset this effect.</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Consolidated past due loans amounted to S/.1,340 million (US$381.2 million) at December 31, 2002, increasing 28.8% over the balance of S/.1,040 million (US$296.1 million) as of the end of the third quarter of 2002, and 18.4% over S/.1,132 million (US$322.1 million) at year-end 2001. The ratio of past due loans as a percentage of total loans improved from 8.79% in December 2001 to 8.56% at December 31, 2002, but slightly increased compared to 8.16% at September 30, 2002.</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At the end of the fourth quarter 2002, outstanding balances of loan loss provisions totaled S/.1,457 million (US$414.6 million), increasing 30.1% compared to the preceding quarter, mainly due to the inclusion of S/.409 million (US$116.3 million) from BSCH Peru. The ratio of loan provisions to past due loans was 108.8% at the end of 2002, slightly higher than the 107.7% at September 2002 and better than 105.1% past due coverage at December 2001.</w:t>
      </w:r>
    </w:p>
    <w:p>
      <w:pPr>
        <w:spacing w:after="0" w:line="175"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Of total provisions outstanding at the end of the current quarter, S/.180.4 million (US$51.3 million) correspond to generic provisions assigned to loans in the Normal (A) risk category, increasing from generic provisions of S/.156.4 million (US$44.5 million) at September 30, 2002, mostly due to S/.23.5 million (US$6.7 million) included from BSCH Peru. Additionally, at year-end BSCH Peru had a US$22.9 million voluntary reserve pending of final allocation.</w:t>
      </w:r>
    </w:p>
    <w:p>
      <w:pPr>
        <w:spacing w:after="0" w:line="164"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Loans believed to be unrecoverable, fully provisioned in prior periods, and written-off during the fourth quarter 2002 amounted to S/.121.3 million (US$34.5 million), of which approximately 8% were related to consumer loans and 11% to agricultural loans under the Agricultural Financial Relief ("RFA") program. This compares to charge-offs in the third quarter of 2002 of S/.98.7 million (US$28.1 million), and S/.153.3 million (US$43.6 million) in the year-ago fourth quarter.</w:t>
      </w:r>
    </w:p>
    <w:p>
      <w:pPr>
        <w:spacing w:after="0" w:line="33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969" w:right="1440" w:bottom="1440" w:gutter="0" w:footer="0" w:header="0"/>
        </w:sectPr>
      </w:pPr>
    </w:p>
    <w:bookmarkStart w:id="22" w:name="page23"/>
    <w:bookmarkEnd w:id="22"/>
    <w:p>
      <w:pPr>
        <w:ind w:right="3119" w:firstLine="444"/>
        <w:spacing w:after="0" w:line="239" w:lineRule="auto"/>
        <w:rPr>
          <w:sz w:val="20"/>
          <w:szCs w:val="20"/>
          <w:color w:val="auto"/>
        </w:rPr>
      </w:pPr>
      <w:r>
        <w:rPr>
          <w:rFonts w:ascii="Courier New" w:cs="Courier New" w:eastAsia="Courier New" w:hAnsi="Courier New"/>
          <w:sz w:val="15"/>
          <w:szCs w:val="15"/>
          <w:color w:val="auto"/>
        </w:rPr>
        <w:t>At the end of the quarter, refinanced loans amounted to S/.896.8 million (US$255.2 million), growing over the balance at September 2002 that was S/.816.5 million (US$232.4 million) mainly due to refinanced loans from BSCH Peru amounting to S/.200.5 million (US$57.1 million).</w:t>
      </w:r>
    </w:p>
    <w:p>
      <w:pPr>
        <w:spacing w:after="0" w:line="176" w:lineRule="exact"/>
        <w:rPr>
          <w:sz w:val="20"/>
          <w:szCs w:val="20"/>
          <w:color w:val="auto"/>
        </w:rPr>
      </w:pPr>
    </w:p>
    <w:p>
      <w:pPr>
        <w:ind w:right="3299" w:firstLine="444"/>
        <w:spacing w:after="0" w:line="258" w:lineRule="auto"/>
        <w:rPr>
          <w:sz w:val="20"/>
          <w:szCs w:val="20"/>
          <w:color w:val="auto"/>
        </w:rPr>
      </w:pPr>
      <w:r>
        <w:rPr>
          <w:rFonts w:ascii="Courier New" w:cs="Courier New" w:eastAsia="Courier New" w:hAnsi="Courier New"/>
          <w:sz w:val="14"/>
          <w:szCs w:val="14"/>
          <w:color w:val="auto"/>
        </w:rPr>
        <w:t>Loans classified as Substandard (i.e., Deficient, Doubtful and Loss) were 17.7% of the loan portfolio in December 2002, decreasing from the ratios of</w:t>
      </w:r>
    </w:p>
    <w:p>
      <w:pPr>
        <w:spacing w:after="0"/>
        <w:rPr>
          <w:sz w:val="20"/>
          <w:szCs w:val="20"/>
          <w:color w:val="auto"/>
        </w:rPr>
      </w:pPr>
      <w:r>
        <w:rPr>
          <w:rFonts w:ascii="Courier New" w:cs="Courier New" w:eastAsia="Courier New" w:hAnsi="Courier New"/>
          <w:sz w:val="14"/>
          <w:szCs w:val="14"/>
          <w:color w:val="auto"/>
        </w:rPr>
        <w:t>19.5% and 19.0% that resulted in December 2001 and September 2002, respectively.</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loan classification is as follows: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00" w:type="dxa"/>
            <w:vAlign w:val="bottom"/>
          </w:tcPr>
          <w:p>
            <w:pPr>
              <w:spacing w:after="0"/>
              <w:rPr>
                <w:sz w:val="20"/>
                <w:szCs w:val="20"/>
                <w:color w:val="auto"/>
              </w:rPr>
            </w:pPr>
            <w:r>
              <w:rPr>
                <w:rFonts w:ascii="Courier New" w:cs="Courier New" w:eastAsia="Courier New" w:hAnsi="Courier New"/>
                <w:sz w:val="15"/>
                <w:szCs w:val="15"/>
                <w:color w:val="auto"/>
              </w:rPr>
              <w:t>(% of Total loans and  S/.Mn const.)</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31.12.01</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30.09.02</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31.12.02</w:t>
            </w:r>
          </w:p>
        </w:tc>
      </w:tr>
    </w:tbl>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0" w:type="dxa"/>
            <w:vAlign w:val="bottom"/>
          </w:tcPr>
          <w:p>
            <w:pPr>
              <w:spacing w:after="0"/>
              <w:rPr>
                <w:sz w:val="20"/>
                <w:szCs w:val="20"/>
                <w:color w:val="auto"/>
              </w:rPr>
            </w:pPr>
            <w:r>
              <w:rPr>
                <w:rFonts w:ascii="Courier New" w:cs="Courier New" w:eastAsia="Courier New" w:hAnsi="Courier New"/>
                <w:sz w:val="15"/>
                <w:szCs w:val="15"/>
                <w:color w:val="auto"/>
              </w:rPr>
              <w:t>A:</w:t>
            </w:r>
          </w:p>
        </w:tc>
        <w:tc>
          <w:tcPr>
            <w:tcW w:w="2580" w:type="dxa"/>
            <w:vAlign w:val="bottom"/>
          </w:tcPr>
          <w:p>
            <w:pPr>
              <w:ind w:left="80"/>
              <w:spacing w:after="0"/>
              <w:rPr>
                <w:sz w:val="20"/>
                <w:szCs w:val="20"/>
                <w:color w:val="auto"/>
              </w:rPr>
            </w:pPr>
            <w:r>
              <w:rPr>
                <w:rFonts w:ascii="Courier New" w:cs="Courier New" w:eastAsia="Courier New" w:hAnsi="Courier New"/>
                <w:sz w:val="15"/>
                <w:szCs w:val="15"/>
                <w:color w:val="auto"/>
              </w:rPr>
              <w:t>Normal</w:t>
            </w:r>
          </w:p>
        </w:tc>
        <w:tc>
          <w:tcPr>
            <w:tcW w:w="17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69.6%</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70.8%</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72.2%</w:t>
            </w:r>
          </w:p>
        </w:tc>
      </w:tr>
      <w:tr>
        <w:trPr>
          <w:trHeight w:val="171"/>
        </w:trPr>
        <w:tc>
          <w:tcPr>
            <w:tcW w:w="260" w:type="dxa"/>
            <w:vAlign w:val="bottom"/>
          </w:tcPr>
          <w:p>
            <w:pPr>
              <w:spacing w:after="0"/>
              <w:rPr>
                <w:sz w:val="20"/>
                <w:szCs w:val="20"/>
                <w:color w:val="auto"/>
              </w:rPr>
            </w:pPr>
            <w:r>
              <w:rPr>
                <w:rFonts w:ascii="Courier New" w:cs="Courier New" w:eastAsia="Courier New" w:hAnsi="Courier New"/>
                <w:sz w:val="15"/>
                <w:szCs w:val="15"/>
                <w:color w:val="auto"/>
              </w:rPr>
              <w:t>B:</w:t>
            </w:r>
          </w:p>
        </w:tc>
        <w:tc>
          <w:tcPr>
            <w:tcW w:w="2580" w:type="dxa"/>
            <w:vAlign w:val="bottom"/>
          </w:tcPr>
          <w:p>
            <w:pPr>
              <w:ind w:left="80"/>
              <w:spacing w:after="0"/>
              <w:rPr>
                <w:sz w:val="20"/>
                <w:szCs w:val="20"/>
                <w:color w:val="auto"/>
              </w:rPr>
            </w:pPr>
            <w:r>
              <w:rPr>
                <w:rFonts w:ascii="Courier New" w:cs="Courier New" w:eastAsia="Courier New" w:hAnsi="Courier New"/>
                <w:sz w:val="15"/>
                <w:szCs w:val="15"/>
                <w:color w:val="auto"/>
              </w:rPr>
              <w:t>Potential Problem</w:t>
            </w:r>
          </w:p>
        </w:tc>
        <w:tc>
          <w:tcPr>
            <w:tcW w:w="17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11.0%</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10.2%</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10.1%</w:t>
            </w:r>
          </w:p>
        </w:tc>
      </w:tr>
      <w:tr>
        <w:trPr>
          <w:trHeight w:val="171"/>
        </w:trPr>
        <w:tc>
          <w:tcPr>
            <w:tcW w:w="260" w:type="dxa"/>
            <w:vAlign w:val="bottom"/>
          </w:tcPr>
          <w:p>
            <w:pPr>
              <w:spacing w:after="0"/>
              <w:rPr>
                <w:sz w:val="20"/>
                <w:szCs w:val="20"/>
                <w:color w:val="auto"/>
              </w:rPr>
            </w:pPr>
            <w:r>
              <w:rPr>
                <w:rFonts w:ascii="Courier New" w:cs="Courier New" w:eastAsia="Courier New" w:hAnsi="Courier New"/>
                <w:sz w:val="15"/>
                <w:szCs w:val="15"/>
                <w:color w:val="auto"/>
              </w:rPr>
              <w:t>C:</w:t>
            </w:r>
          </w:p>
        </w:tc>
        <w:tc>
          <w:tcPr>
            <w:tcW w:w="2580" w:type="dxa"/>
            <w:vAlign w:val="bottom"/>
          </w:tcPr>
          <w:p>
            <w:pPr>
              <w:ind w:left="80"/>
              <w:spacing w:after="0"/>
              <w:rPr>
                <w:sz w:val="20"/>
                <w:szCs w:val="20"/>
                <w:color w:val="auto"/>
              </w:rPr>
            </w:pPr>
            <w:r>
              <w:rPr>
                <w:rFonts w:ascii="Courier New" w:cs="Courier New" w:eastAsia="Courier New" w:hAnsi="Courier New"/>
                <w:sz w:val="15"/>
                <w:szCs w:val="15"/>
                <w:color w:val="auto"/>
              </w:rPr>
              <w:t>Deficient</w:t>
            </w:r>
          </w:p>
        </w:tc>
        <w:tc>
          <w:tcPr>
            <w:tcW w:w="17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8.3%</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9.2%</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7.3%</w:t>
            </w:r>
          </w:p>
        </w:tc>
      </w:tr>
      <w:tr>
        <w:trPr>
          <w:trHeight w:val="171"/>
        </w:trPr>
        <w:tc>
          <w:tcPr>
            <w:tcW w:w="260" w:type="dxa"/>
            <w:vAlign w:val="bottom"/>
          </w:tcPr>
          <w:p>
            <w:pPr>
              <w:spacing w:after="0"/>
              <w:rPr>
                <w:sz w:val="20"/>
                <w:szCs w:val="20"/>
                <w:color w:val="auto"/>
              </w:rPr>
            </w:pPr>
            <w:r>
              <w:rPr>
                <w:rFonts w:ascii="Courier New" w:cs="Courier New" w:eastAsia="Courier New" w:hAnsi="Courier New"/>
                <w:sz w:val="15"/>
                <w:szCs w:val="15"/>
                <w:color w:val="auto"/>
              </w:rPr>
              <w:t>D:</w:t>
            </w:r>
          </w:p>
        </w:tc>
        <w:tc>
          <w:tcPr>
            <w:tcW w:w="2580" w:type="dxa"/>
            <w:vAlign w:val="bottom"/>
          </w:tcPr>
          <w:p>
            <w:pPr>
              <w:ind w:left="80"/>
              <w:spacing w:after="0"/>
              <w:rPr>
                <w:sz w:val="20"/>
                <w:szCs w:val="20"/>
                <w:color w:val="auto"/>
              </w:rPr>
            </w:pPr>
            <w:r>
              <w:rPr>
                <w:rFonts w:ascii="Courier New" w:cs="Courier New" w:eastAsia="Courier New" w:hAnsi="Courier New"/>
                <w:sz w:val="15"/>
                <w:szCs w:val="15"/>
                <w:color w:val="auto"/>
              </w:rPr>
              <w:t>Doubtful</w:t>
            </w:r>
          </w:p>
        </w:tc>
        <w:tc>
          <w:tcPr>
            <w:tcW w:w="17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4.9%</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5.3%</w:t>
            </w:r>
          </w:p>
        </w:tc>
      </w:tr>
      <w:tr>
        <w:trPr>
          <w:trHeight w:val="171"/>
        </w:trPr>
        <w:tc>
          <w:tcPr>
            <w:tcW w:w="260" w:type="dxa"/>
            <w:vAlign w:val="bottom"/>
          </w:tcPr>
          <w:p>
            <w:pPr>
              <w:spacing w:after="0"/>
              <w:rPr>
                <w:sz w:val="20"/>
                <w:szCs w:val="20"/>
                <w:color w:val="auto"/>
              </w:rPr>
            </w:pPr>
            <w:r>
              <w:rPr>
                <w:rFonts w:ascii="Courier New" w:cs="Courier New" w:eastAsia="Courier New" w:hAnsi="Courier New"/>
                <w:sz w:val="15"/>
                <w:szCs w:val="15"/>
                <w:color w:val="auto"/>
              </w:rPr>
              <w:t>E:</w:t>
            </w:r>
          </w:p>
        </w:tc>
        <w:tc>
          <w:tcPr>
            <w:tcW w:w="2580" w:type="dxa"/>
            <w:vAlign w:val="bottom"/>
          </w:tcPr>
          <w:p>
            <w:pPr>
              <w:ind w:left="80"/>
              <w:spacing w:after="0"/>
              <w:rPr>
                <w:sz w:val="20"/>
                <w:szCs w:val="20"/>
                <w:color w:val="auto"/>
              </w:rPr>
            </w:pPr>
            <w:r>
              <w:rPr>
                <w:rFonts w:ascii="Courier New" w:cs="Courier New" w:eastAsia="Courier New" w:hAnsi="Courier New"/>
                <w:sz w:val="15"/>
                <w:szCs w:val="15"/>
                <w:color w:val="auto"/>
              </w:rPr>
              <w:t>Loss</w:t>
            </w:r>
          </w:p>
        </w:tc>
        <w:tc>
          <w:tcPr>
            <w:tcW w:w="17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6.3%</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4.8%</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5.1%</w:t>
            </w:r>
          </w:p>
        </w:tc>
      </w:tr>
    </w:tbl>
    <w:p>
      <w:pPr>
        <w:spacing w:after="0" w:line="1" w:lineRule="exact"/>
        <w:rPr>
          <w:sz w:val="20"/>
          <w:szCs w:val="20"/>
          <w:color w:val="auto"/>
        </w:rPr>
      </w:pPr>
    </w:p>
    <w:p>
      <w:pPr>
        <w:ind w:left="1320"/>
        <w:spacing w:after="0"/>
        <w:tabs>
          <w:tab w:leader="none" w:pos="3700" w:val="left"/>
          <w:tab w:leader="none" w:pos="4860" w:val="left"/>
          <w:tab w:leader="none" w:pos="6000" w:val="left"/>
        </w:tabs>
        <w:rPr>
          <w:sz w:val="20"/>
          <w:szCs w:val="20"/>
          <w:color w:val="auto"/>
        </w:rPr>
      </w:pPr>
      <w:r>
        <w:rPr>
          <w:rFonts w:ascii="Courier New" w:cs="Courier New" w:eastAsia="Courier New" w:hAnsi="Courier New"/>
          <w:sz w:val="15"/>
          <w:szCs w:val="15"/>
          <w:color w:val="auto"/>
        </w:rPr>
        <w:t>Total</w:t>
      </w:r>
      <w:r>
        <w:rPr>
          <w:sz w:val="20"/>
          <w:szCs w:val="20"/>
          <w:color w:val="auto"/>
        </w:rPr>
        <w:tab/>
      </w:r>
      <w:r>
        <w:rPr>
          <w:rFonts w:ascii="Courier New" w:cs="Courier New" w:eastAsia="Courier New" w:hAnsi="Courier New"/>
          <w:sz w:val="15"/>
          <w:szCs w:val="15"/>
          <w:color w:val="auto"/>
        </w:rPr>
        <w:t>100.0%</w:t>
      </w:r>
      <w:r>
        <w:rPr>
          <w:sz w:val="20"/>
          <w:szCs w:val="20"/>
          <w:color w:val="auto"/>
        </w:rPr>
        <w:tab/>
      </w:r>
      <w:r>
        <w:rPr>
          <w:rFonts w:ascii="Courier New" w:cs="Courier New" w:eastAsia="Courier New" w:hAnsi="Courier New"/>
          <w:sz w:val="15"/>
          <w:szCs w:val="15"/>
          <w:color w:val="auto"/>
        </w:rPr>
        <w:t>100.0%</w:t>
      </w:r>
      <w:r>
        <w:rPr>
          <w:sz w:val="20"/>
          <w:szCs w:val="20"/>
          <w:color w:val="auto"/>
        </w:rPr>
        <w:tab/>
      </w:r>
      <w:r>
        <w:rPr>
          <w:rFonts w:ascii="Courier New" w:cs="Courier New" w:eastAsia="Courier New" w:hAnsi="Courier New"/>
          <w:sz w:val="15"/>
          <w:szCs w:val="15"/>
          <w:color w:val="auto"/>
        </w:rPr>
        <w:t>100.0%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p>
      <w:pPr>
        <w:ind w:left="1060"/>
        <w:spacing w:after="0"/>
        <w:tabs>
          <w:tab w:leader="none" w:pos="3440" w:val="left"/>
          <w:tab w:leader="none" w:pos="4580" w:val="left"/>
          <w:tab w:leader="none" w:pos="5740" w:val="left"/>
        </w:tabs>
        <w:rPr>
          <w:sz w:val="20"/>
          <w:szCs w:val="20"/>
          <w:color w:val="auto"/>
        </w:rPr>
      </w:pPr>
      <w:r>
        <w:rPr>
          <w:rFonts w:ascii="Courier New" w:cs="Courier New" w:eastAsia="Courier New" w:hAnsi="Courier New"/>
          <w:sz w:val="15"/>
          <w:szCs w:val="15"/>
          <w:color w:val="auto"/>
        </w:rPr>
        <w:t>Total Loans</w:t>
      </w:r>
      <w:r>
        <w:rPr>
          <w:sz w:val="20"/>
          <w:szCs w:val="20"/>
          <w:color w:val="auto"/>
        </w:rPr>
        <w:tab/>
      </w:r>
      <w:r>
        <w:rPr>
          <w:rFonts w:ascii="Courier New" w:cs="Courier New" w:eastAsia="Courier New" w:hAnsi="Courier New"/>
          <w:sz w:val="15"/>
          <w:szCs w:val="15"/>
          <w:color w:val="auto"/>
        </w:rPr>
        <w:t>S/.12,883</w:t>
      </w:r>
      <w:r>
        <w:rPr>
          <w:sz w:val="20"/>
          <w:szCs w:val="20"/>
          <w:color w:val="auto"/>
        </w:rPr>
        <w:tab/>
      </w:r>
      <w:r>
        <w:rPr>
          <w:rFonts w:ascii="Courier New" w:cs="Courier New" w:eastAsia="Courier New" w:hAnsi="Courier New"/>
          <w:sz w:val="15"/>
          <w:szCs w:val="15"/>
          <w:color w:val="auto"/>
        </w:rPr>
        <w:t>S/.12,752</w:t>
      </w:r>
      <w:r>
        <w:rPr>
          <w:sz w:val="20"/>
          <w:szCs w:val="20"/>
          <w:color w:val="auto"/>
        </w:rPr>
        <w:tab/>
      </w:r>
      <w:r>
        <w:rPr>
          <w:rFonts w:ascii="Courier New" w:cs="Courier New" w:eastAsia="Courier New" w:hAnsi="Courier New"/>
          <w:sz w:val="14"/>
          <w:szCs w:val="14"/>
          <w:color w:val="auto"/>
        </w:rPr>
        <w:t>S/.15,653</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45"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Loan loss provisions, net of recoveries, charged in total year 2002 amounted to S/.369.7 million (US$105.2 million), 13.7% lower than S/.428.5 million (US$121.9 million) in 2001. Provision expense in 2002 include US$30 million for the past due portfolio of the Bolivian subsidiary, of which US$16.0 million were registered at the BCP level in addition to US$6.6 million provisioned in 2001 (see Section I.5 - BCB). In the fourth quarter of 2002, loan loss provisions, net of recoveries, for the amount of S/.69.0 million (US$19.6 million) were charged against income, decreasing from S/.110.1 (US$31.3 million) provisioned in the third quarter 2002, and also compared to provision expense in the last quarter of 2001 which was S/.113.7 million (US$32.4 million). Quarterly provision expense charged by each business segment is as follows: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20" w:type="dxa"/>
            <w:vAlign w:val="bottom"/>
          </w:tcPr>
          <w:p>
            <w:pPr>
              <w:spacing w:after="0"/>
              <w:rPr>
                <w:sz w:val="20"/>
                <w:szCs w:val="20"/>
                <w:color w:val="auto"/>
              </w:rPr>
            </w:pPr>
            <w:r>
              <w:rPr>
                <w:rFonts w:ascii="Courier New" w:cs="Courier New" w:eastAsia="Courier New" w:hAnsi="Courier New"/>
                <w:sz w:val="15"/>
                <w:szCs w:val="15"/>
                <w:color w:val="auto"/>
              </w:rPr>
              <w:t>(% of Provision expense and S/.Mn const.)</w:t>
            </w:r>
          </w:p>
        </w:tc>
        <w:tc>
          <w:tcPr>
            <w:tcW w:w="1080" w:type="dxa"/>
            <w:vAlign w:val="bottom"/>
          </w:tcPr>
          <w:p>
            <w:pPr>
              <w:ind w:left="400"/>
              <w:spacing w:after="0"/>
              <w:rPr>
                <w:sz w:val="20"/>
                <w:szCs w:val="20"/>
                <w:color w:val="auto"/>
              </w:rPr>
            </w:pPr>
            <w:r>
              <w:rPr>
                <w:rFonts w:ascii="Courier New" w:cs="Courier New" w:eastAsia="Courier New" w:hAnsi="Courier New"/>
                <w:sz w:val="15"/>
                <w:szCs w:val="15"/>
                <w:color w:val="auto"/>
              </w:rPr>
              <w:t>4Q01</w:t>
            </w:r>
          </w:p>
        </w:tc>
        <w:tc>
          <w:tcPr>
            <w:tcW w:w="980" w:type="dxa"/>
            <w:vAlign w:val="bottom"/>
          </w:tcPr>
          <w:p>
            <w:pPr>
              <w:ind w:left="300"/>
              <w:spacing w:after="0"/>
              <w:rPr>
                <w:sz w:val="20"/>
                <w:szCs w:val="20"/>
                <w:color w:val="auto"/>
              </w:rPr>
            </w:pPr>
            <w:r>
              <w:rPr>
                <w:rFonts w:ascii="Courier New" w:cs="Courier New" w:eastAsia="Courier New" w:hAnsi="Courier New"/>
                <w:sz w:val="15"/>
                <w:szCs w:val="15"/>
                <w:color w:val="auto"/>
              </w:rPr>
              <w:t>3Q02</w:t>
            </w:r>
          </w:p>
        </w:tc>
        <w:tc>
          <w:tcPr>
            <w:tcW w:w="660" w:type="dxa"/>
            <w:vAlign w:val="bottom"/>
          </w:tcPr>
          <w:p>
            <w:pPr>
              <w:ind w:left="300"/>
              <w:spacing w:after="0"/>
              <w:rPr>
                <w:sz w:val="20"/>
                <w:szCs w:val="20"/>
                <w:color w:val="auto"/>
              </w:rPr>
            </w:pPr>
            <w:r>
              <w:rPr>
                <w:rFonts w:ascii="Courier New" w:cs="Courier New" w:eastAsia="Courier New" w:hAnsi="Courier New"/>
                <w:sz w:val="15"/>
                <w:szCs w:val="15"/>
                <w:color w:val="auto"/>
                <w:w w:val="94"/>
              </w:rPr>
              <w:t>4Q02</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40" w:type="dxa"/>
            <w:vAlign w:val="bottom"/>
            <w:gridSpan w:val="2"/>
          </w:tcPr>
          <w:p>
            <w:pPr>
              <w:spacing w:after="0"/>
              <w:rPr>
                <w:sz w:val="20"/>
                <w:szCs w:val="20"/>
                <w:color w:val="auto"/>
              </w:rPr>
            </w:pPr>
            <w:r>
              <w:rPr>
                <w:rFonts w:ascii="Courier New" w:cs="Courier New" w:eastAsia="Courier New" w:hAnsi="Courier New"/>
                <w:sz w:val="15"/>
                <w:szCs w:val="15"/>
                <w:color w:val="auto"/>
              </w:rPr>
              <w:t>Corporate Banking</w:t>
            </w:r>
          </w:p>
        </w:tc>
        <w:tc>
          <w:tcPr>
            <w:tcW w:w="18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15.6%</w:t>
            </w:r>
          </w:p>
        </w:tc>
        <w:tc>
          <w:tcPr>
            <w:tcW w:w="9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25.7%</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43.9%</w:t>
            </w:r>
          </w:p>
        </w:tc>
      </w:tr>
      <w:tr>
        <w:trPr>
          <w:trHeight w:val="171"/>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Middle</w:t>
            </w:r>
          </w:p>
        </w:tc>
        <w:tc>
          <w:tcPr>
            <w:tcW w:w="2680" w:type="dxa"/>
            <w:vAlign w:val="bottom"/>
          </w:tcPr>
          <w:p>
            <w:pPr>
              <w:ind w:left="60"/>
              <w:spacing w:after="0"/>
              <w:rPr>
                <w:sz w:val="20"/>
                <w:szCs w:val="20"/>
                <w:color w:val="auto"/>
              </w:rPr>
            </w:pPr>
            <w:r>
              <w:rPr>
                <w:rFonts w:ascii="Courier New" w:cs="Courier New" w:eastAsia="Courier New" w:hAnsi="Courier New"/>
                <w:sz w:val="15"/>
                <w:szCs w:val="15"/>
                <w:color w:val="auto"/>
              </w:rPr>
              <w:t>Market</w:t>
            </w:r>
          </w:p>
        </w:tc>
        <w:tc>
          <w:tcPr>
            <w:tcW w:w="18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29.5%</w:t>
            </w:r>
          </w:p>
        </w:tc>
        <w:tc>
          <w:tcPr>
            <w:tcW w:w="9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37.8%</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40.0%</w:t>
            </w:r>
          </w:p>
        </w:tc>
      </w:tr>
      <w:tr>
        <w:trPr>
          <w:trHeight w:val="171"/>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Retail</w:t>
            </w:r>
          </w:p>
        </w:tc>
        <w:tc>
          <w:tcPr>
            <w:tcW w:w="2680" w:type="dxa"/>
            <w:vAlign w:val="bottom"/>
          </w:tcPr>
          <w:p>
            <w:pPr>
              <w:spacing w:after="0"/>
              <w:rPr>
                <w:sz w:val="14"/>
                <w:szCs w:val="14"/>
                <w:color w:val="auto"/>
              </w:rPr>
            </w:pPr>
          </w:p>
        </w:tc>
        <w:tc>
          <w:tcPr>
            <w:tcW w:w="18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54.9%</w:t>
            </w:r>
          </w:p>
        </w:tc>
        <w:tc>
          <w:tcPr>
            <w:tcW w:w="9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36.5%</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16.1%</w:t>
            </w:r>
          </w:p>
        </w:tc>
      </w:tr>
      <w:tr>
        <w:trPr>
          <w:trHeight w:val="171"/>
        </w:trPr>
        <w:tc>
          <w:tcPr>
            <w:tcW w:w="560" w:type="dxa"/>
            <w:vAlign w:val="bottom"/>
          </w:tcPr>
          <w:p>
            <w:pPr>
              <w:spacing w:after="0"/>
              <w:rPr>
                <w:sz w:val="14"/>
                <w:szCs w:val="14"/>
                <w:color w:val="auto"/>
              </w:rPr>
            </w:pPr>
          </w:p>
        </w:tc>
        <w:tc>
          <w:tcPr>
            <w:tcW w:w="2680" w:type="dxa"/>
            <w:vAlign w:val="bottom"/>
          </w:tcPr>
          <w:p>
            <w:pPr>
              <w:ind w:left="1120"/>
              <w:spacing w:after="0"/>
              <w:rPr>
                <w:sz w:val="20"/>
                <w:szCs w:val="20"/>
                <w:color w:val="auto"/>
              </w:rPr>
            </w:pPr>
            <w:r>
              <w:rPr>
                <w:rFonts w:ascii="Courier New" w:cs="Courier New" w:eastAsia="Courier New" w:hAnsi="Courier New"/>
                <w:sz w:val="15"/>
                <w:szCs w:val="15"/>
                <w:color w:val="auto"/>
              </w:rPr>
              <w:t>Total</w:t>
            </w:r>
          </w:p>
        </w:tc>
        <w:tc>
          <w:tcPr>
            <w:tcW w:w="18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100.0%</w:t>
            </w:r>
          </w:p>
        </w:tc>
        <w:tc>
          <w:tcPr>
            <w:tcW w:w="9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100.0%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p>
      <w:pPr>
        <w:ind w:left="620"/>
        <w:spacing w:after="0"/>
        <w:tabs>
          <w:tab w:leader="none" w:pos="4140" w:val="left"/>
          <w:tab w:leader="none" w:pos="5020" w:val="left"/>
          <w:tab w:leader="none" w:pos="6100" w:val="left"/>
        </w:tabs>
        <w:rPr>
          <w:sz w:val="20"/>
          <w:szCs w:val="20"/>
          <w:color w:val="auto"/>
        </w:rPr>
      </w:pPr>
      <w:r>
        <w:rPr>
          <w:rFonts w:ascii="Courier New" w:cs="Courier New" w:eastAsia="Courier New" w:hAnsi="Courier New"/>
          <w:sz w:val="15"/>
          <w:szCs w:val="15"/>
          <w:color w:val="auto"/>
        </w:rPr>
        <w:t>Total Provision Expense, net</w:t>
      </w:r>
      <w:r>
        <w:rPr>
          <w:sz w:val="20"/>
          <w:szCs w:val="20"/>
          <w:color w:val="auto"/>
        </w:rPr>
        <w:tab/>
      </w:r>
      <w:r>
        <w:rPr>
          <w:rFonts w:ascii="Courier New" w:cs="Courier New" w:eastAsia="Courier New" w:hAnsi="Courier New"/>
          <w:sz w:val="15"/>
          <w:szCs w:val="15"/>
          <w:color w:val="auto"/>
        </w:rPr>
        <w:t>S/.113.7</w:t>
        <w:tab/>
        <w:t>S/. 110.1</w:t>
      </w:r>
      <w:r>
        <w:rPr>
          <w:sz w:val="20"/>
          <w:szCs w:val="20"/>
          <w:color w:val="auto"/>
        </w:rPr>
        <w:tab/>
      </w:r>
      <w:r>
        <w:rPr>
          <w:rFonts w:ascii="Courier New" w:cs="Courier New" w:eastAsia="Courier New" w:hAnsi="Courier New"/>
          <w:sz w:val="14"/>
          <w:szCs w:val="14"/>
          <w:color w:val="auto"/>
        </w:rPr>
        <w:t>S/. 69.0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5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II.7 CAPITAL ADEQUACY</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At the end of the fourth quarter of 2002, BCP's unconsolidated ratio of risk-weighted assets to regulatory capital was 9.6 to 1.0 (10.4%), while the corresponding consolidated ratio was 8.0 to 1.0 (12.5%). Risk-weighted assets include S/.714.7 million (US$203.4 million) of market-risk exposure whose coverage required S/.65.0 million (US$18.5 million) of regulatory capital at December 31, 2002. Peruvian regulations limit risk-weighted assets to a ratio of 11.0 to 1.0 (9.1%).</w:t>
      </w:r>
    </w:p>
    <w:p>
      <w:pPr>
        <w:spacing w:after="0" w:line="176"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As of December 31, 2002, BCP's consolidated "regulatory capital" was S/.2,255 million (US$641.8 million), increasing compared to S/.2,002 million (US$569.8 million) in the preceding quarter mostly due to higher retained earnings, S/.100 million to be capitalized in March 2003, and higher subordinated debt. Regulatory capital included S/.140.2 million ($39.9 million) in subordinated debt in the current period, increasing from S/.89.8 million (US$25.6 million) at September 2002.</w:t>
      </w:r>
    </w:p>
    <w:p>
      <w:pPr>
        <w:spacing w:after="0" w:line="34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631" w:right="1440" w:bottom="1440" w:gutter="0" w:footer="0" w:header="0"/>
        </w:sectPr>
      </w:pPr>
    </w:p>
    <w:bookmarkStart w:id="23" w:name="page24"/>
    <w:bookmarkEnd w:id="23"/>
    <w:p>
      <w:pPr>
        <w:ind w:left="3729"/>
        <w:spacing w:after="0"/>
        <w:tabs>
          <w:tab w:leader="none" w:pos="5309" w:val="left"/>
        </w:tabs>
        <w:rPr>
          <w:sz w:val="20"/>
          <w:szCs w:val="20"/>
          <w:color w:val="auto"/>
        </w:rPr>
      </w:pPr>
      <w:r>
        <w:rPr>
          <w:rFonts w:ascii="Courier New" w:cs="Courier New" w:eastAsia="Courier New" w:hAnsi="Courier New"/>
          <w:sz w:val="15"/>
          <w:szCs w:val="15"/>
          <w:color w:val="auto"/>
        </w:rPr>
        <w:t>BCP</w:t>
      </w:r>
      <w:r>
        <w:rPr>
          <w:sz w:val="20"/>
          <w:szCs w:val="20"/>
          <w:color w:val="auto"/>
        </w:rPr>
        <w:tab/>
      </w:r>
      <w:r>
        <w:rPr>
          <w:rFonts w:ascii="Courier New" w:cs="Courier New" w:eastAsia="Courier New" w:hAnsi="Courier New"/>
          <w:sz w:val="15"/>
          <w:szCs w:val="15"/>
          <w:color w:val="auto"/>
        </w:rPr>
        <w:t>BCP</w:t>
      </w:r>
    </w:p>
    <w:p>
      <w:pPr>
        <w:spacing w:after="0" w:line="1" w:lineRule="exact"/>
        <w:rPr>
          <w:sz w:val="20"/>
          <w:szCs w:val="20"/>
          <w:color w:val="auto"/>
        </w:rPr>
      </w:pPr>
    </w:p>
    <w:p>
      <w:pPr>
        <w:ind w:left="3289"/>
        <w:spacing w:after="0"/>
        <w:tabs>
          <w:tab w:leader="none" w:pos="4949" w:val="left"/>
        </w:tabs>
        <w:rPr>
          <w:sz w:val="20"/>
          <w:szCs w:val="20"/>
          <w:color w:val="auto"/>
        </w:rPr>
      </w:pPr>
      <w:r>
        <w:rPr>
          <w:rFonts w:ascii="Courier New" w:cs="Courier New" w:eastAsia="Courier New" w:hAnsi="Courier New"/>
          <w:sz w:val="15"/>
          <w:szCs w:val="15"/>
          <w:color w:val="auto"/>
        </w:rPr>
        <w:t>unconsolidated</w:t>
      </w:r>
      <w:r>
        <w:rPr>
          <w:sz w:val="20"/>
          <w:szCs w:val="20"/>
          <w:color w:val="auto"/>
        </w:rPr>
        <w:tab/>
      </w:r>
      <w:r>
        <w:rPr>
          <w:rFonts w:ascii="Courier New" w:cs="Courier New" w:eastAsia="Courier New" w:hAnsi="Courier New"/>
          <w:sz w:val="15"/>
          <w:szCs w:val="15"/>
          <w:color w:val="auto"/>
        </w:rPr>
        <w:t>consolidated</w:t>
      </w:r>
    </w:p>
    <w:p>
      <w:pPr>
        <w:spacing w:after="0" w:line="1" w:lineRule="exact"/>
        <w:rPr>
          <w:sz w:val="20"/>
          <w:szCs w:val="20"/>
          <w:color w:val="auto"/>
        </w:rPr>
      </w:pPr>
    </w:p>
    <w:p>
      <w:pPr>
        <w:ind w:left="9"/>
        <w:spacing w:after="0"/>
        <w:tabs>
          <w:tab w:leader="none" w:pos="3169" w:val="left"/>
        </w:tabs>
        <w:rPr>
          <w:sz w:val="20"/>
          <w:szCs w:val="20"/>
          <w:color w:val="auto"/>
        </w:rPr>
      </w:pPr>
      <w:r>
        <w:rPr>
          <w:rFonts w:ascii="Courier New" w:cs="Courier New" w:eastAsia="Courier New" w:hAnsi="Courier New"/>
          <w:sz w:val="15"/>
          <w:szCs w:val="15"/>
          <w:color w:val="auto"/>
        </w:rPr>
        <w:t>(In constant S/. Mn.)</w:t>
      </w:r>
      <w:r>
        <w:rPr>
          <w:sz w:val="20"/>
          <w:szCs w:val="20"/>
          <w:color w:val="auto"/>
        </w:rPr>
        <w:tab/>
      </w:r>
      <w:r>
        <w:rPr>
          <w:rFonts w:ascii="Courier New" w:cs="Courier New" w:eastAsia="Courier New" w:hAnsi="Courier New"/>
          <w:sz w:val="14"/>
          <w:szCs w:val="14"/>
          <w:color w:val="auto"/>
        </w:rPr>
        <w:t>31.12.01 31.12.02 31.12.01 31.12.02</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700" w:type="dxa"/>
            <w:vAlign w:val="bottom"/>
          </w:tcPr>
          <w:p>
            <w:pPr>
              <w:spacing w:after="0"/>
              <w:rPr>
                <w:sz w:val="20"/>
                <w:szCs w:val="20"/>
                <w:color w:val="auto"/>
              </w:rPr>
            </w:pPr>
            <w:r>
              <w:rPr>
                <w:rFonts w:ascii="Courier New" w:cs="Courier New" w:eastAsia="Courier New" w:hAnsi="Courier New"/>
                <w:sz w:val="15"/>
                <w:szCs w:val="15"/>
                <w:color w:val="auto"/>
              </w:rPr>
              <w:t>Regulatory capital</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1,404</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1,409</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2,005</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2,255</w:t>
            </w:r>
          </w:p>
        </w:tc>
      </w:tr>
      <w:tr>
        <w:trPr>
          <w:trHeight w:val="171"/>
        </w:trPr>
        <w:tc>
          <w:tcPr>
            <w:tcW w:w="2700" w:type="dxa"/>
            <w:vAlign w:val="bottom"/>
          </w:tcPr>
          <w:p>
            <w:pPr>
              <w:spacing w:after="0"/>
              <w:rPr>
                <w:sz w:val="20"/>
                <w:szCs w:val="20"/>
                <w:color w:val="auto"/>
              </w:rPr>
            </w:pPr>
            <w:r>
              <w:rPr>
                <w:rFonts w:ascii="Courier New" w:cs="Courier New" w:eastAsia="Courier New" w:hAnsi="Courier New"/>
                <w:sz w:val="15"/>
                <w:szCs w:val="15"/>
                <w:color w:val="auto"/>
              </w:rPr>
              <w:t>Risk weighted assets</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13,183</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13,570</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16,499</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17,981</w:t>
            </w:r>
          </w:p>
        </w:tc>
      </w:tr>
      <w:tr>
        <w:trPr>
          <w:trHeight w:val="341"/>
        </w:trPr>
        <w:tc>
          <w:tcPr>
            <w:tcW w:w="2700" w:type="dxa"/>
            <w:vAlign w:val="bottom"/>
          </w:tcPr>
          <w:p>
            <w:pPr>
              <w:spacing w:after="0"/>
              <w:rPr>
                <w:sz w:val="20"/>
                <w:szCs w:val="20"/>
                <w:color w:val="auto"/>
              </w:rPr>
            </w:pPr>
            <w:r>
              <w:rPr>
                <w:rFonts w:ascii="Courier New" w:cs="Courier New" w:eastAsia="Courier New" w:hAnsi="Courier New"/>
                <w:sz w:val="15"/>
                <w:szCs w:val="15"/>
                <w:color w:val="auto"/>
              </w:rPr>
              <w:t>Weighted assets / Capital</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9.4</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9.6</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8.2</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8.0</w:t>
            </w:r>
          </w:p>
        </w:tc>
      </w:tr>
      <w:tr>
        <w:trPr>
          <w:trHeight w:val="171"/>
        </w:trPr>
        <w:tc>
          <w:tcPr>
            <w:tcW w:w="2700" w:type="dxa"/>
            <w:vAlign w:val="bottom"/>
          </w:tcPr>
          <w:p>
            <w:pPr>
              <w:spacing w:after="0"/>
              <w:rPr>
                <w:sz w:val="20"/>
                <w:szCs w:val="20"/>
                <w:color w:val="auto"/>
              </w:rPr>
            </w:pPr>
            <w:r>
              <w:rPr>
                <w:rFonts w:ascii="Courier New" w:cs="Courier New" w:eastAsia="Courier New" w:hAnsi="Courier New"/>
                <w:sz w:val="15"/>
                <w:szCs w:val="15"/>
                <w:color w:val="auto"/>
              </w:rPr>
              <w:t>Capital / Weighted Assets</w:t>
            </w: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10.7%</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10.4%</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12.2%</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12.5%</w:t>
            </w:r>
          </w:p>
        </w:tc>
      </w:tr>
    </w:tbl>
    <w:p>
      <w:pPr>
        <w:spacing w:after="0" w:line="3" w:lineRule="exact"/>
        <w:rPr>
          <w:sz w:val="20"/>
          <w:szCs w:val="20"/>
          <w:color w:val="auto"/>
        </w:rPr>
      </w:pPr>
    </w:p>
    <w:p>
      <w:pPr>
        <w:ind w:left="169" w:hanging="169"/>
        <w:spacing w:after="0"/>
        <w:tabs>
          <w:tab w:leader="none" w:pos="169"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rFonts w:ascii="Courier New" w:cs="Courier New" w:eastAsia="Courier New" w:hAnsi="Courier New"/>
          <w:sz w:val="14"/>
          <w:szCs w:val="14"/>
          <w:color w:val="auto"/>
        </w:rPr>
      </w:pPr>
    </w:p>
    <w:p>
      <w:pPr>
        <w:spacing w:after="0" w:line="321" w:lineRule="exact"/>
        <w:rPr>
          <w:rFonts w:ascii="Courier New" w:cs="Courier New" w:eastAsia="Courier New" w:hAnsi="Courier New"/>
          <w:sz w:val="14"/>
          <w:szCs w:val="14"/>
          <w:color w:val="auto"/>
        </w:rPr>
      </w:pPr>
    </w:p>
    <w:p>
      <w:pPr>
        <w:ind w:left="346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24</w:t>
      </w:r>
    </w:p>
    <w:p>
      <w:pPr>
        <w:sectPr>
          <w:pgSz w:w="11900" w:h="16838" w:orient="portrait"/>
          <w:cols w:equalWidth="0" w:num="1">
            <w:col w:w="10228"/>
          </w:cols>
          <w:pgMar w:left="231" w:top="969" w:right="1440" w:bottom="1440" w:gutter="0" w:footer="0" w:header="0"/>
        </w:sectPr>
      </w:pPr>
    </w:p>
    <w:bookmarkStart w:id="24" w:name="page25"/>
    <w:bookmarkEnd w:id="24"/>
    <w:p>
      <w:pPr>
        <w:ind w:left="440"/>
        <w:spacing w:after="0"/>
        <w:rPr>
          <w:sz w:val="20"/>
          <w:szCs w:val="20"/>
          <w:color w:val="auto"/>
        </w:rPr>
      </w:pPr>
      <w:r>
        <w:rPr>
          <w:rFonts w:ascii="Courier New" w:cs="Courier New" w:eastAsia="Courier New" w:hAnsi="Courier New"/>
          <w:sz w:val="15"/>
          <w:szCs w:val="15"/>
          <w:color w:val="auto"/>
        </w:rPr>
        <w:t>III. ATLANTIC SECURITY HOLDING CORPORATION AND SUBSIDIARIES ("ASHC")</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Consolidated net income for the year ended December 31, 2002 was US$5.8 million, 2.2% over US$5.6 million in 2001. Fourth quarter 2002 net income was US$0.2 million, compared to US$0.5 million in the year-ago quarter. Net income in the current quarter decreases compared to the prior year period due to lower net interest income, partly offset by reduced personnel expenses.</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Net interest income before risk provisions, which includes dividend income, was US$3.9 million in the fourth quarter of 2002, lower than US$4.8 million in the last quarter of 2001. Dividends received in both periods were not significant.</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Net interest margin, without considering dividends and investments in equity shares, was 2.7% during fourth quarter 2002, under the 3.0% margin in the preceding quarter and also in the year-ago period. The margin decreases mainly due to the portfolio shift from higher return fixed income securities in favor of investment grade papers, that offer lower interest rates but that will reduce balance sheet volatility.</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the fourth quarter of 2002 charges against income for market risk provisions amounted to US$2.1 million, increasing from US$1.0 million charged in the preceding quarter, but lower than US$3.0 million provisioned in the year-ago period. In the current quarter US$0.8 million were also provisioned for credit risks, increasing over US$0.3 million in the preceding period.</w:t>
      </w:r>
    </w:p>
    <w:p>
      <w:pPr>
        <w:spacing w:after="0" w:line="174" w:lineRule="exact"/>
        <w:rPr>
          <w:sz w:val="20"/>
          <w:szCs w:val="20"/>
          <w:color w:val="auto"/>
        </w:rPr>
      </w:pPr>
    </w:p>
    <w:p>
      <w:pPr>
        <w:ind w:right="3219" w:firstLine="444"/>
        <w:spacing w:after="0" w:line="260" w:lineRule="auto"/>
        <w:rPr>
          <w:sz w:val="20"/>
          <w:szCs w:val="20"/>
          <w:color w:val="auto"/>
        </w:rPr>
      </w:pPr>
      <w:r>
        <w:rPr>
          <w:rFonts w:ascii="Courier New" w:cs="Courier New" w:eastAsia="Courier New" w:hAnsi="Courier New"/>
          <w:sz w:val="14"/>
          <w:szCs w:val="14"/>
          <w:color w:val="auto"/>
        </w:rPr>
        <w:t>Other Income, which includes fee income and realized gains on securities transactions before risk provisions, improved from a loss of US$0.4 million in the third quarter of 2002 to a gain of US$1.2 million in the current quarter, mainly due to lower realized losses on securities transactions, which drop from a US$1.7 million loss in the third quarter to a US$0.6 million loss in the fourth quarter of 2002, and to exchange gains and recoveries of excess generic provisions amounting to US$0.6 million from the closing of ASB's U.S. agency.</w:t>
      </w:r>
    </w:p>
    <w:p>
      <w:pPr>
        <w:spacing w:after="0" w:line="163" w:lineRule="exact"/>
        <w:rPr>
          <w:sz w:val="20"/>
          <w:szCs w:val="20"/>
          <w:color w:val="auto"/>
        </w:rPr>
      </w:pPr>
    </w:p>
    <w:p>
      <w:pPr>
        <w:ind w:right="3219" w:firstLine="444"/>
        <w:spacing w:after="0" w:line="264" w:lineRule="auto"/>
        <w:rPr>
          <w:sz w:val="20"/>
          <w:szCs w:val="20"/>
          <w:color w:val="auto"/>
        </w:rPr>
      </w:pPr>
      <w:r>
        <w:rPr>
          <w:rFonts w:ascii="Courier New" w:cs="Courier New" w:eastAsia="Courier New" w:hAnsi="Courier New"/>
          <w:sz w:val="14"/>
          <w:szCs w:val="14"/>
          <w:color w:val="auto"/>
        </w:rPr>
        <w:t>The loan portfolio, net of provisions, was US$160.5 million as of December 31, 2002, decreasing compared to US$176.1 million at December 2001, mainly due to decreased lending to Peruvian companies and lower risk-participated loans.</w:t>
      </w:r>
    </w:p>
    <w:p>
      <w:pPr>
        <w:spacing w:after="0" w:line="157"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The investment portfolio was US$313.8 million at December 2002, over</w:t>
      </w:r>
    </w:p>
    <w:p>
      <w:pPr>
        <w:spacing w:after="0" w:line="3" w:lineRule="exact"/>
        <w:rPr>
          <w:sz w:val="20"/>
          <w:szCs w:val="20"/>
          <w:color w:val="auto"/>
        </w:rPr>
      </w:pPr>
    </w:p>
    <w:p>
      <w:pPr>
        <w:ind w:right="3299"/>
        <w:spacing w:after="0" w:line="239" w:lineRule="auto"/>
        <w:rPr>
          <w:sz w:val="20"/>
          <w:szCs w:val="20"/>
          <w:color w:val="auto"/>
        </w:rPr>
      </w:pPr>
      <w:r>
        <w:rPr>
          <w:rFonts w:ascii="Courier New" w:cs="Courier New" w:eastAsia="Courier New" w:hAnsi="Courier New"/>
          <w:sz w:val="15"/>
          <w:szCs w:val="15"/>
          <w:color w:val="auto"/>
        </w:rPr>
        <w:t>US$298.9 million last September 2002, but below US$330.6 million at the end of 2001. The increase in the current quarter is principally because of higher valuations in the capital markets and to purchases of investment grade securities.</w:t>
      </w:r>
    </w:p>
    <w:p>
      <w:pPr>
        <w:spacing w:after="0" w:line="17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Deposits amounted to US$544.3 million at December 31, 2002, increasing from</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US$537.3 million at the end of the third quarter of 2001, but declines from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US$555.7 million at year-end 2001 mostly due to transfers into other investments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resulting from lower bank deposit interest rates.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Funds under management increased 28.9% during 2002, reaching to US$549.1 million at December 31, 2002, from US$426.0 million at the end of 2001, and 7.6% compared to US$510.4 million at the end of the third quarter 2002. The increase is principally due to the introduction of new structured products and funds under management with higher yields than interest paid on bank deposits. Additionally, during the last quarter of 2002 market values of these porfolios increased significantly.</w:t>
      </w:r>
    </w:p>
    <w:p>
      <w:pPr>
        <w:spacing w:after="0" w:line="176"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Net equity reached US$110.3 million at the end of December 2002, higher than US$102.4 million at September 2002 mainly due to lower special equity reserves for unrealized losses on investments which decreased from US$15.1 million at the end of September 2002, to US$7.4 million at the end of the current quarter due to improved values in capital markets of the available for sale proprietary portfolio. The loan portfolio had no past dues.</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628" w:right="1440" w:bottom="1440" w:gutter="0" w:footer="0" w:header="0"/>
        </w:sectPr>
      </w:pPr>
    </w:p>
    <w:bookmarkStart w:id="25" w:name="page26"/>
    <w:bookmarkEnd w:id="25"/>
    <w:p>
      <w:pPr>
        <w:ind w:right="3219" w:firstLine="444"/>
        <w:spacing w:after="0" w:line="258" w:lineRule="auto"/>
        <w:rPr>
          <w:sz w:val="20"/>
          <w:szCs w:val="20"/>
          <w:color w:val="auto"/>
        </w:rPr>
      </w:pPr>
      <w:r>
        <w:rPr>
          <w:rFonts w:ascii="Courier New" w:cs="Courier New" w:eastAsia="Courier New" w:hAnsi="Courier New"/>
          <w:sz w:val="14"/>
          <w:szCs w:val="14"/>
          <w:color w:val="auto"/>
        </w:rPr>
        <w:t>The ratio of operating expenses over average assets decrease to 1.2%, annualized, in the fourth quarter of 2002 compared to the 1.4% ratio during the same period in 2001. This ratio declines to 0.7% in the fourth quarter of 2002, when funds under management are included within total assets, improving over</w:t>
      </w:r>
    </w:p>
    <w:p>
      <w:pPr>
        <w:spacing w:after="0" w:line="1" w:lineRule="exact"/>
        <w:rPr>
          <w:sz w:val="20"/>
          <w:szCs w:val="20"/>
          <w:color w:val="auto"/>
        </w:rPr>
      </w:pPr>
    </w:p>
    <w:p>
      <w:pPr>
        <w:ind w:right="3299"/>
        <w:spacing w:after="0" w:line="238" w:lineRule="auto"/>
        <w:rPr>
          <w:sz w:val="20"/>
          <w:szCs w:val="20"/>
          <w:color w:val="auto"/>
        </w:rPr>
      </w:pPr>
      <w:r>
        <w:rPr>
          <w:rFonts w:ascii="Courier New" w:cs="Courier New" w:eastAsia="Courier New" w:hAnsi="Courier New"/>
          <w:sz w:val="15"/>
          <w:szCs w:val="15"/>
          <w:color w:val="auto"/>
        </w:rPr>
        <w:t>0.9% in the prior year quarter. The improvements a maily due to the closing of ASB's U.S. agency.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631" w:right="1440" w:bottom="1440" w:gutter="0" w:footer="0" w:header="0"/>
        </w:sectPr>
      </w:pPr>
    </w:p>
    <w:bookmarkStart w:id="26" w:name="page27"/>
    <w:bookmarkEnd w:id="26"/>
    <w:p>
      <w:pPr>
        <w:ind w:left="440"/>
        <w:spacing w:after="0"/>
        <w:rPr>
          <w:sz w:val="20"/>
          <w:szCs w:val="20"/>
          <w:color w:val="auto"/>
        </w:rPr>
      </w:pPr>
      <w:r>
        <w:rPr>
          <w:rFonts w:ascii="Courier New" w:cs="Courier New" w:eastAsia="Courier New" w:hAnsi="Courier New"/>
          <w:sz w:val="15"/>
          <w:szCs w:val="15"/>
          <w:color w:val="auto"/>
        </w:rPr>
        <w:t>IV. EL PACIFICO-PERUANO SUIZA AND SUBSIDIARIES ("PPS")</w:t>
      </w:r>
    </w:p>
    <w:p>
      <w:pPr>
        <w:spacing w:after="0" w:line="174" w:lineRule="exact"/>
        <w:rPr>
          <w:sz w:val="20"/>
          <w:szCs w:val="20"/>
          <w:color w:val="auto"/>
        </w:rPr>
      </w:pPr>
    </w:p>
    <w:p>
      <w:pPr>
        <w:jc w:val="both"/>
        <w:ind w:right="3119" w:firstLine="444"/>
        <w:spacing w:after="0" w:line="261" w:lineRule="auto"/>
        <w:rPr>
          <w:sz w:val="20"/>
          <w:szCs w:val="20"/>
          <w:color w:val="auto"/>
        </w:rPr>
      </w:pPr>
      <w:r>
        <w:rPr>
          <w:rFonts w:ascii="Courier New" w:cs="Courier New" w:eastAsia="Courier New" w:hAnsi="Courier New"/>
          <w:sz w:val="14"/>
          <w:szCs w:val="14"/>
          <w:color w:val="auto"/>
        </w:rPr>
        <w:t>PPS obtained in the year ended December 31, 2002 a consolidated net income of S/.35.5 million (US$10.1 million), which compares with net income in 2001 of S/.214.1 million (US$60.9 million) which included a net gain of S/.190.7 million (US$54.3 million) from the sale of Backus and Johnston equity shares. Recurring net income in 2002 improved principally due to higher premiums.</w:t>
      </w:r>
    </w:p>
    <w:p>
      <w:pPr>
        <w:spacing w:after="0" w:line="162" w:lineRule="exact"/>
        <w:rPr>
          <w:sz w:val="20"/>
          <w:szCs w:val="20"/>
          <w:color w:val="auto"/>
        </w:rPr>
      </w:pPr>
    </w:p>
    <w:p>
      <w:pPr>
        <w:ind w:right="3119" w:firstLine="444"/>
        <w:spacing w:after="0" w:line="262" w:lineRule="auto"/>
        <w:rPr>
          <w:sz w:val="20"/>
          <w:szCs w:val="20"/>
          <w:color w:val="auto"/>
        </w:rPr>
      </w:pPr>
      <w:r>
        <w:rPr>
          <w:rFonts w:ascii="Courier New" w:cs="Courier New" w:eastAsia="Courier New" w:hAnsi="Courier New"/>
          <w:sz w:val="14"/>
          <w:szCs w:val="14"/>
          <w:color w:val="auto"/>
        </w:rPr>
        <w:t>Net income in the fourth quarter 2002 was S/.1.0 million (US$0.3 million), compared to S/.211.3 million (US$60.1 million) in the year-ago quarter where the above mentioned gain was registered. Net income in the current quarter was affected by high claims and by inflation adjustment losses.</w:t>
      </w:r>
    </w:p>
    <w:p>
      <w:pPr>
        <w:spacing w:after="0" w:line="161"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Total premiums in the fourth quarter of 2002, increased 2.8% to S/.197.3 million (US$56.1 million), compared to S/.191.9 million (US$54.6 million) in the year-ago quarter, but decrease 14.9% compared to S/.231.9 million (US$66.0 million) in the preceding third quarter. Net premiums earned, net of reinsured premiums and reserves, were S/.120.7 million (US$34.3 million) in fourth quarter 2002, 10.8% above the prior year quarter, mainly due to higher retained premiums. Also, premiums grew because of increased prices due to higher international reinsurance costs.</w:t>
      </w:r>
    </w:p>
    <w:p>
      <w:pPr>
        <w:spacing w:after="0" w:line="177" w:lineRule="exact"/>
        <w:rPr>
          <w:sz w:val="20"/>
          <w:szCs w:val="20"/>
          <w:color w:val="auto"/>
        </w:rPr>
      </w:pPr>
    </w:p>
    <w:p>
      <w:pPr>
        <w:ind w:right="4019" w:firstLine="355"/>
        <w:spacing w:after="0" w:line="239" w:lineRule="auto"/>
        <w:rPr>
          <w:sz w:val="20"/>
          <w:szCs w:val="20"/>
          <w:color w:val="auto"/>
        </w:rPr>
      </w:pPr>
      <w:r>
        <w:rPr>
          <w:rFonts w:ascii="Courier New" w:cs="Courier New" w:eastAsia="Courier New" w:hAnsi="Courier New"/>
          <w:sz w:val="15"/>
          <w:szCs w:val="15"/>
          <w:color w:val="auto"/>
        </w:rPr>
        <w:t>Additions to technical reserves for premiums grew by S/.28.6 million (US$8.1 million) in the fourth quarter of 2002, most of which, S/.24.5 million (US$7.0 million) were established by Pacifico Vida for its life annuities and life insurance lines.</w:t>
      </w:r>
    </w:p>
    <w:p>
      <w:pPr>
        <w:spacing w:after="0" w:line="176" w:lineRule="exact"/>
        <w:rPr>
          <w:sz w:val="20"/>
          <w:szCs w:val="20"/>
          <w:color w:val="auto"/>
        </w:rPr>
      </w:pPr>
    </w:p>
    <w:p>
      <w:pPr>
        <w:ind w:right="3299" w:firstLine="444"/>
        <w:spacing w:after="0" w:line="262" w:lineRule="auto"/>
        <w:rPr>
          <w:sz w:val="20"/>
          <w:szCs w:val="20"/>
          <w:color w:val="auto"/>
        </w:rPr>
      </w:pPr>
      <w:r>
        <w:rPr>
          <w:rFonts w:ascii="Courier New" w:cs="Courier New" w:eastAsia="Courier New" w:hAnsi="Courier New"/>
          <w:sz w:val="14"/>
          <w:szCs w:val="14"/>
          <w:color w:val="auto"/>
        </w:rPr>
        <w:t>Comparing total year results of 2002 and 2001, consolidated premiums consisted of: general insurance lines that amounted to 62.3% of total premiums and increased 22.7%, while Pacifico Salud's premiums were 10.2%, increasing 9.1%, and premiums by Pacifico Vida amounted to 27.5% and grew 7.5%.</w:t>
      </w:r>
    </w:p>
    <w:p>
      <w:pPr>
        <w:spacing w:after="0" w:line="161"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Through December 31, 2002, growth of PacificoSAlud and the health and medical assistance insurance line (21.8% of total premiums) was 6.8%; fire insurance lines (22.7% of total premiums) increased 69.2%; while the automobile insurance line (7.1% of total premiums) decreased 9.8%. Through December 2002, pension fund benefits insurance (8.1% of total premiums) grew 7.3%, while group life insurance and individual life insurance policies (10.8% of total premiums) grew 14.1%, and life annuities (7.5% of total premiums) decreased 1.1% compared to year 2001.</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Net underwriting results was S/.13.8 million (US$3.9 million) in the fourth quarter of 2002, compared to S/.18.8 million (US$5.3 million) in the prior year quarter. The ratio of net underwriting results (net premiums less reserves and claims as a percentage of total premiums) decreased to 7.0% in the fourth quarter of 2002, compared to 9.8% in the prior year period, and to 9.3% in the third quarter 2002 mainly because of higher claims.</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Net claims incurred in the fourth quarter of 2002 were S/.88.4 million (US$25.2 million), 14.9% over claims in the last quarter of 2001, but decrease 3.5% compared to the preceding quarter. The net loss ratio (net claims to net premiums) increases to 73.2% in the current quarter from 70.6% in fourth quarter 2001, and from 71.3% in the preceding third quarter. The net loss ratio for total 2002 was 73.0%, lower than 81.6% in 2001, but continues high in pension fund insurance (116%), health (88%) and in Pacifico Salud (83%).</w:t>
      </w:r>
    </w:p>
    <w:p>
      <w:pPr>
        <w:spacing w:after="0" w:line="176" w:lineRule="exact"/>
        <w:rPr>
          <w:sz w:val="20"/>
          <w:szCs w:val="20"/>
          <w:color w:val="auto"/>
        </w:rPr>
      </w:pPr>
    </w:p>
    <w:p>
      <w:pPr>
        <w:ind w:right="3299" w:firstLine="444"/>
        <w:spacing w:after="0" w:line="262" w:lineRule="auto"/>
        <w:rPr>
          <w:sz w:val="20"/>
          <w:szCs w:val="20"/>
          <w:color w:val="auto"/>
        </w:rPr>
      </w:pPr>
      <w:r>
        <w:rPr>
          <w:rFonts w:ascii="Courier New" w:cs="Courier New" w:eastAsia="Courier New" w:hAnsi="Courier New"/>
          <w:sz w:val="14"/>
          <w:szCs w:val="14"/>
          <w:color w:val="auto"/>
        </w:rPr>
        <w:t>The combined ratio (the sum of net claims, general expenses and commissions, as a percentage of net premiums) increased from 107.1% in the fourth quarter of 2001 to 108.1% in the current quarter, due to higher claims, principally in health insurance, Pacifico Salud and pension fund insurance.</w:t>
      </w:r>
    </w:p>
    <w:p>
      <w:pPr>
        <w:spacing w:after="0" w:line="161" w:lineRule="exact"/>
        <w:rPr>
          <w:sz w:val="20"/>
          <w:szCs w:val="20"/>
          <w:color w:val="auto"/>
        </w:rPr>
      </w:pPr>
    </w:p>
    <w:p>
      <w:pPr>
        <w:ind w:right="3119" w:firstLine="444"/>
        <w:spacing w:after="0" w:line="238" w:lineRule="auto"/>
        <w:rPr>
          <w:sz w:val="20"/>
          <w:szCs w:val="20"/>
          <w:color w:val="auto"/>
        </w:rPr>
      </w:pPr>
      <w:r>
        <w:rPr>
          <w:rFonts w:ascii="Courier New" w:cs="Courier New" w:eastAsia="Courier New" w:hAnsi="Courier New"/>
          <w:sz w:val="15"/>
          <w:szCs w:val="15"/>
          <w:color w:val="auto"/>
        </w:rPr>
        <w:t>Operating expenses over net premiums declined from 28.1% to 25.4% comparing the fourth quarters of 2001 and 2002, respectively.</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628" w:right="1440" w:bottom="1440" w:gutter="0" w:footer="0" w:header="0"/>
        </w:sectPr>
      </w:pPr>
    </w:p>
    <w:bookmarkStart w:id="27" w:name="page28"/>
    <w:bookmarkEnd w:id="27"/>
    <w:p>
      <w:pPr>
        <w:ind w:right="3659" w:firstLine="444"/>
        <w:spacing w:after="0" w:line="239" w:lineRule="auto"/>
        <w:rPr>
          <w:sz w:val="20"/>
          <w:szCs w:val="20"/>
          <w:color w:val="auto"/>
        </w:rPr>
      </w:pPr>
      <w:r>
        <w:rPr>
          <w:rFonts w:ascii="Courier New" w:cs="Courier New" w:eastAsia="Courier New" w:hAnsi="Courier New"/>
          <w:sz w:val="15"/>
          <w:szCs w:val="15"/>
          <w:color w:val="auto"/>
        </w:rPr>
        <w:t>Investments in real estate and financial assets were S/.1,024 million (US$291.5 million) at the end of December 2002, increasing 23.9% from the year-ago balance.</w:t>
      </w:r>
    </w:p>
    <w:p>
      <w:pPr>
        <w:spacing w:after="0" w:line="17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As of December 31, 2002, total assets were S/.1,416 million (US$403.1 million) increasing 3.6% compared to the year-ago balance. At the end of the current period net equity amounted to S/.334.5 million (US$95.2 million) decreasing 30.1% from net equity at December 2001 mostly due to payment of cash dividends.</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Peruvian insurance market through November 30, 2002, increased total premiums 18.9% with respect to the same prior year period, reaching US$616.1 million, mainly due to higher reinsurance costs. For the first eleven months of 2002, PPS's market share in total premiums was 32.1% (32.5% in the year-ago period), with the share in general risks lines being 34.0% (35.0% through November 2001), and in life insurance and pension fund benefits lines of 29.9% and 26.0% (29.9% and 25.9% as of November 2001), respectively.</w:t>
      </w:r>
    </w:p>
    <w:p>
      <w:pPr>
        <w:spacing w:after="0" w:line="200" w:lineRule="exact"/>
        <w:rPr>
          <w:sz w:val="20"/>
          <w:szCs w:val="20"/>
          <w:color w:val="auto"/>
        </w:rPr>
      </w:pPr>
    </w:p>
    <w:p>
      <w:pPr>
        <w:spacing w:after="0" w:line="31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631" w:right="1440" w:bottom="1440" w:gutter="0" w:footer="0" w:header="0"/>
        </w:sectPr>
      </w:pPr>
    </w:p>
    <w:bookmarkStart w:id="28" w:name="page29"/>
    <w:bookmarkEnd w:id="28"/>
    <w:p>
      <w:pPr>
        <w:ind w:left="2209"/>
        <w:spacing w:after="0"/>
        <w:rPr>
          <w:sz w:val="20"/>
          <w:szCs w:val="20"/>
          <w:color w:val="auto"/>
        </w:rPr>
      </w:pPr>
      <w:r>
        <w:rPr>
          <w:rFonts w:ascii="Courier New" w:cs="Courier New" w:eastAsia="Courier New" w:hAnsi="Courier New"/>
          <w:sz w:val="15"/>
          <w:szCs w:val="15"/>
          <w:color w:val="auto"/>
        </w:rPr>
        <w:t>CREDICORP LTD. AND SUBSIDIARIES</w:t>
      </w:r>
    </w:p>
    <w:p>
      <w:pPr>
        <w:spacing w:after="0" w:line="1" w:lineRule="exact"/>
        <w:rPr>
          <w:sz w:val="20"/>
          <w:szCs w:val="20"/>
          <w:color w:val="auto"/>
        </w:rPr>
      </w:pPr>
    </w:p>
    <w:p>
      <w:pPr>
        <w:ind w:left="3289"/>
        <w:spacing w:after="0"/>
        <w:rPr>
          <w:sz w:val="20"/>
          <w:szCs w:val="20"/>
          <w:color w:val="auto"/>
        </w:rPr>
      </w:pPr>
      <w:r>
        <w:rPr>
          <w:rFonts w:ascii="Courier New" w:cs="Courier New" w:eastAsia="Courier New" w:hAnsi="Courier New"/>
          <w:sz w:val="15"/>
          <w:szCs w:val="15"/>
          <w:color w:val="auto"/>
        </w:rPr>
        <w:t>Table 1</w:t>
      </w:r>
    </w:p>
    <w:p>
      <w:pPr>
        <w:spacing w:after="0" w:line="1" w:lineRule="exact"/>
        <w:rPr>
          <w:sz w:val="20"/>
          <w:szCs w:val="20"/>
          <w:color w:val="auto"/>
        </w:rPr>
      </w:pPr>
    </w:p>
    <w:p>
      <w:pPr>
        <w:ind w:left="2389"/>
        <w:spacing w:after="0"/>
        <w:rPr>
          <w:sz w:val="20"/>
          <w:szCs w:val="20"/>
          <w:color w:val="auto"/>
        </w:rPr>
      </w:pPr>
      <w:r>
        <w:rPr>
          <w:rFonts w:ascii="Courier New" w:cs="Courier New" w:eastAsia="Courier New" w:hAnsi="Courier New"/>
          <w:sz w:val="15"/>
          <w:szCs w:val="15"/>
          <w:color w:val="auto"/>
        </w:rPr>
        <w:t>CONSOLIDATED BALANCE SHEETS</w:t>
      </w:r>
    </w:p>
    <w:p>
      <w:pPr>
        <w:spacing w:after="0" w:line="1" w:lineRule="exact"/>
        <w:rPr>
          <w:sz w:val="20"/>
          <w:szCs w:val="20"/>
          <w:color w:val="auto"/>
        </w:rPr>
      </w:pPr>
    </w:p>
    <w:p>
      <w:pPr>
        <w:ind w:left="2209"/>
        <w:spacing w:after="0"/>
        <w:rPr>
          <w:sz w:val="20"/>
          <w:szCs w:val="20"/>
          <w:color w:val="auto"/>
        </w:rPr>
      </w:pPr>
      <w:r>
        <w:rPr>
          <w:rFonts w:ascii="Courier New" w:cs="Courier New" w:eastAsia="Courier New" w:hAnsi="Courier New"/>
          <w:sz w:val="15"/>
          <w:szCs w:val="15"/>
          <w:color w:val="auto"/>
        </w:rPr>
        <w:t>(In thousands of U.S. Dollars)</w:t>
      </w:r>
    </w:p>
    <w:p>
      <w:pPr>
        <w:spacing w:after="0" w:line="171" w:lineRule="exact"/>
        <w:rPr>
          <w:sz w:val="20"/>
          <w:szCs w:val="20"/>
          <w:color w:val="auto"/>
        </w:rPr>
      </w:pPr>
    </w:p>
    <w:p>
      <w:pPr>
        <w:ind w:left="7369"/>
        <w:spacing w:after="0"/>
        <w:rPr>
          <w:sz w:val="20"/>
          <w:szCs w:val="20"/>
          <w:color w:val="auto"/>
        </w:rPr>
      </w:pPr>
      <w:r>
        <w:rPr>
          <w:rFonts w:ascii="Courier New" w:cs="Courier New" w:eastAsia="Courier New" w:hAnsi="Courier New"/>
          <w:sz w:val="15"/>
          <w:szCs w:val="15"/>
          <w:color w:val="auto"/>
        </w:rPr>
        <w:t>As of</w:t>
      </w:r>
    </w:p>
    <w:p>
      <w:pPr>
        <w:spacing w:after="0" w:line="1" w:lineRule="exact"/>
        <w:rPr>
          <w:sz w:val="20"/>
          <w:szCs w:val="20"/>
          <w:color w:val="auto"/>
        </w:rPr>
      </w:pPr>
    </w:p>
    <w:p>
      <w:pPr>
        <w:ind w:left="488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2129"/>
        <w:spacing w:after="0"/>
        <w:tabs>
          <w:tab w:leader="none" w:pos="4949" w:val="left"/>
          <w:tab w:leader="none" w:pos="6289" w:val="left"/>
          <w:tab w:leader="none" w:pos="7709" w:val="left"/>
          <w:tab w:leader="none" w:pos="9029" w:val="left"/>
        </w:tabs>
        <w:rPr>
          <w:sz w:val="20"/>
          <w:szCs w:val="20"/>
          <w:color w:val="auto"/>
        </w:rPr>
      </w:pPr>
      <w:r>
        <w:rPr>
          <w:rFonts w:ascii="Courier New" w:cs="Courier New" w:eastAsia="Courier New" w:hAnsi="Courier New"/>
          <w:sz w:val="15"/>
          <w:szCs w:val="15"/>
          <w:color w:val="auto"/>
        </w:rPr>
        <w:t>ASSETS</w:t>
      </w:r>
      <w:r>
        <w:rPr>
          <w:sz w:val="20"/>
          <w:szCs w:val="20"/>
          <w:color w:val="auto"/>
        </w:rPr>
        <w:tab/>
      </w:r>
      <w:r>
        <w:rPr>
          <w:rFonts w:ascii="Courier New" w:cs="Courier New" w:eastAsia="Courier New" w:hAnsi="Courier New"/>
          <w:sz w:val="15"/>
          <w:szCs w:val="15"/>
          <w:color w:val="auto"/>
        </w:rPr>
        <w:t>Sep. 30, 2001</w:t>
        <w:tab/>
        <w:t>Dec. 31, 2001</w:t>
      </w:r>
      <w:r>
        <w:rPr>
          <w:sz w:val="20"/>
          <w:szCs w:val="20"/>
          <w:color w:val="auto"/>
        </w:rPr>
        <w:tab/>
      </w:r>
      <w:r>
        <w:rPr>
          <w:rFonts w:ascii="Courier New" w:cs="Courier New" w:eastAsia="Courier New" w:hAnsi="Courier New"/>
          <w:sz w:val="15"/>
          <w:szCs w:val="15"/>
          <w:color w:val="auto"/>
        </w:rPr>
        <w:t>Sep. 30, 2002</w:t>
      </w:r>
      <w:r>
        <w:rPr>
          <w:sz w:val="20"/>
          <w:szCs w:val="20"/>
          <w:color w:val="auto"/>
        </w:rPr>
        <w:tab/>
      </w:r>
      <w:r>
        <w:rPr>
          <w:rFonts w:ascii="Courier New" w:cs="Courier New" w:eastAsia="Courier New" w:hAnsi="Courier New"/>
          <w:sz w:val="14"/>
          <w:szCs w:val="14"/>
          <w:color w:val="auto"/>
        </w:rPr>
        <w:t>Dec. 31, 2002</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920" w:type="dxa"/>
            <w:vAlign w:val="bottom"/>
          </w:tcPr>
          <w:p>
            <w:pPr>
              <w:spacing w:after="0"/>
              <w:rPr>
                <w:sz w:val="20"/>
                <w:szCs w:val="20"/>
                <w:color w:val="auto"/>
              </w:rPr>
            </w:pPr>
            <w:r>
              <w:rPr>
                <w:rFonts w:ascii="Courier New" w:cs="Courier New" w:eastAsia="Courier New" w:hAnsi="Courier New"/>
                <w:sz w:val="15"/>
                <w:szCs w:val="15"/>
                <w:color w:val="auto"/>
              </w:rPr>
              <w:t>CASH AND DUE FROM BANKS</w:t>
            </w:r>
          </w:p>
        </w:tc>
        <w:tc>
          <w:tcPr>
            <w:tcW w:w="16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4920" w:type="dxa"/>
            <w:vAlign w:val="bottom"/>
          </w:tcPr>
          <w:p>
            <w:pPr>
              <w:ind w:left="260"/>
              <w:spacing w:after="0"/>
              <w:rPr>
                <w:sz w:val="20"/>
                <w:szCs w:val="20"/>
                <w:color w:val="auto"/>
              </w:rPr>
            </w:pPr>
            <w:r>
              <w:rPr>
                <w:rFonts w:ascii="Courier New" w:cs="Courier New" w:eastAsia="Courier New" w:hAnsi="Courier New"/>
                <w:sz w:val="15"/>
                <w:szCs w:val="15"/>
                <w:color w:val="auto"/>
              </w:rPr>
              <w:t>Cash and non interest bearing deposits in banks</w:t>
            </w:r>
          </w:p>
        </w:tc>
        <w:tc>
          <w:tcPr>
            <w:tcW w:w="16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244,009</w:t>
            </w: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277,841</w:t>
            </w:r>
          </w:p>
        </w:tc>
        <w:tc>
          <w:tcPr>
            <w:tcW w:w="13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251,670</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314,404</w:t>
            </w:r>
          </w:p>
        </w:tc>
      </w:tr>
      <w:tr>
        <w:trPr>
          <w:trHeight w:val="171"/>
        </w:trPr>
        <w:tc>
          <w:tcPr>
            <w:tcW w:w="4920" w:type="dxa"/>
            <w:vAlign w:val="bottom"/>
          </w:tcPr>
          <w:p>
            <w:pPr>
              <w:ind w:left="260"/>
              <w:spacing w:after="0"/>
              <w:rPr>
                <w:sz w:val="20"/>
                <w:szCs w:val="20"/>
                <w:color w:val="auto"/>
              </w:rPr>
            </w:pPr>
            <w:r>
              <w:rPr>
                <w:rFonts w:ascii="Courier New" w:cs="Courier New" w:eastAsia="Courier New" w:hAnsi="Courier New"/>
                <w:sz w:val="15"/>
                <w:szCs w:val="15"/>
                <w:color w:val="auto"/>
              </w:rPr>
              <w:t>Interest bearing deposits in banks</w:t>
            </w:r>
          </w:p>
        </w:tc>
        <w:tc>
          <w:tcPr>
            <w:tcW w:w="16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1,924,882</w:t>
            </w: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1,675,562</w:t>
            </w:r>
          </w:p>
        </w:tc>
        <w:tc>
          <w:tcPr>
            <w:tcW w:w="13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1,768,854</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1,867,987</w:t>
            </w:r>
          </w:p>
        </w:tc>
      </w:tr>
      <w:tr>
        <w:trPr>
          <w:trHeight w:val="171"/>
        </w:trPr>
        <w:tc>
          <w:tcPr>
            <w:tcW w:w="4920" w:type="dxa"/>
            <w:vAlign w:val="bottom"/>
          </w:tcPr>
          <w:p>
            <w:pPr>
              <w:spacing w:after="0"/>
              <w:rPr>
                <w:sz w:val="14"/>
                <w:szCs w:val="14"/>
                <w:color w:val="auto"/>
              </w:rPr>
            </w:pPr>
          </w:p>
        </w:tc>
        <w:tc>
          <w:tcPr>
            <w:tcW w:w="16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4920" w:type="dxa"/>
            <w:vAlign w:val="bottom"/>
          </w:tcPr>
          <w:p>
            <w:pPr>
              <w:spacing w:after="0"/>
              <w:rPr>
                <w:sz w:val="14"/>
                <w:szCs w:val="14"/>
                <w:color w:val="auto"/>
              </w:rPr>
            </w:pPr>
          </w:p>
        </w:tc>
        <w:tc>
          <w:tcPr>
            <w:tcW w:w="16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2,168,891</w:t>
            </w: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1,953,403</w:t>
            </w:r>
          </w:p>
        </w:tc>
        <w:tc>
          <w:tcPr>
            <w:tcW w:w="13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2,020,524</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2,182,391</w:t>
            </w:r>
          </w:p>
        </w:tc>
      </w:tr>
      <w:tr>
        <w:trPr>
          <w:trHeight w:val="171"/>
        </w:trPr>
        <w:tc>
          <w:tcPr>
            <w:tcW w:w="4920" w:type="dxa"/>
            <w:vAlign w:val="bottom"/>
          </w:tcPr>
          <w:p>
            <w:pPr>
              <w:spacing w:after="0"/>
              <w:rPr>
                <w:sz w:val="14"/>
                <w:szCs w:val="14"/>
                <w:color w:val="auto"/>
              </w:rPr>
            </w:pPr>
          </w:p>
        </w:tc>
        <w:tc>
          <w:tcPr>
            <w:tcW w:w="16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341"/>
        </w:trPr>
        <w:tc>
          <w:tcPr>
            <w:tcW w:w="4920" w:type="dxa"/>
            <w:vAlign w:val="bottom"/>
          </w:tcPr>
          <w:p>
            <w:pPr>
              <w:spacing w:after="0"/>
              <w:rPr>
                <w:sz w:val="20"/>
                <w:szCs w:val="20"/>
                <w:color w:val="auto"/>
              </w:rPr>
            </w:pPr>
            <w:r>
              <w:rPr>
                <w:rFonts w:ascii="Courier New" w:cs="Courier New" w:eastAsia="Courier New" w:hAnsi="Courier New"/>
                <w:sz w:val="15"/>
                <w:szCs w:val="15"/>
                <w:color w:val="auto"/>
              </w:rPr>
              <w:t>MARKETABLE SECURITIES, net</w:t>
            </w:r>
          </w:p>
        </w:tc>
        <w:tc>
          <w:tcPr>
            <w:tcW w:w="16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511,821</w:t>
            </w: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516,376</w:t>
            </w:r>
          </w:p>
        </w:tc>
        <w:tc>
          <w:tcPr>
            <w:tcW w:w="13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518,108</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613,174</w:t>
            </w:r>
          </w:p>
        </w:tc>
      </w:tr>
      <w:tr>
        <w:trPr>
          <w:trHeight w:val="341"/>
        </w:trPr>
        <w:tc>
          <w:tcPr>
            <w:tcW w:w="4920" w:type="dxa"/>
            <w:vAlign w:val="bottom"/>
          </w:tcPr>
          <w:p>
            <w:pPr>
              <w:spacing w:after="0"/>
              <w:rPr>
                <w:sz w:val="20"/>
                <w:szCs w:val="20"/>
                <w:color w:val="auto"/>
              </w:rPr>
            </w:pPr>
            <w:r>
              <w:rPr>
                <w:rFonts w:ascii="Courier New" w:cs="Courier New" w:eastAsia="Courier New" w:hAnsi="Courier New"/>
                <w:sz w:val="15"/>
                <w:szCs w:val="15"/>
                <w:color w:val="auto"/>
              </w:rPr>
              <w:t>LOANS</w:t>
            </w:r>
          </w:p>
        </w:tc>
        <w:tc>
          <w:tcPr>
            <w:tcW w:w="16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4,313,517</w:t>
            </w: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4,064,479</w:t>
            </w:r>
          </w:p>
        </w:tc>
        <w:tc>
          <w:tcPr>
            <w:tcW w:w="13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3,869,572</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4,817,662</w:t>
            </w:r>
          </w:p>
        </w:tc>
      </w:tr>
      <w:tr>
        <w:trPr>
          <w:trHeight w:val="171"/>
        </w:trPr>
        <w:tc>
          <w:tcPr>
            <w:tcW w:w="49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6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920" w:type="dxa"/>
            <w:vAlign w:val="bottom"/>
          </w:tcPr>
          <w:p>
            <w:pPr>
              <w:ind w:left="260"/>
              <w:spacing w:after="0"/>
              <w:rPr>
                <w:sz w:val="20"/>
                <w:szCs w:val="20"/>
                <w:color w:val="auto"/>
              </w:rPr>
            </w:pPr>
            <w:r>
              <w:rPr>
                <w:rFonts w:ascii="Courier New" w:cs="Courier New" w:eastAsia="Courier New" w:hAnsi="Courier New"/>
                <w:sz w:val="15"/>
                <w:szCs w:val="15"/>
                <w:color w:val="auto"/>
              </w:rPr>
              <w:t>Current</w:t>
            </w:r>
          </w:p>
        </w:tc>
        <w:tc>
          <w:tcPr>
            <w:tcW w:w="16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3,929,175</w:t>
            </w: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3,713,644</w:t>
            </w:r>
          </w:p>
        </w:tc>
        <w:tc>
          <w:tcPr>
            <w:tcW w:w="13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3,559,161</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4,412,345</w:t>
            </w:r>
          </w:p>
        </w:tc>
      </w:tr>
      <w:tr>
        <w:trPr>
          <w:trHeight w:val="171"/>
        </w:trPr>
        <w:tc>
          <w:tcPr>
            <w:tcW w:w="4920" w:type="dxa"/>
            <w:vAlign w:val="bottom"/>
          </w:tcPr>
          <w:p>
            <w:pPr>
              <w:ind w:left="260"/>
              <w:spacing w:after="0"/>
              <w:rPr>
                <w:sz w:val="20"/>
                <w:szCs w:val="20"/>
                <w:color w:val="auto"/>
              </w:rPr>
            </w:pPr>
            <w:r>
              <w:rPr>
                <w:rFonts w:ascii="Courier New" w:cs="Courier New" w:eastAsia="Courier New" w:hAnsi="Courier New"/>
                <w:sz w:val="15"/>
                <w:szCs w:val="15"/>
                <w:color w:val="auto"/>
              </w:rPr>
              <w:t>Past Due</w:t>
            </w:r>
          </w:p>
        </w:tc>
        <w:tc>
          <w:tcPr>
            <w:tcW w:w="16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384,342</w:t>
            </w: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350,835</w:t>
            </w:r>
          </w:p>
        </w:tc>
        <w:tc>
          <w:tcPr>
            <w:tcW w:w="13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310,411</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405,317</w:t>
            </w:r>
          </w:p>
        </w:tc>
      </w:tr>
      <w:tr>
        <w:trPr>
          <w:trHeight w:val="171"/>
        </w:trPr>
        <w:tc>
          <w:tcPr>
            <w:tcW w:w="4920" w:type="dxa"/>
            <w:vAlign w:val="bottom"/>
          </w:tcPr>
          <w:p>
            <w:pPr>
              <w:ind w:left="260"/>
              <w:spacing w:after="0"/>
              <w:rPr>
                <w:sz w:val="20"/>
                <w:szCs w:val="20"/>
                <w:color w:val="auto"/>
              </w:rPr>
            </w:pPr>
            <w:r>
              <w:rPr>
                <w:rFonts w:ascii="Courier New" w:cs="Courier New" w:eastAsia="Courier New" w:hAnsi="Courier New"/>
                <w:sz w:val="15"/>
                <w:szCs w:val="15"/>
                <w:color w:val="auto"/>
              </w:rPr>
              <w:t>Less - Reserve for possible loan losses</w:t>
            </w:r>
          </w:p>
        </w:tc>
        <w:tc>
          <w:tcPr>
            <w:tcW w:w="16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(355,793)</w:t>
            </w:r>
          </w:p>
        </w:tc>
        <w:tc>
          <w:tcPr>
            <w:tcW w:w="13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(344,433)</w:t>
            </w:r>
          </w:p>
        </w:tc>
        <w:tc>
          <w:tcPr>
            <w:tcW w:w="13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(310,787)</w:t>
            </w:r>
          </w:p>
        </w:tc>
        <w:tc>
          <w:tcPr>
            <w:tcW w:w="1160" w:type="dxa"/>
            <w:vAlign w:val="bottom"/>
          </w:tcPr>
          <w:p>
            <w:pPr>
              <w:jc w:val="right"/>
              <w:ind w:right="6"/>
              <w:spacing w:after="0"/>
              <w:rPr>
                <w:sz w:val="20"/>
                <w:szCs w:val="20"/>
                <w:color w:val="auto"/>
              </w:rPr>
            </w:pPr>
            <w:r>
              <w:rPr>
                <w:rFonts w:ascii="Courier New" w:cs="Courier New" w:eastAsia="Courier New" w:hAnsi="Courier New"/>
                <w:sz w:val="15"/>
                <w:szCs w:val="15"/>
                <w:color w:val="auto"/>
              </w:rPr>
              <w:t>(420,809)</w:t>
            </w:r>
          </w:p>
        </w:tc>
      </w:tr>
      <w:tr>
        <w:trPr>
          <w:trHeight w:val="171"/>
        </w:trPr>
        <w:tc>
          <w:tcPr>
            <w:tcW w:w="4920" w:type="dxa"/>
            <w:vAlign w:val="bottom"/>
          </w:tcPr>
          <w:p>
            <w:pPr>
              <w:spacing w:after="0"/>
              <w:rPr>
                <w:sz w:val="20"/>
                <w:szCs w:val="20"/>
                <w:color w:val="auto"/>
              </w:rPr>
            </w:pPr>
            <w:r>
              <w:rPr>
                <w:rFonts w:ascii="Courier New" w:cs="Courier New" w:eastAsia="Courier New" w:hAnsi="Courier New"/>
                <w:sz w:val="15"/>
                <w:szCs w:val="15"/>
                <w:color w:val="auto"/>
              </w:rPr>
              <w:t>LOANS  NET</w:t>
            </w:r>
          </w:p>
        </w:tc>
        <w:tc>
          <w:tcPr>
            <w:tcW w:w="16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3,957,724</w:t>
            </w: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3,720,046</w:t>
            </w:r>
          </w:p>
        </w:tc>
        <w:tc>
          <w:tcPr>
            <w:tcW w:w="13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3,558,785</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4,396,853</w:t>
            </w:r>
          </w:p>
        </w:tc>
      </w:tr>
      <w:tr>
        <w:trPr>
          <w:trHeight w:val="171"/>
        </w:trPr>
        <w:tc>
          <w:tcPr>
            <w:tcW w:w="49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6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4920" w:type="dxa"/>
            <w:vAlign w:val="bottom"/>
          </w:tcPr>
          <w:p>
            <w:pPr>
              <w:spacing w:after="0"/>
              <w:rPr>
                <w:sz w:val="20"/>
                <w:szCs w:val="20"/>
                <w:color w:val="auto"/>
              </w:rPr>
            </w:pPr>
            <w:r>
              <w:rPr>
                <w:rFonts w:ascii="Courier New" w:cs="Courier New" w:eastAsia="Courier New" w:hAnsi="Courier New"/>
                <w:sz w:val="15"/>
                <w:szCs w:val="15"/>
                <w:color w:val="auto"/>
              </w:rPr>
              <w:t>INVESTMENT SECURITIES AVAILABLE FOR SALE</w:t>
            </w:r>
          </w:p>
        </w:tc>
        <w:tc>
          <w:tcPr>
            <w:tcW w:w="16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615,003</w:t>
            </w: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584,293</w:t>
            </w:r>
          </w:p>
        </w:tc>
        <w:tc>
          <w:tcPr>
            <w:tcW w:w="13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618,286</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634,151</w:t>
            </w:r>
          </w:p>
        </w:tc>
      </w:tr>
      <w:tr>
        <w:trPr>
          <w:trHeight w:val="171"/>
        </w:trPr>
        <w:tc>
          <w:tcPr>
            <w:tcW w:w="4920" w:type="dxa"/>
            <w:vAlign w:val="bottom"/>
          </w:tcPr>
          <w:p>
            <w:pPr>
              <w:spacing w:after="0"/>
              <w:rPr>
                <w:sz w:val="20"/>
                <w:szCs w:val="20"/>
                <w:color w:val="auto"/>
              </w:rPr>
            </w:pPr>
            <w:r>
              <w:rPr>
                <w:rFonts w:ascii="Courier New" w:cs="Courier New" w:eastAsia="Courier New" w:hAnsi="Courier New"/>
                <w:sz w:val="15"/>
                <w:szCs w:val="15"/>
                <w:color w:val="auto"/>
              </w:rPr>
              <w:t>REINSURANCE ASSETS</w:t>
            </w:r>
          </w:p>
        </w:tc>
        <w:tc>
          <w:tcPr>
            <w:tcW w:w="16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44,617</w:t>
            </w: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45,663</w:t>
            </w:r>
          </w:p>
        </w:tc>
        <w:tc>
          <w:tcPr>
            <w:tcW w:w="13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39,279</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29,677</w:t>
            </w:r>
          </w:p>
        </w:tc>
      </w:tr>
      <w:tr>
        <w:trPr>
          <w:trHeight w:val="171"/>
        </w:trPr>
        <w:tc>
          <w:tcPr>
            <w:tcW w:w="4920" w:type="dxa"/>
            <w:vAlign w:val="bottom"/>
          </w:tcPr>
          <w:p>
            <w:pPr>
              <w:spacing w:after="0"/>
              <w:rPr>
                <w:sz w:val="20"/>
                <w:szCs w:val="20"/>
                <w:color w:val="auto"/>
              </w:rPr>
            </w:pPr>
            <w:r>
              <w:rPr>
                <w:rFonts w:ascii="Courier New" w:cs="Courier New" w:eastAsia="Courier New" w:hAnsi="Courier New"/>
                <w:sz w:val="15"/>
                <w:szCs w:val="15"/>
                <w:color w:val="auto"/>
              </w:rPr>
              <w:t>PREMIUMS AND OTHER POLICYHOLDER RECEIVABLES</w:t>
            </w:r>
          </w:p>
        </w:tc>
        <w:tc>
          <w:tcPr>
            <w:tcW w:w="16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47,156</w:t>
            </w: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54,587</w:t>
            </w:r>
          </w:p>
        </w:tc>
        <w:tc>
          <w:tcPr>
            <w:tcW w:w="13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63,020</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61,856</w:t>
            </w:r>
          </w:p>
        </w:tc>
      </w:tr>
      <w:tr>
        <w:trPr>
          <w:trHeight w:val="171"/>
        </w:trPr>
        <w:tc>
          <w:tcPr>
            <w:tcW w:w="4920" w:type="dxa"/>
            <w:vAlign w:val="bottom"/>
          </w:tcPr>
          <w:p>
            <w:pPr>
              <w:spacing w:after="0"/>
              <w:rPr>
                <w:sz w:val="20"/>
                <w:szCs w:val="20"/>
                <w:color w:val="auto"/>
              </w:rPr>
            </w:pPr>
            <w:r>
              <w:rPr>
                <w:rFonts w:ascii="Courier New" w:cs="Courier New" w:eastAsia="Courier New" w:hAnsi="Courier New"/>
                <w:sz w:val="15"/>
                <w:szCs w:val="15"/>
                <w:color w:val="auto"/>
              </w:rPr>
              <w:t>PROPERTY, PLANT and EQUIPMENT, net</w:t>
            </w:r>
          </w:p>
        </w:tc>
        <w:tc>
          <w:tcPr>
            <w:tcW w:w="16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251,864</w:t>
            </w: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258,870</w:t>
            </w:r>
          </w:p>
        </w:tc>
        <w:tc>
          <w:tcPr>
            <w:tcW w:w="13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244,050</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288,889</w:t>
            </w:r>
          </w:p>
        </w:tc>
      </w:tr>
      <w:tr>
        <w:trPr>
          <w:trHeight w:val="171"/>
        </w:trPr>
        <w:tc>
          <w:tcPr>
            <w:tcW w:w="4920" w:type="dxa"/>
            <w:vAlign w:val="bottom"/>
          </w:tcPr>
          <w:p>
            <w:pPr>
              <w:spacing w:after="0"/>
              <w:rPr>
                <w:sz w:val="20"/>
                <w:szCs w:val="20"/>
                <w:color w:val="auto"/>
              </w:rPr>
            </w:pPr>
            <w:r>
              <w:rPr>
                <w:rFonts w:ascii="Courier New" w:cs="Courier New" w:eastAsia="Courier New" w:hAnsi="Courier New"/>
                <w:sz w:val="15"/>
                <w:szCs w:val="15"/>
                <w:color w:val="auto"/>
              </w:rPr>
              <w:t>DUE FROM CUSTOMERS ON ACCEPTANCES</w:t>
            </w:r>
          </w:p>
        </w:tc>
        <w:tc>
          <w:tcPr>
            <w:tcW w:w="16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40,605</w:t>
            </w: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38,606</w:t>
            </w:r>
          </w:p>
        </w:tc>
        <w:tc>
          <w:tcPr>
            <w:tcW w:w="13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30,453</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36,068</w:t>
            </w:r>
          </w:p>
        </w:tc>
      </w:tr>
      <w:tr>
        <w:trPr>
          <w:trHeight w:val="171"/>
        </w:trPr>
        <w:tc>
          <w:tcPr>
            <w:tcW w:w="492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16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393,936</w:t>
            </w: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417,072</w:t>
            </w:r>
          </w:p>
        </w:tc>
        <w:tc>
          <w:tcPr>
            <w:tcW w:w="13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306,543</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376,660</w:t>
            </w:r>
          </w:p>
        </w:tc>
      </w:tr>
      <w:tr>
        <w:trPr>
          <w:trHeight w:val="341"/>
        </w:trPr>
        <w:tc>
          <w:tcPr>
            <w:tcW w:w="4920" w:type="dxa"/>
            <w:vAlign w:val="bottom"/>
          </w:tcPr>
          <w:p>
            <w:pPr>
              <w:ind w:left="1860"/>
              <w:spacing w:after="0"/>
              <w:rPr>
                <w:sz w:val="20"/>
                <w:szCs w:val="20"/>
                <w:color w:val="auto"/>
              </w:rPr>
            </w:pPr>
            <w:r>
              <w:rPr>
                <w:rFonts w:ascii="Courier New" w:cs="Courier New" w:eastAsia="Courier New" w:hAnsi="Courier New"/>
                <w:sz w:val="15"/>
                <w:szCs w:val="15"/>
                <w:color w:val="auto"/>
              </w:rPr>
              <w:t>TOTAL ASSETS</w:t>
            </w:r>
          </w:p>
        </w:tc>
        <w:tc>
          <w:tcPr>
            <w:tcW w:w="16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8,031,617</w:t>
            </w: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7,588,916</w:t>
            </w:r>
          </w:p>
        </w:tc>
        <w:tc>
          <w:tcPr>
            <w:tcW w:w="13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7,399,048</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8,619,719</w:t>
            </w:r>
          </w:p>
        </w:tc>
      </w:tr>
    </w:tbl>
    <w:p>
      <w:pPr>
        <w:spacing w:after="0" w:line="174" w:lineRule="exact"/>
        <w:rPr>
          <w:sz w:val="20"/>
          <w:szCs w:val="20"/>
          <w:color w:val="auto"/>
        </w:rPr>
      </w:pPr>
    </w:p>
    <w:p>
      <w:pPr>
        <w:ind w:left="169" w:hanging="169"/>
        <w:spacing w:after="0"/>
        <w:tabs>
          <w:tab w:leader="none" w:pos="169"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78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LIABILITIES AND SHAREHOLDERS' EQUITY</w:t>
      </w:r>
    </w:p>
    <w:p>
      <w:pPr>
        <w:spacing w:after="0" w:line="17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920" w:type="dxa"/>
            <w:vAlign w:val="bottom"/>
          </w:tcPr>
          <w:p>
            <w:pPr>
              <w:spacing w:after="0"/>
              <w:rPr>
                <w:sz w:val="20"/>
                <w:szCs w:val="20"/>
                <w:color w:val="auto"/>
              </w:rPr>
            </w:pPr>
            <w:r>
              <w:rPr>
                <w:rFonts w:ascii="Courier New" w:cs="Courier New" w:eastAsia="Courier New" w:hAnsi="Courier New"/>
                <w:sz w:val="15"/>
                <w:szCs w:val="15"/>
                <w:color w:val="auto"/>
              </w:rPr>
              <w:t>DEPOSITS AND OBLIGATIONS:</w:t>
            </w:r>
          </w:p>
        </w:tc>
        <w:tc>
          <w:tcPr>
            <w:tcW w:w="15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4920" w:type="dxa"/>
            <w:vAlign w:val="bottom"/>
          </w:tcPr>
          <w:p>
            <w:pPr>
              <w:ind w:left="260"/>
              <w:spacing w:after="0"/>
              <w:rPr>
                <w:sz w:val="20"/>
                <w:szCs w:val="20"/>
                <w:color w:val="auto"/>
              </w:rPr>
            </w:pPr>
            <w:r>
              <w:rPr>
                <w:rFonts w:ascii="Courier New" w:cs="Courier New" w:eastAsia="Courier New" w:hAnsi="Courier New"/>
                <w:sz w:val="15"/>
                <w:szCs w:val="15"/>
                <w:color w:val="auto"/>
              </w:rPr>
              <w:t>Non-interest bearing</w:t>
            </w:r>
          </w:p>
        </w:tc>
        <w:tc>
          <w:tcPr>
            <w:tcW w:w="15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632,154</w:t>
            </w:r>
          </w:p>
        </w:tc>
        <w:tc>
          <w:tcPr>
            <w:tcW w:w="13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766,607</w:t>
            </w:r>
          </w:p>
        </w:tc>
        <w:tc>
          <w:tcPr>
            <w:tcW w:w="13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685,739</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822,883</w:t>
            </w:r>
          </w:p>
        </w:tc>
      </w:tr>
      <w:tr>
        <w:trPr>
          <w:trHeight w:val="171"/>
        </w:trPr>
        <w:tc>
          <w:tcPr>
            <w:tcW w:w="4920" w:type="dxa"/>
            <w:vAlign w:val="bottom"/>
          </w:tcPr>
          <w:p>
            <w:pPr>
              <w:ind w:left="260"/>
              <w:spacing w:after="0"/>
              <w:rPr>
                <w:sz w:val="20"/>
                <w:szCs w:val="20"/>
                <w:color w:val="auto"/>
              </w:rPr>
            </w:pPr>
            <w:r>
              <w:rPr>
                <w:rFonts w:ascii="Courier New" w:cs="Courier New" w:eastAsia="Courier New" w:hAnsi="Courier New"/>
                <w:sz w:val="15"/>
                <w:szCs w:val="15"/>
                <w:color w:val="auto"/>
              </w:rPr>
              <w:t>Interest bearing</w:t>
            </w:r>
          </w:p>
        </w:tc>
        <w:tc>
          <w:tcPr>
            <w:tcW w:w="15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5,398,318</w:t>
            </w:r>
          </w:p>
        </w:tc>
        <w:tc>
          <w:tcPr>
            <w:tcW w:w="13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4,960,884</w:t>
            </w:r>
          </w:p>
        </w:tc>
        <w:tc>
          <w:tcPr>
            <w:tcW w:w="13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4,948,560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5,933,819</w:t>
            </w:r>
          </w:p>
        </w:tc>
      </w:tr>
      <w:tr>
        <w:trPr>
          <w:trHeight w:val="171"/>
        </w:trPr>
        <w:tc>
          <w:tcPr>
            <w:tcW w:w="4920" w:type="dxa"/>
            <w:vAlign w:val="bottom"/>
          </w:tcPr>
          <w:p>
            <w:pPr>
              <w:spacing w:after="0"/>
              <w:rPr>
                <w:sz w:val="14"/>
                <w:szCs w:val="14"/>
                <w:color w:val="auto"/>
              </w:rPr>
            </w:pPr>
          </w:p>
        </w:tc>
        <w:tc>
          <w:tcPr>
            <w:tcW w:w="15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920" w:type="dxa"/>
            <w:vAlign w:val="bottom"/>
          </w:tcPr>
          <w:p>
            <w:pPr>
              <w:spacing w:after="0"/>
              <w:rPr>
                <w:sz w:val="14"/>
                <w:szCs w:val="14"/>
                <w:color w:val="auto"/>
              </w:rPr>
            </w:pPr>
          </w:p>
        </w:tc>
        <w:tc>
          <w:tcPr>
            <w:tcW w:w="15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6,030,472</w:t>
            </w:r>
          </w:p>
        </w:tc>
        <w:tc>
          <w:tcPr>
            <w:tcW w:w="13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5,727,491</w:t>
            </w:r>
          </w:p>
        </w:tc>
        <w:tc>
          <w:tcPr>
            <w:tcW w:w="13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5,634,299</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6,756,702</w:t>
            </w:r>
          </w:p>
        </w:tc>
      </w:tr>
      <w:tr>
        <w:trPr>
          <w:trHeight w:val="171"/>
        </w:trPr>
        <w:tc>
          <w:tcPr>
            <w:tcW w:w="4920" w:type="dxa"/>
            <w:vAlign w:val="bottom"/>
          </w:tcPr>
          <w:p>
            <w:pPr>
              <w:spacing w:after="0"/>
              <w:rPr>
                <w:sz w:val="14"/>
                <w:szCs w:val="14"/>
                <w:color w:val="auto"/>
              </w:rPr>
            </w:pPr>
          </w:p>
        </w:tc>
        <w:tc>
          <w:tcPr>
            <w:tcW w:w="15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4920" w:type="dxa"/>
            <w:vAlign w:val="bottom"/>
          </w:tcPr>
          <w:p>
            <w:pPr>
              <w:spacing w:after="0"/>
              <w:rPr>
                <w:sz w:val="20"/>
                <w:szCs w:val="20"/>
                <w:color w:val="auto"/>
              </w:rPr>
            </w:pPr>
            <w:r>
              <w:rPr>
                <w:rFonts w:ascii="Courier New" w:cs="Courier New" w:eastAsia="Courier New" w:hAnsi="Courier New"/>
                <w:sz w:val="15"/>
                <w:szCs w:val="15"/>
                <w:color w:val="auto"/>
              </w:rPr>
              <w:t>DUE TO BANKS  AND CORRESPONDENTS</w:t>
            </w:r>
          </w:p>
        </w:tc>
        <w:tc>
          <w:tcPr>
            <w:tcW w:w="15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479,749</w:t>
            </w:r>
          </w:p>
        </w:tc>
        <w:tc>
          <w:tcPr>
            <w:tcW w:w="13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341,452</w:t>
            </w:r>
          </w:p>
        </w:tc>
        <w:tc>
          <w:tcPr>
            <w:tcW w:w="13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305,384</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309,698</w:t>
            </w:r>
          </w:p>
        </w:tc>
      </w:tr>
      <w:tr>
        <w:trPr>
          <w:trHeight w:val="171"/>
        </w:trPr>
        <w:tc>
          <w:tcPr>
            <w:tcW w:w="4920" w:type="dxa"/>
            <w:vAlign w:val="bottom"/>
          </w:tcPr>
          <w:p>
            <w:pPr>
              <w:spacing w:after="0"/>
              <w:rPr>
                <w:sz w:val="20"/>
                <w:szCs w:val="20"/>
                <w:color w:val="auto"/>
              </w:rPr>
            </w:pPr>
            <w:r>
              <w:rPr>
                <w:rFonts w:ascii="Courier New" w:cs="Courier New" w:eastAsia="Courier New" w:hAnsi="Courier New"/>
                <w:sz w:val="15"/>
                <w:szCs w:val="15"/>
                <w:color w:val="auto"/>
              </w:rPr>
              <w:t>ACCEPTANCES OUTSTANDING</w:t>
            </w:r>
          </w:p>
        </w:tc>
        <w:tc>
          <w:tcPr>
            <w:tcW w:w="15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40,605</w:t>
            </w:r>
          </w:p>
        </w:tc>
        <w:tc>
          <w:tcPr>
            <w:tcW w:w="13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38,606</w:t>
            </w:r>
          </w:p>
        </w:tc>
        <w:tc>
          <w:tcPr>
            <w:tcW w:w="13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30,453</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36,068</w:t>
            </w:r>
          </w:p>
        </w:tc>
      </w:tr>
      <w:tr>
        <w:trPr>
          <w:trHeight w:val="171"/>
        </w:trPr>
        <w:tc>
          <w:tcPr>
            <w:tcW w:w="4920" w:type="dxa"/>
            <w:vAlign w:val="bottom"/>
          </w:tcPr>
          <w:p>
            <w:pPr>
              <w:spacing w:after="0"/>
              <w:rPr>
                <w:sz w:val="20"/>
                <w:szCs w:val="20"/>
                <w:color w:val="auto"/>
              </w:rPr>
            </w:pPr>
            <w:r>
              <w:rPr>
                <w:rFonts w:ascii="Courier New" w:cs="Courier New" w:eastAsia="Courier New" w:hAnsi="Courier New"/>
                <w:sz w:val="15"/>
                <w:szCs w:val="15"/>
                <w:color w:val="auto"/>
              </w:rPr>
              <w:t>RESERVE FOR PROPERTY AND CASUALTY CLAIMS</w:t>
            </w:r>
          </w:p>
        </w:tc>
        <w:tc>
          <w:tcPr>
            <w:tcW w:w="15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185,649</w:t>
            </w:r>
          </w:p>
        </w:tc>
        <w:tc>
          <w:tcPr>
            <w:tcW w:w="13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193,452</w:t>
            </w:r>
          </w:p>
        </w:tc>
        <w:tc>
          <w:tcPr>
            <w:tcW w:w="13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212,514</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224,754</w:t>
            </w:r>
          </w:p>
        </w:tc>
      </w:tr>
      <w:tr>
        <w:trPr>
          <w:trHeight w:val="171"/>
        </w:trPr>
        <w:tc>
          <w:tcPr>
            <w:tcW w:w="4920" w:type="dxa"/>
            <w:vAlign w:val="bottom"/>
          </w:tcPr>
          <w:p>
            <w:pPr>
              <w:spacing w:after="0"/>
              <w:rPr>
                <w:sz w:val="20"/>
                <w:szCs w:val="20"/>
                <w:color w:val="auto"/>
              </w:rPr>
            </w:pPr>
            <w:r>
              <w:rPr>
                <w:rFonts w:ascii="Courier New" w:cs="Courier New" w:eastAsia="Courier New" w:hAnsi="Courier New"/>
                <w:sz w:val="15"/>
                <w:szCs w:val="15"/>
                <w:color w:val="auto"/>
              </w:rPr>
              <w:t>RESERVE FOR UNEARNED PREMIUMS</w:t>
            </w:r>
          </w:p>
        </w:tc>
        <w:tc>
          <w:tcPr>
            <w:tcW w:w="15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39,185</w:t>
            </w:r>
          </w:p>
        </w:tc>
        <w:tc>
          <w:tcPr>
            <w:tcW w:w="13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44,707</w:t>
            </w:r>
          </w:p>
        </w:tc>
        <w:tc>
          <w:tcPr>
            <w:tcW w:w="13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51,189</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48,703</w:t>
            </w:r>
          </w:p>
        </w:tc>
      </w:tr>
      <w:tr>
        <w:trPr>
          <w:trHeight w:val="171"/>
        </w:trPr>
        <w:tc>
          <w:tcPr>
            <w:tcW w:w="4920" w:type="dxa"/>
            <w:vAlign w:val="bottom"/>
          </w:tcPr>
          <w:p>
            <w:pPr>
              <w:spacing w:after="0"/>
              <w:rPr>
                <w:sz w:val="20"/>
                <w:szCs w:val="20"/>
                <w:color w:val="auto"/>
              </w:rPr>
            </w:pPr>
            <w:r>
              <w:rPr>
                <w:rFonts w:ascii="Courier New" w:cs="Courier New" w:eastAsia="Courier New" w:hAnsi="Courier New"/>
                <w:sz w:val="15"/>
                <w:szCs w:val="15"/>
                <w:color w:val="auto"/>
              </w:rPr>
              <w:t>REINSURANCE PAYABLE</w:t>
            </w:r>
          </w:p>
        </w:tc>
        <w:tc>
          <w:tcPr>
            <w:tcW w:w="15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22,793</w:t>
            </w:r>
          </w:p>
        </w:tc>
        <w:tc>
          <w:tcPr>
            <w:tcW w:w="13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23,801</w:t>
            </w:r>
          </w:p>
        </w:tc>
        <w:tc>
          <w:tcPr>
            <w:tcW w:w="13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30,564</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23,253</w:t>
            </w:r>
          </w:p>
        </w:tc>
      </w:tr>
      <w:tr>
        <w:trPr>
          <w:trHeight w:val="171"/>
        </w:trPr>
        <w:tc>
          <w:tcPr>
            <w:tcW w:w="4920" w:type="dxa"/>
            <w:vAlign w:val="bottom"/>
          </w:tcPr>
          <w:p>
            <w:pPr>
              <w:spacing w:after="0"/>
              <w:rPr>
                <w:sz w:val="20"/>
                <w:szCs w:val="20"/>
                <w:color w:val="auto"/>
              </w:rPr>
            </w:pPr>
            <w:r>
              <w:rPr>
                <w:rFonts w:ascii="Courier New" w:cs="Courier New" w:eastAsia="Courier New" w:hAnsi="Courier New"/>
                <w:sz w:val="15"/>
                <w:szCs w:val="15"/>
                <w:color w:val="auto"/>
              </w:rPr>
              <w:t>OTHER LIABILITIES</w:t>
            </w:r>
          </w:p>
        </w:tc>
        <w:tc>
          <w:tcPr>
            <w:tcW w:w="15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327,376</w:t>
            </w:r>
          </w:p>
        </w:tc>
        <w:tc>
          <w:tcPr>
            <w:tcW w:w="13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310,383</w:t>
            </w:r>
          </w:p>
        </w:tc>
        <w:tc>
          <w:tcPr>
            <w:tcW w:w="13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271,845</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332,000</w:t>
            </w:r>
          </w:p>
        </w:tc>
      </w:tr>
      <w:tr>
        <w:trPr>
          <w:trHeight w:val="171"/>
        </w:trPr>
        <w:tc>
          <w:tcPr>
            <w:tcW w:w="4920" w:type="dxa"/>
            <w:vAlign w:val="bottom"/>
          </w:tcPr>
          <w:p>
            <w:pPr>
              <w:spacing w:after="0"/>
              <w:rPr>
                <w:sz w:val="20"/>
                <w:szCs w:val="20"/>
                <w:color w:val="auto"/>
              </w:rPr>
            </w:pPr>
            <w:r>
              <w:rPr>
                <w:rFonts w:ascii="Courier New" w:cs="Courier New" w:eastAsia="Courier New" w:hAnsi="Courier New"/>
                <w:sz w:val="15"/>
                <w:szCs w:val="15"/>
                <w:color w:val="auto"/>
              </w:rPr>
              <w:t>MINORITY INTEREST</w:t>
            </w:r>
          </w:p>
        </w:tc>
        <w:tc>
          <w:tcPr>
            <w:tcW w:w="15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103,073</w:t>
            </w:r>
          </w:p>
        </w:tc>
        <w:tc>
          <w:tcPr>
            <w:tcW w:w="13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112,255</w:t>
            </w:r>
          </w:p>
        </w:tc>
        <w:tc>
          <w:tcPr>
            <w:tcW w:w="13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64,311</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64,742</w:t>
            </w:r>
          </w:p>
        </w:tc>
      </w:tr>
      <w:tr>
        <w:trPr>
          <w:trHeight w:val="341"/>
        </w:trPr>
        <w:tc>
          <w:tcPr>
            <w:tcW w:w="4920" w:type="dxa"/>
            <w:vAlign w:val="bottom"/>
          </w:tcPr>
          <w:p>
            <w:pPr>
              <w:ind w:left="1580"/>
              <w:spacing w:after="0"/>
              <w:rPr>
                <w:sz w:val="20"/>
                <w:szCs w:val="20"/>
                <w:color w:val="auto"/>
              </w:rPr>
            </w:pPr>
            <w:r>
              <w:rPr>
                <w:rFonts w:ascii="Courier New" w:cs="Courier New" w:eastAsia="Courier New" w:hAnsi="Courier New"/>
                <w:sz w:val="15"/>
                <w:szCs w:val="15"/>
                <w:color w:val="auto"/>
              </w:rPr>
              <w:t>TOTAL LIABILITIES</w:t>
            </w:r>
          </w:p>
        </w:tc>
        <w:tc>
          <w:tcPr>
            <w:tcW w:w="15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7,228,902</w:t>
            </w:r>
          </w:p>
        </w:tc>
        <w:tc>
          <w:tcPr>
            <w:tcW w:w="13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6,792,147</w:t>
            </w:r>
          </w:p>
        </w:tc>
        <w:tc>
          <w:tcPr>
            <w:tcW w:w="13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6,600,559</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7,795,920</w:t>
            </w:r>
          </w:p>
        </w:tc>
      </w:tr>
      <w:tr>
        <w:trPr>
          <w:trHeight w:val="341"/>
        </w:trPr>
        <w:tc>
          <w:tcPr>
            <w:tcW w:w="4920" w:type="dxa"/>
            <w:vAlign w:val="bottom"/>
          </w:tcPr>
          <w:p>
            <w:pPr>
              <w:jc w:val="center"/>
              <w:ind w:right="66"/>
              <w:spacing w:after="0"/>
              <w:rPr>
                <w:sz w:val="20"/>
                <w:szCs w:val="20"/>
                <w:color w:val="auto"/>
              </w:rPr>
            </w:pPr>
            <w:r>
              <w:rPr>
                <w:rFonts w:ascii="Courier New" w:cs="Courier New" w:eastAsia="Courier New" w:hAnsi="Courier New"/>
                <w:sz w:val="15"/>
                <w:szCs w:val="15"/>
                <w:color w:val="auto"/>
                <w:w w:val="99"/>
              </w:rPr>
              <w:t>NET SHAREHOLDERS' EQUITY</w:t>
            </w:r>
          </w:p>
        </w:tc>
        <w:tc>
          <w:tcPr>
            <w:tcW w:w="15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802,715</w:t>
            </w:r>
          </w:p>
        </w:tc>
        <w:tc>
          <w:tcPr>
            <w:tcW w:w="13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796,769</w:t>
            </w:r>
          </w:p>
        </w:tc>
        <w:tc>
          <w:tcPr>
            <w:tcW w:w="13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798,489</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823,799</w:t>
            </w:r>
          </w:p>
        </w:tc>
      </w:tr>
      <w:tr>
        <w:trPr>
          <w:trHeight w:val="171"/>
        </w:trPr>
        <w:tc>
          <w:tcPr>
            <w:tcW w:w="4920" w:type="dxa"/>
            <w:vAlign w:val="bottom"/>
          </w:tcPr>
          <w:p>
            <w:pPr>
              <w:jc w:val="center"/>
              <w:ind w:right="66"/>
              <w:spacing w:after="0"/>
              <w:rPr>
                <w:sz w:val="20"/>
                <w:szCs w:val="20"/>
                <w:color w:val="auto"/>
              </w:rPr>
            </w:pPr>
            <w:r>
              <w:rPr>
                <w:rFonts w:ascii="Courier New" w:cs="Courier New" w:eastAsia="Courier New" w:hAnsi="Courier New"/>
                <w:sz w:val="15"/>
                <w:szCs w:val="15"/>
                <w:color w:val="auto"/>
                <w:w w:val="99"/>
              </w:rPr>
              <w:t>------------------------</w:t>
            </w:r>
          </w:p>
        </w:tc>
        <w:tc>
          <w:tcPr>
            <w:tcW w:w="15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4920" w:type="dxa"/>
            <w:vAlign w:val="bottom"/>
          </w:tcPr>
          <w:p>
            <w:pPr>
              <w:jc w:val="center"/>
              <w:ind w:right="86"/>
              <w:spacing w:after="0"/>
              <w:rPr>
                <w:sz w:val="20"/>
                <w:szCs w:val="20"/>
                <w:color w:val="auto"/>
              </w:rPr>
            </w:pPr>
            <w:r>
              <w:rPr>
                <w:rFonts w:ascii="Courier New" w:cs="Courier New" w:eastAsia="Courier New" w:hAnsi="Courier New"/>
                <w:sz w:val="15"/>
                <w:szCs w:val="15"/>
                <w:color w:val="auto"/>
                <w:w w:val="98"/>
              </w:rPr>
              <w:t>TOTAL LIABILITIES and NET SHAREHOLDERS' EQUITY</w:t>
            </w:r>
          </w:p>
        </w:tc>
        <w:tc>
          <w:tcPr>
            <w:tcW w:w="15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8,031,617</w:t>
            </w:r>
          </w:p>
        </w:tc>
        <w:tc>
          <w:tcPr>
            <w:tcW w:w="13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7,588,916</w:t>
            </w:r>
          </w:p>
        </w:tc>
        <w:tc>
          <w:tcPr>
            <w:tcW w:w="13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7,399,048</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8,619,719</w:t>
            </w:r>
          </w:p>
        </w:tc>
      </w:tr>
      <w:tr>
        <w:trPr>
          <w:trHeight w:val="341"/>
        </w:trPr>
        <w:tc>
          <w:tcPr>
            <w:tcW w:w="4920" w:type="dxa"/>
            <w:vAlign w:val="bottom"/>
          </w:tcPr>
          <w:p>
            <w:pPr>
              <w:spacing w:after="0"/>
              <w:rPr>
                <w:sz w:val="20"/>
                <w:szCs w:val="20"/>
                <w:color w:val="auto"/>
              </w:rPr>
            </w:pPr>
            <w:r>
              <w:rPr>
                <w:rFonts w:ascii="Courier New" w:cs="Courier New" w:eastAsia="Courier New" w:hAnsi="Courier New"/>
                <w:sz w:val="15"/>
                <w:szCs w:val="15"/>
                <w:color w:val="auto"/>
              </w:rPr>
              <w:t>CONTINGENT CREDITS</w:t>
            </w:r>
          </w:p>
        </w:tc>
        <w:tc>
          <w:tcPr>
            <w:tcW w:w="15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917,791</w:t>
            </w:r>
          </w:p>
        </w:tc>
        <w:tc>
          <w:tcPr>
            <w:tcW w:w="13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1,079,749</w:t>
            </w:r>
          </w:p>
        </w:tc>
        <w:tc>
          <w:tcPr>
            <w:tcW w:w="13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1,310,519</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1,637,050</w:t>
            </w:r>
          </w:p>
        </w:tc>
      </w:tr>
    </w:tbl>
    <w:p>
      <w:pPr>
        <w:spacing w:after="0" w:line="3" w:lineRule="exact"/>
        <w:rPr>
          <w:sz w:val="20"/>
          <w:szCs w:val="20"/>
          <w:color w:val="auto"/>
        </w:rPr>
      </w:pPr>
    </w:p>
    <w:p>
      <w:pPr>
        <w:ind w:left="169" w:hanging="169"/>
        <w:spacing w:after="0"/>
        <w:tabs>
          <w:tab w:leader="none" w:pos="169"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rFonts w:ascii="Courier New" w:cs="Courier New" w:eastAsia="Courier New" w:hAnsi="Courier New"/>
          <w:sz w:val="14"/>
          <w:szCs w:val="14"/>
          <w:color w:val="auto"/>
        </w:rPr>
      </w:pPr>
    </w:p>
    <w:p>
      <w:pPr>
        <w:spacing w:after="0" w:line="321" w:lineRule="exact"/>
        <w:rPr>
          <w:rFonts w:ascii="Courier New" w:cs="Courier New" w:eastAsia="Courier New" w:hAnsi="Courier New"/>
          <w:sz w:val="14"/>
          <w:szCs w:val="14"/>
          <w:color w:val="auto"/>
        </w:rPr>
      </w:pPr>
    </w:p>
    <w:p>
      <w:pPr>
        <w:ind w:left="346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29</w:t>
      </w:r>
    </w:p>
    <w:p>
      <w:pPr>
        <w:sectPr>
          <w:pgSz w:w="11900" w:h="16838" w:orient="portrait"/>
          <w:cols w:equalWidth="0" w:num="1">
            <w:col w:w="10569"/>
          </w:cols>
          <w:pgMar w:left="231" w:top="1311" w:right="1099" w:bottom="1440" w:gutter="0" w:footer="0" w:header="0"/>
        </w:sectPr>
      </w:pPr>
    </w:p>
    <w:bookmarkStart w:id="29" w:name="page30"/>
    <w:bookmarkEnd w:id="29"/>
    <w:p>
      <w:pPr>
        <w:jc w:val="center"/>
        <w:ind w:right="4251"/>
        <w:spacing w:after="0"/>
        <w:rPr>
          <w:sz w:val="20"/>
          <w:szCs w:val="20"/>
          <w:color w:val="auto"/>
        </w:rPr>
      </w:pPr>
      <w:r>
        <w:rPr>
          <w:rFonts w:ascii="Courier New" w:cs="Courier New" w:eastAsia="Courier New" w:hAnsi="Courier New"/>
          <w:sz w:val="15"/>
          <w:szCs w:val="15"/>
          <w:color w:val="auto"/>
        </w:rPr>
        <w:t>CREDICORP LTD. AND SUBSIDIARIES</w:t>
      </w:r>
    </w:p>
    <w:p>
      <w:pPr>
        <w:spacing w:after="0" w:line="1" w:lineRule="exact"/>
        <w:rPr>
          <w:sz w:val="20"/>
          <w:szCs w:val="20"/>
          <w:color w:val="auto"/>
        </w:rPr>
      </w:pPr>
    </w:p>
    <w:p>
      <w:pPr>
        <w:jc w:val="center"/>
        <w:ind w:right="4251"/>
        <w:spacing w:after="0"/>
        <w:rPr>
          <w:sz w:val="20"/>
          <w:szCs w:val="20"/>
          <w:color w:val="auto"/>
        </w:rPr>
      </w:pPr>
      <w:r>
        <w:rPr>
          <w:rFonts w:ascii="Courier New" w:cs="Courier New" w:eastAsia="Courier New" w:hAnsi="Courier New"/>
          <w:sz w:val="15"/>
          <w:szCs w:val="15"/>
          <w:color w:val="auto"/>
        </w:rPr>
        <w:t>Table 2</w:t>
      </w:r>
    </w:p>
    <w:p>
      <w:pPr>
        <w:spacing w:after="0" w:line="1" w:lineRule="exact"/>
        <w:rPr>
          <w:sz w:val="20"/>
          <w:szCs w:val="20"/>
          <w:color w:val="auto"/>
        </w:rPr>
      </w:pPr>
    </w:p>
    <w:p>
      <w:pPr>
        <w:ind w:left="2209"/>
        <w:spacing w:after="0"/>
        <w:rPr>
          <w:sz w:val="20"/>
          <w:szCs w:val="20"/>
          <w:color w:val="auto"/>
        </w:rPr>
      </w:pPr>
      <w:r>
        <w:rPr>
          <w:rFonts w:ascii="Courier New" w:cs="Courier New" w:eastAsia="Courier New" w:hAnsi="Courier New"/>
          <w:sz w:val="15"/>
          <w:szCs w:val="15"/>
          <w:color w:val="auto"/>
        </w:rPr>
        <w:t>CONSOLIDATED INCOME STATEMENTS</w:t>
      </w:r>
    </w:p>
    <w:p>
      <w:pPr>
        <w:spacing w:after="0" w:line="1" w:lineRule="exact"/>
        <w:rPr>
          <w:sz w:val="20"/>
          <w:szCs w:val="20"/>
          <w:color w:val="auto"/>
        </w:rPr>
      </w:pPr>
    </w:p>
    <w:p>
      <w:pPr>
        <w:ind w:left="2209"/>
        <w:spacing w:after="0"/>
        <w:rPr>
          <w:sz w:val="20"/>
          <w:szCs w:val="20"/>
          <w:color w:val="auto"/>
        </w:rPr>
      </w:pPr>
      <w:r>
        <w:rPr>
          <w:rFonts w:ascii="Courier New" w:cs="Courier New" w:eastAsia="Courier New" w:hAnsi="Courier New"/>
          <w:sz w:val="15"/>
          <w:szCs w:val="15"/>
          <w:color w:val="auto"/>
        </w:rPr>
        <w:t>(In thousands of U.S. Dollars)</w:t>
      </w:r>
    </w:p>
    <w:p>
      <w:pPr>
        <w:spacing w:after="0" w:line="342" w:lineRule="exact"/>
        <w:rPr>
          <w:sz w:val="20"/>
          <w:szCs w:val="20"/>
          <w:color w:val="auto"/>
        </w:rPr>
      </w:pPr>
    </w:p>
    <w:p>
      <w:pPr>
        <w:ind w:left="5949"/>
        <w:spacing w:after="0"/>
        <w:tabs>
          <w:tab w:leader="none" w:pos="9029" w:val="left"/>
        </w:tabs>
        <w:rPr>
          <w:sz w:val="20"/>
          <w:szCs w:val="20"/>
          <w:color w:val="auto"/>
        </w:rPr>
      </w:pPr>
      <w:r>
        <w:rPr>
          <w:rFonts w:ascii="Courier New" w:cs="Courier New" w:eastAsia="Courier New" w:hAnsi="Courier New"/>
          <w:sz w:val="15"/>
          <w:szCs w:val="15"/>
          <w:color w:val="auto"/>
        </w:rPr>
        <w:t>Three months ended</w:t>
      </w:r>
      <w:r>
        <w:rPr>
          <w:sz w:val="20"/>
          <w:szCs w:val="20"/>
          <w:color w:val="auto"/>
        </w:rPr>
        <w:tab/>
      </w:r>
      <w:r>
        <w:rPr>
          <w:rFonts w:ascii="Courier New" w:cs="Courier New" w:eastAsia="Courier New" w:hAnsi="Courier New"/>
          <w:sz w:val="14"/>
          <w:szCs w:val="14"/>
          <w:color w:val="auto"/>
        </w:rPr>
        <w:t>Twelve months ended</w:t>
      </w:r>
    </w:p>
    <w:p>
      <w:pPr>
        <w:spacing w:after="0" w:line="1" w:lineRule="exact"/>
        <w:rPr>
          <w:sz w:val="20"/>
          <w:szCs w:val="20"/>
          <w:color w:val="auto"/>
        </w:rPr>
      </w:pPr>
    </w:p>
    <w:p>
      <w:pPr>
        <w:ind w:left="488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5329"/>
        <w:spacing w:after="0"/>
        <w:tabs>
          <w:tab w:leader="none" w:pos="6629" w:val="left"/>
          <w:tab w:leader="none" w:pos="7869" w:val="left"/>
          <w:tab w:leader="none" w:pos="9129" w:val="left"/>
          <w:tab w:leader="none" w:pos="10449" w:val="left"/>
        </w:tabs>
        <w:rPr>
          <w:sz w:val="20"/>
          <w:szCs w:val="20"/>
          <w:color w:val="auto"/>
        </w:rPr>
      </w:pPr>
      <w:r>
        <w:rPr>
          <w:rFonts w:ascii="Courier New" w:cs="Courier New" w:eastAsia="Courier New" w:hAnsi="Courier New"/>
          <w:sz w:val="15"/>
          <w:szCs w:val="15"/>
          <w:color w:val="auto"/>
        </w:rPr>
        <w:t>31.12.01</w:t>
      </w:r>
      <w:r>
        <w:rPr>
          <w:sz w:val="20"/>
          <w:szCs w:val="20"/>
          <w:color w:val="auto"/>
        </w:rPr>
        <w:tab/>
      </w:r>
      <w:r>
        <w:rPr>
          <w:rFonts w:ascii="Courier New" w:cs="Courier New" w:eastAsia="Courier New" w:hAnsi="Courier New"/>
          <w:sz w:val="15"/>
          <w:szCs w:val="15"/>
          <w:color w:val="auto"/>
        </w:rPr>
        <w:t>30.09.02</w:t>
      </w:r>
      <w:r>
        <w:rPr>
          <w:sz w:val="20"/>
          <w:szCs w:val="20"/>
          <w:color w:val="auto"/>
        </w:rPr>
        <w:tab/>
      </w:r>
      <w:r>
        <w:rPr>
          <w:rFonts w:ascii="Courier New" w:cs="Courier New" w:eastAsia="Courier New" w:hAnsi="Courier New"/>
          <w:sz w:val="15"/>
          <w:szCs w:val="15"/>
          <w:color w:val="auto"/>
        </w:rPr>
        <w:t>31.12.02</w:t>
      </w:r>
      <w:r>
        <w:rPr>
          <w:sz w:val="20"/>
          <w:szCs w:val="20"/>
          <w:color w:val="auto"/>
        </w:rPr>
        <w:tab/>
      </w:r>
      <w:r>
        <w:rPr>
          <w:rFonts w:ascii="Courier New" w:cs="Courier New" w:eastAsia="Courier New" w:hAnsi="Courier New"/>
          <w:sz w:val="15"/>
          <w:szCs w:val="15"/>
          <w:color w:val="auto"/>
        </w:rPr>
        <w:t>31.12.01</w:t>
      </w:r>
      <w:r>
        <w:rPr>
          <w:sz w:val="20"/>
          <w:szCs w:val="20"/>
          <w:color w:val="auto"/>
        </w:rPr>
        <w:tab/>
      </w:r>
      <w:r>
        <w:rPr>
          <w:rFonts w:ascii="Courier New" w:cs="Courier New" w:eastAsia="Courier New" w:hAnsi="Courier New"/>
          <w:sz w:val="15"/>
          <w:szCs w:val="15"/>
          <w:color w:val="auto"/>
        </w:rPr>
        <w:t>31.12.02</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5180" w:type="dxa"/>
            <w:vAlign w:val="bottom"/>
          </w:tcPr>
          <w:p>
            <w:pPr>
              <w:spacing w:after="0"/>
              <w:rPr>
                <w:sz w:val="20"/>
                <w:szCs w:val="20"/>
                <w:color w:val="auto"/>
              </w:rPr>
            </w:pPr>
            <w:r>
              <w:rPr>
                <w:rFonts w:ascii="Courier New" w:cs="Courier New" w:eastAsia="Courier New" w:hAnsi="Courier New"/>
                <w:sz w:val="15"/>
                <w:szCs w:val="15"/>
                <w:color w:val="auto"/>
              </w:rPr>
              <w:t>INTEREST INCOME</w:t>
            </w:r>
          </w:p>
        </w:tc>
        <w:tc>
          <w:tcPr>
            <w:tcW w:w="1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Interest on loans</w:t>
            </w: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123,786</w:t>
            </w:r>
          </w:p>
        </w:tc>
        <w:tc>
          <w:tcPr>
            <w:tcW w:w="13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98,991</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101,314</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544,255</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420,341</w:t>
            </w:r>
          </w:p>
        </w:tc>
      </w:tr>
      <w:tr>
        <w:trPr>
          <w:trHeight w:val="171"/>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Interest and dividends on investments:</w:t>
            </w: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380</w:t>
            </w:r>
          </w:p>
        </w:tc>
        <w:tc>
          <w:tcPr>
            <w:tcW w:w="13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304</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490</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2,387</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2,293</w:t>
            </w:r>
          </w:p>
        </w:tc>
      </w:tr>
      <w:tr>
        <w:trPr>
          <w:trHeight w:val="171"/>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Interest on deposits with banks</w:t>
            </w: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10,534</w:t>
            </w:r>
          </w:p>
        </w:tc>
        <w:tc>
          <w:tcPr>
            <w:tcW w:w="13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10,420</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10,230</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65,523</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36,516</w:t>
            </w:r>
          </w:p>
        </w:tc>
      </w:tr>
      <w:tr>
        <w:trPr>
          <w:trHeight w:val="171"/>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Interest on trading securities</w:t>
            </w: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20,361</w:t>
            </w:r>
          </w:p>
        </w:tc>
        <w:tc>
          <w:tcPr>
            <w:tcW w:w="13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9,915</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10,753</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82,607</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54,197</w:t>
            </w:r>
          </w:p>
        </w:tc>
      </w:tr>
      <w:tr>
        <w:trPr>
          <w:trHeight w:val="171"/>
        </w:trPr>
        <w:tc>
          <w:tcPr>
            <w:tcW w:w="5180" w:type="dxa"/>
            <w:vAlign w:val="bottom"/>
          </w:tcPr>
          <w:p>
            <w:pPr>
              <w:spacing w:after="0"/>
              <w:rPr>
                <w:sz w:val="14"/>
                <w:szCs w:val="14"/>
                <w:color w:val="auto"/>
              </w:rPr>
            </w:pP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180" w:type="dxa"/>
            <w:vAlign w:val="bottom"/>
          </w:tcPr>
          <w:p>
            <w:pPr>
              <w:ind w:left="1420"/>
              <w:spacing w:after="0"/>
              <w:rPr>
                <w:sz w:val="20"/>
                <w:szCs w:val="20"/>
                <w:color w:val="auto"/>
              </w:rPr>
            </w:pPr>
            <w:r>
              <w:rPr>
                <w:rFonts w:ascii="Courier New" w:cs="Courier New" w:eastAsia="Courier New" w:hAnsi="Courier New"/>
                <w:sz w:val="15"/>
                <w:szCs w:val="15"/>
                <w:color w:val="auto"/>
              </w:rPr>
              <w:t>Total Interest Income</w:t>
            </w: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155,061</w:t>
            </w:r>
          </w:p>
        </w:tc>
        <w:tc>
          <w:tcPr>
            <w:tcW w:w="13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119,630</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122,787</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694,772</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513,347</w:t>
            </w:r>
          </w:p>
        </w:tc>
      </w:tr>
      <w:tr>
        <w:trPr>
          <w:trHeight w:val="171"/>
        </w:trPr>
        <w:tc>
          <w:tcPr>
            <w:tcW w:w="5180" w:type="dxa"/>
            <w:vAlign w:val="bottom"/>
          </w:tcPr>
          <w:p>
            <w:pPr>
              <w:spacing w:after="0"/>
              <w:rPr>
                <w:sz w:val="14"/>
                <w:szCs w:val="14"/>
                <w:color w:val="auto"/>
              </w:rPr>
            </w:pP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518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1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1"/>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Interest on deposits</w:t>
            </w: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41,163</w:t>
            </w:r>
          </w:p>
        </w:tc>
        <w:tc>
          <w:tcPr>
            <w:tcW w:w="13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28,090</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27,866</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220,024</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117,258</w:t>
            </w:r>
          </w:p>
        </w:tc>
      </w:tr>
      <w:tr>
        <w:trPr>
          <w:trHeight w:val="171"/>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Interest on borrowed funds</w:t>
            </w: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10,387</w:t>
            </w:r>
          </w:p>
        </w:tc>
        <w:tc>
          <w:tcPr>
            <w:tcW w:w="13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5,464</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5,136</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59,177</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25,285</w:t>
            </w:r>
          </w:p>
        </w:tc>
      </w:tr>
      <w:tr>
        <w:trPr>
          <w:trHeight w:val="171"/>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Other interest expense</w:t>
            </w: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9,011</w:t>
            </w:r>
          </w:p>
        </w:tc>
        <w:tc>
          <w:tcPr>
            <w:tcW w:w="13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8,585</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10,585</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39,341</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35,527</w:t>
            </w:r>
          </w:p>
        </w:tc>
      </w:tr>
      <w:tr>
        <w:trPr>
          <w:trHeight w:val="171"/>
        </w:trPr>
        <w:tc>
          <w:tcPr>
            <w:tcW w:w="5180" w:type="dxa"/>
            <w:vAlign w:val="bottom"/>
          </w:tcPr>
          <w:p>
            <w:pPr>
              <w:spacing w:after="0"/>
              <w:rPr>
                <w:sz w:val="14"/>
                <w:szCs w:val="14"/>
                <w:color w:val="auto"/>
              </w:rPr>
            </w:pP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180" w:type="dxa"/>
            <w:vAlign w:val="bottom"/>
          </w:tcPr>
          <w:p>
            <w:pPr>
              <w:ind w:left="1420"/>
              <w:spacing w:after="0"/>
              <w:rPr>
                <w:sz w:val="20"/>
                <w:szCs w:val="20"/>
                <w:color w:val="auto"/>
              </w:rPr>
            </w:pPr>
            <w:r>
              <w:rPr>
                <w:rFonts w:ascii="Courier New" w:cs="Courier New" w:eastAsia="Courier New" w:hAnsi="Courier New"/>
                <w:sz w:val="15"/>
                <w:szCs w:val="15"/>
                <w:color w:val="auto"/>
              </w:rPr>
              <w:t>Total Interest Expense</w:t>
            </w: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60,561</w:t>
            </w:r>
          </w:p>
        </w:tc>
        <w:tc>
          <w:tcPr>
            <w:tcW w:w="13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42,139</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43,587</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318,542</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178,070</w:t>
            </w:r>
          </w:p>
        </w:tc>
      </w:tr>
      <w:tr>
        <w:trPr>
          <w:trHeight w:val="171"/>
        </w:trPr>
        <w:tc>
          <w:tcPr>
            <w:tcW w:w="5180" w:type="dxa"/>
            <w:vAlign w:val="bottom"/>
          </w:tcPr>
          <w:p>
            <w:pPr>
              <w:spacing w:after="0"/>
              <w:rPr>
                <w:sz w:val="14"/>
                <w:szCs w:val="14"/>
                <w:color w:val="auto"/>
              </w:rPr>
            </w:pP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5180" w:type="dxa"/>
            <w:vAlign w:val="bottom"/>
          </w:tcPr>
          <w:p>
            <w:pPr>
              <w:ind w:left="1500"/>
              <w:spacing w:after="0"/>
              <w:rPr>
                <w:sz w:val="20"/>
                <w:szCs w:val="20"/>
                <w:color w:val="auto"/>
              </w:rPr>
            </w:pPr>
            <w:r>
              <w:rPr>
                <w:rFonts w:ascii="Courier New" w:cs="Courier New" w:eastAsia="Courier New" w:hAnsi="Courier New"/>
                <w:sz w:val="15"/>
                <w:szCs w:val="15"/>
                <w:color w:val="auto"/>
              </w:rPr>
              <w:t>Net Interest Income</w:t>
            </w: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94,500</w:t>
            </w:r>
          </w:p>
        </w:tc>
        <w:tc>
          <w:tcPr>
            <w:tcW w:w="13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77,491</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79,200</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376,230</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335,277</w:t>
            </w:r>
          </w:p>
        </w:tc>
      </w:tr>
      <w:tr>
        <w:trPr>
          <w:trHeight w:val="171"/>
        </w:trPr>
        <w:tc>
          <w:tcPr>
            <w:tcW w:w="5180" w:type="dxa"/>
            <w:vAlign w:val="bottom"/>
          </w:tcPr>
          <w:p>
            <w:pPr>
              <w:ind w:left="150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5180" w:type="dxa"/>
            <w:vAlign w:val="bottom"/>
          </w:tcPr>
          <w:p>
            <w:pPr>
              <w:spacing w:after="0"/>
              <w:rPr>
                <w:sz w:val="20"/>
                <w:szCs w:val="20"/>
                <w:color w:val="auto"/>
              </w:rPr>
            </w:pPr>
            <w:r>
              <w:rPr>
                <w:rFonts w:ascii="Courier New" w:cs="Courier New" w:eastAsia="Courier New" w:hAnsi="Courier New"/>
                <w:sz w:val="15"/>
                <w:szCs w:val="15"/>
                <w:color w:val="auto"/>
              </w:rPr>
              <w:t>Provision for possible loan losses, net</w:t>
            </w: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40,394</w:t>
            </w:r>
          </w:p>
        </w:tc>
        <w:tc>
          <w:tcPr>
            <w:tcW w:w="13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32,236</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23,735</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134,357</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111,646</w:t>
            </w:r>
          </w:p>
        </w:tc>
      </w:tr>
      <w:tr>
        <w:trPr>
          <w:trHeight w:val="341"/>
        </w:trPr>
        <w:tc>
          <w:tcPr>
            <w:tcW w:w="5180" w:type="dxa"/>
            <w:vAlign w:val="bottom"/>
          </w:tcPr>
          <w:p>
            <w:pPr>
              <w:spacing w:after="0"/>
              <w:rPr>
                <w:sz w:val="20"/>
                <w:szCs w:val="20"/>
                <w:color w:val="auto"/>
              </w:rPr>
            </w:pPr>
            <w:r>
              <w:rPr>
                <w:rFonts w:ascii="Courier New" w:cs="Courier New" w:eastAsia="Courier New" w:hAnsi="Courier New"/>
                <w:sz w:val="15"/>
                <w:szCs w:val="15"/>
                <w:color w:val="auto"/>
              </w:rPr>
              <w:t>Net interest income after provision for</w:t>
            </w:r>
          </w:p>
        </w:tc>
        <w:tc>
          <w:tcPr>
            <w:tcW w:w="1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1"/>
        </w:trPr>
        <w:tc>
          <w:tcPr>
            <w:tcW w:w="5180" w:type="dxa"/>
            <w:vAlign w:val="bottom"/>
          </w:tcPr>
          <w:p>
            <w:pPr>
              <w:ind w:left="340"/>
              <w:spacing w:after="0"/>
              <w:rPr>
                <w:sz w:val="20"/>
                <w:szCs w:val="20"/>
                <w:color w:val="auto"/>
              </w:rPr>
            </w:pPr>
            <w:r>
              <w:rPr>
                <w:rFonts w:ascii="Courier New" w:cs="Courier New" w:eastAsia="Courier New" w:hAnsi="Courier New"/>
                <w:sz w:val="15"/>
                <w:szCs w:val="15"/>
                <w:color w:val="auto"/>
              </w:rPr>
              <w:t>possible loan losses</w:t>
            </w: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54,106</w:t>
            </w:r>
          </w:p>
        </w:tc>
        <w:tc>
          <w:tcPr>
            <w:tcW w:w="13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45,255</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55,465</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241,873</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223,631</w:t>
            </w:r>
          </w:p>
        </w:tc>
      </w:tr>
      <w:tr>
        <w:trPr>
          <w:trHeight w:val="341"/>
        </w:trPr>
        <w:tc>
          <w:tcPr>
            <w:tcW w:w="5180" w:type="dxa"/>
            <w:vAlign w:val="bottom"/>
          </w:tcPr>
          <w:p>
            <w:pPr>
              <w:spacing w:after="0"/>
              <w:rPr>
                <w:sz w:val="20"/>
                <w:szCs w:val="20"/>
                <w:color w:val="auto"/>
              </w:rPr>
            </w:pPr>
            <w:r>
              <w:rPr>
                <w:rFonts w:ascii="Courier New" w:cs="Courier New" w:eastAsia="Courier New" w:hAnsi="Courier New"/>
                <w:sz w:val="15"/>
                <w:szCs w:val="15"/>
                <w:color w:val="auto"/>
              </w:rPr>
              <w:t>OTHER INCOME</w:t>
            </w:r>
          </w:p>
        </w:tc>
        <w:tc>
          <w:tcPr>
            <w:tcW w:w="1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1"/>
        </w:trPr>
        <w:tc>
          <w:tcPr>
            <w:tcW w:w="5180" w:type="dxa"/>
            <w:vAlign w:val="bottom"/>
          </w:tcPr>
          <w:p>
            <w:pPr>
              <w:ind w:left="160"/>
              <w:spacing w:after="0"/>
              <w:rPr>
                <w:sz w:val="20"/>
                <w:szCs w:val="20"/>
                <w:color w:val="auto"/>
              </w:rPr>
            </w:pPr>
            <w:r>
              <w:rPr>
                <w:rFonts w:ascii="Courier New" w:cs="Courier New" w:eastAsia="Courier New" w:hAnsi="Courier New"/>
                <w:sz w:val="15"/>
                <w:szCs w:val="15"/>
                <w:color w:val="auto"/>
              </w:rPr>
              <w:t>Fees and commissions from banking services</w:t>
            </w: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41,926</w:t>
            </w:r>
          </w:p>
        </w:tc>
        <w:tc>
          <w:tcPr>
            <w:tcW w:w="13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43,834</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44,239</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155,030</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169,097</w:t>
            </w:r>
          </w:p>
        </w:tc>
      </w:tr>
      <w:tr>
        <w:trPr>
          <w:trHeight w:val="171"/>
        </w:trPr>
        <w:tc>
          <w:tcPr>
            <w:tcW w:w="5180" w:type="dxa"/>
            <w:vAlign w:val="bottom"/>
          </w:tcPr>
          <w:p>
            <w:pPr>
              <w:ind w:left="160"/>
              <w:spacing w:after="0"/>
              <w:rPr>
                <w:sz w:val="20"/>
                <w:szCs w:val="20"/>
                <w:color w:val="auto"/>
              </w:rPr>
            </w:pPr>
            <w:r>
              <w:rPr>
                <w:rFonts w:ascii="Courier New" w:cs="Courier New" w:eastAsia="Courier New" w:hAnsi="Courier New"/>
                <w:sz w:val="15"/>
                <w:szCs w:val="15"/>
                <w:color w:val="auto"/>
              </w:rPr>
              <w:t>Net gains from sales of securities</w:t>
            </w: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32,928</w:t>
            </w:r>
          </w:p>
        </w:tc>
        <w:tc>
          <w:tcPr>
            <w:tcW w:w="13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(5,658)</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5,447</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31,737</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(1,097)</w:t>
            </w:r>
          </w:p>
        </w:tc>
      </w:tr>
      <w:tr>
        <w:trPr>
          <w:trHeight w:val="171"/>
        </w:trPr>
        <w:tc>
          <w:tcPr>
            <w:tcW w:w="5180" w:type="dxa"/>
            <w:vAlign w:val="bottom"/>
          </w:tcPr>
          <w:p>
            <w:pPr>
              <w:ind w:left="160"/>
              <w:spacing w:after="0"/>
              <w:rPr>
                <w:sz w:val="20"/>
                <w:szCs w:val="20"/>
                <w:color w:val="auto"/>
              </w:rPr>
            </w:pPr>
            <w:r>
              <w:rPr>
                <w:rFonts w:ascii="Courier New" w:cs="Courier New" w:eastAsia="Courier New" w:hAnsi="Courier New"/>
                <w:sz w:val="15"/>
                <w:szCs w:val="15"/>
                <w:color w:val="auto"/>
              </w:rPr>
              <w:t>Net gains on foreign exchange transactions</w:t>
            </w: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4,021</w:t>
            </w:r>
          </w:p>
        </w:tc>
        <w:tc>
          <w:tcPr>
            <w:tcW w:w="13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5,539</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6,965</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17,549</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22,582</w:t>
            </w:r>
          </w:p>
        </w:tc>
      </w:tr>
      <w:tr>
        <w:trPr>
          <w:trHeight w:val="171"/>
        </w:trPr>
        <w:tc>
          <w:tcPr>
            <w:tcW w:w="5180" w:type="dxa"/>
            <w:vAlign w:val="bottom"/>
          </w:tcPr>
          <w:p>
            <w:pPr>
              <w:ind w:left="160"/>
              <w:spacing w:after="0"/>
              <w:rPr>
                <w:sz w:val="20"/>
                <w:szCs w:val="20"/>
                <w:color w:val="auto"/>
              </w:rPr>
            </w:pPr>
            <w:r>
              <w:rPr>
                <w:rFonts w:ascii="Courier New" w:cs="Courier New" w:eastAsia="Courier New" w:hAnsi="Courier New"/>
                <w:sz w:val="15"/>
                <w:szCs w:val="15"/>
                <w:color w:val="auto"/>
              </w:rPr>
              <w:t>Net premiums earned</w:t>
            </w: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27,245</w:t>
            </w:r>
          </w:p>
        </w:tc>
        <w:tc>
          <w:tcPr>
            <w:tcW w:w="13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31,326</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30,854</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112,204</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125,218</w:t>
            </w:r>
          </w:p>
        </w:tc>
      </w:tr>
      <w:tr>
        <w:trPr>
          <w:trHeight w:val="171"/>
        </w:trPr>
        <w:tc>
          <w:tcPr>
            <w:tcW w:w="5180" w:type="dxa"/>
            <w:vAlign w:val="bottom"/>
          </w:tcPr>
          <w:p>
            <w:pPr>
              <w:ind w:left="160"/>
              <w:spacing w:after="0"/>
              <w:rPr>
                <w:sz w:val="20"/>
                <w:szCs w:val="20"/>
                <w:color w:val="auto"/>
              </w:rPr>
            </w:pPr>
            <w:r>
              <w:rPr>
                <w:rFonts w:ascii="Courier New" w:cs="Courier New" w:eastAsia="Courier New" w:hAnsi="Courier New"/>
                <w:sz w:val="15"/>
                <w:szCs w:val="15"/>
                <w:color w:val="auto"/>
              </w:rPr>
              <w:t>Other income</w:t>
            </w: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10,278</w:t>
            </w:r>
          </w:p>
        </w:tc>
        <w:tc>
          <w:tcPr>
            <w:tcW w:w="13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14,608</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17,313</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40,989</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55,674</w:t>
            </w:r>
          </w:p>
        </w:tc>
      </w:tr>
      <w:tr>
        <w:trPr>
          <w:trHeight w:val="171"/>
        </w:trPr>
        <w:tc>
          <w:tcPr>
            <w:tcW w:w="5180" w:type="dxa"/>
            <w:vAlign w:val="bottom"/>
          </w:tcPr>
          <w:p>
            <w:pPr>
              <w:spacing w:after="0"/>
              <w:rPr>
                <w:sz w:val="14"/>
                <w:szCs w:val="14"/>
                <w:color w:val="auto"/>
              </w:rPr>
            </w:pP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180" w:type="dxa"/>
            <w:vAlign w:val="bottom"/>
          </w:tcPr>
          <w:p>
            <w:pPr>
              <w:spacing w:after="0"/>
              <w:rPr>
                <w:sz w:val="14"/>
                <w:szCs w:val="14"/>
                <w:color w:val="auto"/>
              </w:rPr>
            </w:pP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116,398</w:t>
            </w:r>
          </w:p>
        </w:tc>
        <w:tc>
          <w:tcPr>
            <w:tcW w:w="13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89,649</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104,818</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357,509</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371,474</w:t>
            </w:r>
          </w:p>
        </w:tc>
      </w:tr>
      <w:tr>
        <w:trPr>
          <w:trHeight w:val="171"/>
        </w:trPr>
        <w:tc>
          <w:tcPr>
            <w:tcW w:w="5180" w:type="dxa"/>
            <w:vAlign w:val="bottom"/>
          </w:tcPr>
          <w:p>
            <w:pPr>
              <w:spacing w:after="0"/>
              <w:rPr>
                <w:sz w:val="14"/>
                <w:szCs w:val="14"/>
                <w:color w:val="auto"/>
              </w:rPr>
            </w:pP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5180" w:type="dxa"/>
            <w:vAlign w:val="bottom"/>
          </w:tcPr>
          <w:p>
            <w:pPr>
              <w:spacing w:after="0"/>
              <w:rPr>
                <w:sz w:val="20"/>
                <w:szCs w:val="20"/>
                <w:color w:val="auto"/>
              </w:rPr>
            </w:pPr>
            <w:r>
              <w:rPr>
                <w:rFonts w:ascii="Courier New" w:cs="Courier New" w:eastAsia="Courier New" w:hAnsi="Courier New"/>
                <w:sz w:val="15"/>
                <w:szCs w:val="15"/>
                <w:color w:val="auto"/>
              </w:rPr>
              <w:t>CLAIMS ON INSURANCE ACTIVITIES</w:t>
            </w:r>
          </w:p>
        </w:tc>
        <w:tc>
          <w:tcPr>
            <w:tcW w:w="1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1"/>
        </w:trPr>
        <w:tc>
          <w:tcPr>
            <w:tcW w:w="5180" w:type="dxa"/>
            <w:vAlign w:val="bottom"/>
          </w:tcPr>
          <w:p>
            <w:pPr>
              <w:ind w:left="160"/>
              <w:spacing w:after="0"/>
              <w:rPr>
                <w:sz w:val="20"/>
                <w:szCs w:val="20"/>
                <w:color w:val="auto"/>
              </w:rPr>
            </w:pPr>
            <w:r>
              <w:rPr>
                <w:rFonts w:ascii="Courier New" w:cs="Courier New" w:eastAsia="Courier New" w:hAnsi="Courier New"/>
                <w:sz w:val="15"/>
                <w:szCs w:val="15"/>
                <w:color w:val="auto"/>
              </w:rPr>
              <w:t>Net claims incurred</w:t>
            </w: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4,594</w:t>
            </w:r>
          </w:p>
        </w:tc>
        <w:tc>
          <w:tcPr>
            <w:tcW w:w="13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4,834</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5,030</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26,349</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23,701</w:t>
            </w:r>
          </w:p>
        </w:tc>
      </w:tr>
      <w:tr>
        <w:trPr>
          <w:trHeight w:val="171"/>
        </w:trPr>
        <w:tc>
          <w:tcPr>
            <w:tcW w:w="5180" w:type="dxa"/>
            <w:vAlign w:val="bottom"/>
          </w:tcPr>
          <w:p>
            <w:pPr>
              <w:ind w:left="160"/>
              <w:spacing w:after="0"/>
              <w:rPr>
                <w:sz w:val="20"/>
                <w:szCs w:val="20"/>
                <w:color w:val="auto"/>
              </w:rPr>
            </w:pPr>
            <w:r>
              <w:rPr>
                <w:rFonts w:ascii="Courier New" w:cs="Courier New" w:eastAsia="Courier New" w:hAnsi="Courier New"/>
                <w:sz w:val="15"/>
                <w:szCs w:val="15"/>
                <w:color w:val="auto"/>
              </w:rPr>
              <w:t>Increase in future policy benefits for life and health</w:t>
            </w: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17,407</w:t>
            </w:r>
          </w:p>
        </w:tc>
        <w:tc>
          <w:tcPr>
            <w:tcW w:w="13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20,629</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19,476</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70,668</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74,200</w:t>
            </w:r>
          </w:p>
        </w:tc>
      </w:tr>
      <w:tr>
        <w:trPr>
          <w:trHeight w:val="171"/>
        </w:trPr>
        <w:tc>
          <w:tcPr>
            <w:tcW w:w="5180" w:type="dxa"/>
            <w:vAlign w:val="bottom"/>
          </w:tcPr>
          <w:p>
            <w:pPr>
              <w:spacing w:after="0"/>
              <w:rPr>
                <w:sz w:val="14"/>
                <w:szCs w:val="14"/>
                <w:color w:val="auto"/>
              </w:rPr>
            </w:pP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180" w:type="dxa"/>
            <w:vAlign w:val="bottom"/>
          </w:tcPr>
          <w:p>
            <w:pPr>
              <w:spacing w:after="0"/>
              <w:rPr>
                <w:sz w:val="14"/>
                <w:szCs w:val="14"/>
                <w:color w:val="auto"/>
              </w:rPr>
            </w:pP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22,001</w:t>
            </w:r>
          </w:p>
        </w:tc>
        <w:tc>
          <w:tcPr>
            <w:tcW w:w="13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25,463</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24,506</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97,017</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97,901</w:t>
            </w:r>
          </w:p>
        </w:tc>
      </w:tr>
      <w:tr>
        <w:trPr>
          <w:trHeight w:val="171"/>
        </w:trPr>
        <w:tc>
          <w:tcPr>
            <w:tcW w:w="5180" w:type="dxa"/>
            <w:vAlign w:val="bottom"/>
          </w:tcPr>
          <w:p>
            <w:pPr>
              <w:spacing w:after="0"/>
              <w:rPr>
                <w:sz w:val="14"/>
                <w:szCs w:val="14"/>
                <w:color w:val="auto"/>
              </w:rPr>
            </w:pP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5180" w:type="dxa"/>
            <w:vAlign w:val="bottom"/>
          </w:tcPr>
          <w:p>
            <w:pPr>
              <w:spacing w:after="0"/>
              <w:rPr>
                <w:sz w:val="20"/>
                <w:szCs w:val="20"/>
                <w:color w:val="auto"/>
              </w:rPr>
            </w:pPr>
            <w:r>
              <w:rPr>
                <w:rFonts w:ascii="Courier New" w:cs="Courier New" w:eastAsia="Courier New" w:hAnsi="Courier New"/>
                <w:sz w:val="15"/>
                <w:szCs w:val="15"/>
                <w:color w:val="auto"/>
              </w:rPr>
              <w:t>OTHER EXPENSES</w:t>
            </w:r>
          </w:p>
        </w:tc>
        <w:tc>
          <w:tcPr>
            <w:tcW w:w="1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1"/>
        </w:trPr>
        <w:tc>
          <w:tcPr>
            <w:tcW w:w="5180" w:type="dxa"/>
            <w:vAlign w:val="bottom"/>
          </w:tcPr>
          <w:p>
            <w:pPr>
              <w:ind w:left="160"/>
              <w:spacing w:after="0"/>
              <w:rPr>
                <w:sz w:val="20"/>
                <w:szCs w:val="20"/>
                <w:color w:val="auto"/>
              </w:rPr>
            </w:pPr>
            <w:r>
              <w:rPr>
                <w:rFonts w:ascii="Courier New" w:cs="Courier New" w:eastAsia="Courier New" w:hAnsi="Courier New"/>
                <w:sz w:val="15"/>
                <w:szCs w:val="15"/>
                <w:color w:val="auto"/>
              </w:rPr>
              <w:t>Salaries and employee benefits</w:t>
            </w: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43,899</w:t>
            </w:r>
          </w:p>
        </w:tc>
        <w:tc>
          <w:tcPr>
            <w:tcW w:w="13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43,608</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49,541</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173,974</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183,468</w:t>
            </w:r>
          </w:p>
        </w:tc>
      </w:tr>
      <w:tr>
        <w:trPr>
          <w:trHeight w:val="171"/>
        </w:trPr>
        <w:tc>
          <w:tcPr>
            <w:tcW w:w="5180" w:type="dxa"/>
            <w:vAlign w:val="bottom"/>
          </w:tcPr>
          <w:p>
            <w:pPr>
              <w:ind w:left="160"/>
              <w:spacing w:after="0"/>
              <w:rPr>
                <w:sz w:val="20"/>
                <w:szCs w:val="20"/>
                <w:color w:val="auto"/>
              </w:rPr>
            </w:pPr>
            <w:r>
              <w:rPr>
                <w:rFonts w:ascii="Courier New" w:cs="Courier New" w:eastAsia="Courier New" w:hAnsi="Courier New"/>
                <w:sz w:val="15"/>
                <w:szCs w:val="15"/>
                <w:color w:val="auto"/>
              </w:rPr>
              <w:t>General, administrative, and other taxes</w:t>
            </w: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31,175</w:t>
            </w:r>
          </w:p>
        </w:tc>
        <w:tc>
          <w:tcPr>
            <w:tcW w:w="13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32,970</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39,817</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129,581</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138,442</w:t>
            </w:r>
          </w:p>
        </w:tc>
      </w:tr>
      <w:tr>
        <w:trPr>
          <w:trHeight w:val="171"/>
        </w:trPr>
        <w:tc>
          <w:tcPr>
            <w:tcW w:w="5180" w:type="dxa"/>
            <w:vAlign w:val="bottom"/>
          </w:tcPr>
          <w:p>
            <w:pPr>
              <w:ind w:left="160"/>
              <w:spacing w:after="0"/>
              <w:rPr>
                <w:sz w:val="20"/>
                <w:szCs w:val="20"/>
                <w:color w:val="auto"/>
              </w:rPr>
            </w:pPr>
            <w:r>
              <w:rPr>
                <w:rFonts w:ascii="Courier New" w:cs="Courier New" w:eastAsia="Courier New" w:hAnsi="Courier New"/>
                <w:sz w:val="15"/>
                <w:szCs w:val="15"/>
                <w:color w:val="auto"/>
              </w:rPr>
              <w:t>Depreciation and amortization</w:t>
            </w: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12,397</w:t>
            </w:r>
          </w:p>
        </w:tc>
        <w:tc>
          <w:tcPr>
            <w:tcW w:w="13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10,722</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11,544</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46,732</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44,372</w:t>
            </w:r>
          </w:p>
        </w:tc>
      </w:tr>
      <w:tr>
        <w:trPr>
          <w:trHeight w:val="171"/>
        </w:trPr>
        <w:tc>
          <w:tcPr>
            <w:tcW w:w="5180" w:type="dxa"/>
            <w:vAlign w:val="bottom"/>
          </w:tcPr>
          <w:p>
            <w:pPr>
              <w:ind w:left="160"/>
              <w:spacing w:after="0"/>
              <w:rPr>
                <w:sz w:val="20"/>
                <w:szCs w:val="20"/>
                <w:color w:val="auto"/>
              </w:rPr>
            </w:pPr>
            <w:r>
              <w:rPr>
                <w:rFonts w:ascii="Courier New" w:cs="Courier New" w:eastAsia="Courier New" w:hAnsi="Courier New"/>
                <w:sz w:val="15"/>
                <w:szCs w:val="15"/>
                <w:color w:val="auto"/>
              </w:rPr>
              <w:t>Other</w:t>
            </w: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15,434</w:t>
            </w:r>
          </w:p>
        </w:tc>
        <w:tc>
          <w:tcPr>
            <w:tcW w:w="13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7,581</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12,645</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57,594</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43,142</w:t>
            </w:r>
          </w:p>
        </w:tc>
      </w:tr>
      <w:tr>
        <w:trPr>
          <w:trHeight w:val="171"/>
        </w:trPr>
        <w:tc>
          <w:tcPr>
            <w:tcW w:w="5180" w:type="dxa"/>
            <w:vAlign w:val="bottom"/>
          </w:tcPr>
          <w:p>
            <w:pPr>
              <w:spacing w:after="0"/>
              <w:rPr>
                <w:sz w:val="14"/>
                <w:szCs w:val="14"/>
                <w:color w:val="auto"/>
              </w:rPr>
            </w:pP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180" w:type="dxa"/>
            <w:vAlign w:val="bottom"/>
          </w:tcPr>
          <w:p>
            <w:pPr>
              <w:spacing w:after="0"/>
              <w:rPr>
                <w:sz w:val="14"/>
                <w:szCs w:val="14"/>
                <w:color w:val="auto"/>
              </w:rPr>
            </w:pP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102,905</w:t>
            </w:r>
          </w:p>
        </w:tc>
        <w:tc>
          <w:tcPr>
            <w:tcW w:w="13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94,881</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113,547</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407,881</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409,424</w:t>
            </w:r>
          </w:p>
        </w:tc>
      </w:tr>
      <w:tr>
        <w:trPr>
          <w:trHeight w:val="171"/>
        </w:trPr>
        <w:tc>
          <w:tcPr>
            <w:tcW w:w="5180" w:type="dxa"/>
            <w:vAlign w:val="bottom"/>
          </w:tcPr>
          <w:p>
            <w:pPr>
              <w:spacing w:after="0"/>
              <w:rPr>
                <w:sz w:val="14"/>
                <w:szCs w:val="14"/>
                <w:color w:val="auto"/>
              </w:rPr>
            </w:pP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5180" w:type="dxa"/>
            <w:vAlign w:val="bottom"/>
          </w:tcPr>
          <w:p>
            <w:pPr>
              <w:spacing w:after="0"/>
              <w:rPr>
                <w:sz w:val="20"/>
                <w:szCs w:val="20"/>
                <w:color w:val="auto"/>
              </w:rPr>
            </w:pPr>
            <w:r>
              <w:rPr>
                <w:rFonts w:ascii="Courier New" w:cs="Courier New" w:eastAsia="Courier New" w:hAnsi="Courier New"/>
                <w:sz w:val="15"/>
                <w:szCs w:val="15"/>
                <w:color w:val="auto"/>
              </w:rPr>
              <w:t>Translation result</w:t>
            </w: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835</w:t>
            </w:r>
          </w:p>
        </w:tc>
        <w:tc>
          <w:tcPr>
            <w:tcW w:w="13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(900)</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384</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(2,575)</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(2,482)</w:t>
            </w:r>
          </w:p>
        </w:tc>
      </w:tr>
      <w:tr>
        <w:trPr>
          <w:trHeight w:val="341"/>
        </w:trPr>
        <w:tc>
          <w:tcPr>
            <w:tcW w:w="5180" w:type="dxa"/>
            <w:vAlign w:val="bottom"/>
          </w:tcPr>
          <w:p>
            <w:pPr>
              <w:spacing w:after="0"/>
              <w:rPr>
                <w:sz w:val="20"/>
                <w:szCs w:val="20"/>
                <w:color w:val="auto"/>
              </w:rPr>
            </w:pPr>
            <w:r>
              <w:rPr>
                <w:rFonts w:ascii="Courier New" w:cs="Courier New" w:eastAsia="Courier New" w:hAnsi="Courier New"/>
                <w:sz w:val="15"/>
                <w:szCs w:val="15"/>
                <w:color w:val="auto"/>
              </w:rPr>
              <w:t>Income before income tax, and minority interest</w:t>
            </w: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46,433</w:t>
            </w:r>
          </w:p>
        </w:tc>
        <w:tc>
          <w:tcPr>
            <w:tcW w:w="13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13,660</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22,614</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91,909</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85,298</w:t>
            </w:r>
          </w:p>
        </w:tc>
      </w:tr>
      <w:tr>
        <w:trPr>
          <w:trHeight w:val="341"/>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Income Tax</w:t>
            </w:r>
          </w:p>
        </w:tc>
        <w:tc>
          <w:tcPr>
            <w:tcW w:w="12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(10,496)</w:t>
            </w:r>
          </w:p>
        </w:tc>
        <w:tc>
          <w:tcPr>
            <w:tcW w:w="13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(8,809)</w:t>
            </w:r>
          </w:p>
        </w:tc>
        <w:tc>
          <w:tcPr>
            <w:tcW w:w="12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(5,987)</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(21,557)</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(32,628)</w:t>
            </w:r>
          </w:p>
        </w:tc>
      </w:tr>
      <w:tr>
        <w:trPr>
          <w:trHeight w:val="171"/>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Minority Interest</w:t>
            </w:r>
          </w:p>
        </w:tc>
        <w:tc>
          <w:tcPr>
            <w:tcW w:w="12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(9,427)</w:t>
            </w:r>
          </w:p>
        </w:tc>
        <w:tc>
          <w:tcPr>
            <w:tcW w:w="13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(1,771)</w:t>
            </w:r>
          </w:p>
        </w:tc>
        <w:tc>
          <w:tcPr>
            <w:tcW w:w="12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(3,110)</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(15,839)</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(10,287)</w:t>
            </w:r>
          </w:p>
        </w:tc>
      </w:tr>
      <w:tr>
        <w:trPr>
          <w:trHeight w:val="341"/>
        </w:trPr>
        <w:tc>
          <w:tcPr>
            <w:tcW w:w="5180" w:type="dxa"/>
            <w:vAlign w:val="bottom"/>
          </w:tcPr>
          <w:p>
            <w:pPr>
              <w:ind w:left="1940"/>
              <w:spacing w:after="0"/>
              <w:rPr>
                <w:sz w:val="20"/>
                <w:szCs w:val="20"/>
                <w:color w:val="auto"/>
              </w:rPr>
            </w:pPr>
            <w:r>
              <w:rPr>
                <w:rFonts w:ascii="Courier New" w:cs="Courier New" w:eastAsia="Courier New" w:hAnsi="Courier New"/>
                <w:sz w:val="15"/>
                <w:szCs w:val="15"/>
                <w:color w:val="auto"/>
              </w:rPr>
              <w:t>NET INCOME</w:t>
            </w: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26,510</w:t>
            </w:r>
          </w:p>
        </w:tc>
        <w:tc>
          <w:tcPr>
            <w:tcW w:w="13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3,080</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13,517</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54,513</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42,383</w:t>
            </w:r>
          </w:p>
        </w:tc>
      </w:tr>
    </w:tbl>
    <w:p>
      <w:pPr>
        <w:spacing w:after="0" w:line="3" w:lineRule="exact"/>
        <w:rPr>
          <w:sz w:val="20"/>
          <w:szCs w:val="20"/>
          <w:color w:val="auto"/>
        </w:rPr>
      </w:pPr>
    </w:p>
    <w:p>
      <w:pPr>
        <w:ind w:left="169" w:hanging="169"/>
        <w:spacing w:after="0"/>
        <w:tabs>
          <w:tab w:leader="none" w:pos="169"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92" w:lineRule="exact"/>
        <w:rPr>
          <w:rFonts w:ascii="Courier New" w:cs="Courier New" w:eastAsia="Courier New" w:hAnsi="Courier New"/>
          <w:sz w:val="14"/>
          <w:szCs w:val="14"/>
          <w:color w:val="auto"/>
        </w:rPr>
      </w:pPr>
    </w:p>
    <w:p>
      <w:pPr>
        <w:ind w:left="346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30</w:t>
      </w:r>
    </w:p>
    <w:p>
      <w:pPr>
        <w:sectPr>
          <w:pgSz w:w="11900" w:h="16838" w:orient="portrait"/>
          <w:cols w:equalWidth="0" w:num="1">
            <w:col w:w="11449"/>
          </w:cols>
          <w:pgMar w:left="231" w:top="1140" w:right="219" w:bottom="1440" w:gutter="0" w:footer="0" w:header="0"/>
        </w:sectPr>
      </w:pPr>
    </w:p>
    <w:bookmarkStart w:id="30" w:name="page31"/>
    <w:bookmarkEnd w:id="30"/>
    <w:p>
      <w:pPr>
        <w:jc w:val="center"/>
        <w:ind w:right="4171"/>
        <w:spacing w:after="0"/>
        <w:rPr>
          <w:sz w:val="20"/>
          <w:szCs w:val="20"/>
          <w:color w:val="auto"/>
        </w:rPr>
      </w:pPr>
      <w:r>
        <w:rPr>
          <w:rFonts w:ascii="Courier New" w:cs="Courier New" w:eastAsia="Courier New" w:hAnsi="Courier New"/>
          <w:sz w:val="15"/>
          <w:szCs w:val="15"/>
          <w:color w:val="auto"/>
        </w:rPr>
        <w:t>CREDICORP LTD. AND SUBSIDIARIES</w:t>
      </w:r>
    </w:p>
    <w:p>
      <w:pPr>
        <w:spacing w:after="0" w:line="1" w:lineRule="exact"/>
        <w:rPr>
          <w:sz w:val="20"/>
          <w:szCs w:val="20"/>
          <w:color w:val="auto"/>
        </w:rPr>
      </w:pPr>
    </w:p>
    <w:p>
      <w:pPr>
        <w:jc w:val="center"/>
        <w:ind w:right="4171"/>
        <w:spacing w:after="0"/>
        <w:rPr>
          <w:sz w:val="20"/>
          <w:szCs w:val="20"/>
          <w:color w:val="auto"/>
        </w:rPr>
      </w:pPr>
      <w:r>
        <w:rPr>
          <w:rFonts w:ascii="Courier New" w:cs="Courier New" w:eastAsia="Courier New" w:hAnsi="Courier New"/>
          <w:sz w:val="15"/>
          <w:szCs w:val="15"/>
          <w:color w:val="auto"/>
        </w:rPr>
        <w:t>Table 3</w:t>
      </w:r>
    </w:p>
    <w:p>
      <w:pPr>
        <w:spacing w:after="0" w:line="1" w:lineRule="exact"/>
        <w:rPr>
          <w:sz w:val="20"/>
          <w:szCs w:val="20"/>
          <w:color w:val="auto"/>
        </w:rPr>
      </w:pPr>
    </w:p>
    <w:p>
      <w:pPr>
        <w:jc w:val="center"/>
        <w:ind w:right="4171"/>
        <w:spacing w:after="0"/>
        <w:rPr>
          <w:sz w:val="20"/>
          <w:szCs w:val="20"/>
          <w:color w:val="auto"/>
        </w:rPr>
      </w:pPr>
      <w:r>
        <w:rPr>
          <w:rFonts w:ascii="Courier New" w:cs="Courier New" w:eastAsia="Courier New" w:hAnsi="Courier New"/>
          <w:sz w:val="15"/>
          <w:szCs w:val="15"/>
          <w:color w:val="auto"/>
        </w:rPr>
        <w:t>SELECTED FINANCIAL INDICATORS</w:t>
      </w:r>
    </w:p>
    <w:p>
      <w:pPr>
        <w:spacing w:after="0" w:line="171" w:lineRule="exact"/>
        <w:rPr>
          <w:sz w:val="20"/>
          <w:szCs w:val="20"/>
          <w:color w:val="auto"/>
        </w:rPr>
      </w:pPr>
    </w:p>
    <w:p>
      <w:pPr>
        <w:ind w:left="5949"/>
        <w:spacing w:after="0"/>
        <w:tabs>
          <w:tab w:leader="none" w:pos="9029" w:val="left"/>
        </w:tabs>
        <w:rPr>
          <w:sz w:val="20"/>
          <w:szCs w:val="20"/>
          <w:color w:val="auto"/>
        </w:rPr>
      </w:pPr>
      <w:r>
        <w:rPr>
          <w:rFonts w:ascii="Courier New" w:cs="Courier New" w:eastAsia="Courier New" w:hAnsi="Courier New"/>
          <w:sz w:val="15"/>
          <w:szCs w:val="15"/>
          <w:color w:val="auto"/>
        </w:rPr>
        <w:t>Three months ended</w:t>
      </w:r>
      <w:r>
        <w:rPr>
          <w:sz w:val="20"/>
          <w:szCs w:val="20"/>
          <w:color w:val="auto"/>
        </w:rPr>
        <w:tab/>
      </w:r>
      <w:r>
        <w:rPr>
          <w:rFonts w:ascii="Courier New" w:cs="Courier New" w:eastAsia="Courier New" w:hAnsi="Courier New"/>
          <w:sz w:val="14"/>
          <w:szCs w:val="14"/>
          <w:color w:val="auto"/>
        </w:rPr>
        <w:t>Twelve months ended</w:t>
      </w:r>
    </w:p>
    <w:p>
      <w:pPr>
        <w:spacing w:after="0" w:line="1" w:lineRule="exact"/>
        <w:rPr>
          <w:sz w:val="20"/>
          <w:szCs w:val="20"/>
          <w:color w:val="auto"/>
        </w:rPr>
      </w:pPr>
    </w:p>
    <w:p>
      <w:pPr>
        <w:ind w:left="488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5409"/>
        <w:spacing w:after="0"/>
        <w:tabs>
          <w:tab w:leader="none" w:pos="6729" w:val="left"/>
          <w:tab w:leader="none" w:pos="7969" w:val="left"/>
          <w:tab w:leader="none" w:pos="9209" w:val="left"/>
          <w:tab w:leader="none" w:pos="10449" w:val="left"/>
        </w:tabs>
        <w:rPr>
          <w:sz w:val="20"/>
          <w:szCs w:val="20"/>
          <w:color w:val="auto"/>
        </w:rPr>
      </w:pPr>
      <w:r>
        <w:rPr>
          <w:rFonts w:ascii="Courier New" w:cs="Courier New" w:eastAsia="Courier New" w:hAnsi="Courier New"/>
          <w:sz w:val="15"/>
          <w:szCs w:val="15"/>
          <w:color w:val="auto"/>
        </w:rPr>
        <w:t>31.12.01</w:t>
      </w:r>
      <w:r>
        <w:rPr>
          <w:sz w:val="20"/>
          <w:szCs w:val="20"/>
          <w:color w:val="auto"/>
        </w:rPr>
        <w:tab/>
      </w:r>
      <w:r>
        <w:rPr>
          <w:rFonts w:ascii="Courier New" w:cs="Courier New" w:eastAsia="Courier New" w:hAnsi="Courier New"/>
          <w:sz w:val="15"/>
          <w:szCs w:val="15"/>
          <w:color w:val="auto"/>
        </w:rPr>
        <w:t>30.09.02</w:t>
      </w:r>
      <w:r>
        <w:rPr>
          <w:sz w:val="20"/>
          <w:szCs w:val="20"/>
          <w:color w:val="auto"/>
        </w:rPr>
        <w:tab/>
      </w:r>
      <w:r>
        <w:rPr>
          <w:rFonts w:ascii="Courier New" w:cs="Courier New" w:eastAsia="Courier New" w:hAnsi="Courier New"/>
          <w:sz w:val="15"/>
          <w:szCs w:val="15"/>
          <w:color w:val="auto"/>
        </w:rPr>
        <w:t>31.12.02</w:t>
      </w:r>
      <w:r>
        <w:rPr>
          <w:sz w:val="20"/>
          <w:szCs w:val="20"/>
          <w:color w:val="auto"/>
        </w:rPr>
        <w:tab/>
      </w:r>
      <w:r>
        <w:rPr>
          <w:rFonts w:ascii="Courier New" w:cs="Courier New" w:eastAsia="Courier New" w:hAnsi="Courier New"/>
          <w:sz w:val="15"/>
          <w:szCs w:val="15"/>
          <w:color w:val="auto"/>
        </w:rPr>
        <w:t>31.12.01</w:t>
      </w:r>
      <w:r>
        <w:rPr>
          <w:sz w:val="20"/>
          <w:szCs w:val="20"/>
          <w:color w:val="auto"/>
        </w:rPr>
        <w:tab/>
      </w:r>
      <w:r>
        <w:rPr>
          <w:rFonts w:ascii="Courier New" w:cs="Courier New" w:eastAsia="Courier New" w:hAnsi="Courier New"/>
          <w:sz w:val="15"/>
          <w:szCs w:val="15"/>
          <w:color w:val="auto"/>
        </w:rPr>
        <w:t>31.12.02</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5180" w:type="dxa"/>
            <w:vAlign w:val="bottom"/>
          </w:tcPr>
          <w:p>
            <w:pPr>
              <w:spacing w:after="0"/>
              <w:rPr>
                <w:sz w:val="20"/>
                <w:szCs w:val="20"/>
                <w:color w:val="auto"/>
              </w:rPr>
            </w:pPr>
            <w:r>
              <w:rPr>
                <w:rFonts w:ascii="Courier New" w:cs="Courier New" w:eastAsia="Courier New" w:hAnsi="Courier New"/>
                <w:sz w:val="15"/>
                <w:szCs w:val="15"/>
                <w:color w:val="auto"/>
              </w:rPr>
              <w:t>Profitability</w:t>
            </w:r>
          </w:p>
        </w:tc>
        <w:tc>
          <w:tcPr>
            <w:tcW w:w="1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1"/>
        </w:trPr>
        <w:tc>
          <w:tcPr>
            <w:tcW w:w="5180" w:type="dxa"/>
            <w:vAlign w:val="bottom"/>
          </w:tcPr>
          <w:p>
            <w:pPr>
              <w:ind w:left="80"/>
              <w:spacing w:after="0"/>
              <w:rPr>
                <w:sz w:val="20"/>
                <w:szCs w:val="20"/>
                <w:color w:val="auto"/>
              </w:rPr>
            </w:pPr>
            <w:r>
              <w:rPr>
                <w:rFonts w:ascii="Courier New" w:cs="Courier New" w:eastAsia="Courier New" w:hAnsi="Courier New"/>
                <w:sz w:val="15"/>
                <w:szCs w:val="15"/>
                <w:color w:val="auto"/>
              </w:rPr>
              <w:t>Net income per common share (US$ per share)(1)</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0.332</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0.039</w:t>
            </w:r>
          </w:p>
        </w:tc>
        <w:tc>
          <w:tcPr>
            <w:tcW w:w="12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0.169</w:t>
            </w:r>
          </w:p>
        </w:tc>
        <w:tc>
          <w:tcPr>
            <w:tcW w:w="12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0.681</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0.532</w:t>
            </w:r>
          </w:p>
        </w:tc>
      </w:tr>
      <w:tr>
        <w:trPr>
          <w:trHeight w:val="171"/>
        </w:trPr>
        <w:tc>
          <w:tcPr>
            <w:tcW w:w="5180" w:type="dxa"/>
            <w:vAlign w:val="bottom"/>
          </w:tcPr>
          <w:p>
            <w:pPr>
              <w:ind w:left="80"/>
              <w:spacing w:after="0"/>
              <w:rPr>
                <w:sz w:val="20"/>
                <w:szCs w:val="20"/>
                <w:color w:val="auto"/>
              </w:rPr>
            </w:pPr>
            <w:r>
              <w:rPr>
                <w:rFonts w:ascii="Courier New" w:cs="Courier New" w:eastAsia="Courier New" w:hAnsi="Courier New"/>
                <w:sz w:val="15"/>
                <w:szCs w:val="15"/>
                <w:color w:val="auto"/>
              </w:rPr>
              <w:t>Net interest margin on interest earning assets (2)</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6.16%</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5.37%</w:t>
            </w:r>
          </w:p>
        </w:tc>
        <w:tc>
          <w:tcPr>
            <w:tcW w:w="12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4.97%</w:t>
            </w:r>
          </w:p>
        </w:tc>
        <w:tc>
          <w:tcPr>
            <w:tcW w:w="12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6.12%</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5.56%</w:t>
            </w:r>
          </w:p>
        </w:tc>
      </w:tr>
      <w:tr>
        <w:trPr>
          <w:trHeight w:val="171"/>
        </w:trPr>
        <w:tc>
          <w:tcPr>
            <w:tcW w:w="5180" w:type="dxa"/>
            <w:vAlign w:val="bottom"/>
          </w:tcPr>
          <w:p>
            <w:pPr>
              <w:ind w:left="80"/>
              <w:spacing w:after="0"/>
              <w:rPr>
                <w:sz w:val="20"/>
                <w:szCs w:val="20"/>
                <w:color w:val="auto"/>
              </w:rPr>
            </w:pPr>
            <w:r>
              <w:rPr>
                <w:rFonts w:ascii="Courier New" w:cs="Courier New" w:eastAsia="Courier New" w:hAnsi="Courier New"/>
                <w:sz w:val="15"/>
                <w:szCs w:val="15"/>
                <w:color w:val="auto"/>
              </w:rPr>
              <w:t>Return on average total assets (2)(3)</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1.36%</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0.17%</w:t>
            </w:r>
          </w:p>
        </w:tc>
        <w:tc>
          <w:tcPr>
            <w:tcW w:w="12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0.68%</w:t>
            </w:r>
          </w:p>
        </w:tc>
        <w:tc>
          <w:tcPr>
            <w:tcW w:w="12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0.72%</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0.52%</w:t>
            </w:r>
          </w:p>
        </w:tc>
      </w:tr>
      <w:tr>
        <w:trPr>
          <w:trHeight w:val="171"/>
        </w:trPr>
        <w:tc>
          <w:tcPr>
            <w:tcW w:w="5180" w:type="dxa"/>
            <w:vAlign w:val="bottom"/>
          </w:tcPr>
          <w:p>
            <w:pPr>
              <w:ind w:left="80"/>
              <w:spacing w:after="0"/>
              <w:rPr>
                <w:sz w:val="20"/>
                <w:szCs w:val="20"/>
                <w:color w:val="auto"/>
              </w:rPr>
            </w:pPr>
            <w:r>
              <w:rPr>
                <w:rFonts w:ascii="Courier New" w:cs="Courier New" w:eastAsia="Courier New" w:hAnsi="Courier New"/>
                <w:sz w:val="15"/>
                <w:szCs w:val="15"/>
                <w:color w:val="auto"/>
              </w:rPr>
              <w:t>Return on average shareholders' equity (2)(3)</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13.26%</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1.54%</w:t>
            </w:r>
          </w:p>
        </w:tc>
        <w:tc>
          <w:tcPr>
            <w:tcW w:w="12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6.67%</w:t>
            </w:r>
          </w:p>
        </w:tc>
        <w:tc>
          <w:tcPr>
            <w:tcW w:w="12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6.90%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5.23%</w:t>
            </w:r>
          </w:p>
        </w:tc>
      </w:tr>
      <w:tr>
        <w:trPr>
          <w:trHeight w:val="171"/>
        </w:trPr>
        <w:tc>
          <w:tcPr>
            <w:tcW w:w="5180" w:type="dxa"/>
            <w:vAlign w:val="bottom"/>
          </w:tcPr>
          <w:p>
            <w:pPr>
              <w:ind w:left="80"/>
              <w:spacing w:after="0"/>
              <w:rPr>
                <w:sz w:val="20"/>
                <w:szCs w:val="20"/>
                <w:color w:val="auto"/>
              </w:rPr>
            </w:pPr>
            <w:r>
              <w:rPr>
                <w:rFonts w:ascii="Courier New" w:cs="Courier New" w:eastAsia="Courier New" w:hAnsi="Courier New"/>
                <w:sz w:val="15"/>
                <w:szCs w:val="15"/>
                <w:color w:val="auto"/>
              </w:rPr>
              <w:t>No. of outstanding shares (millions)(4)</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79.46</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79.75</w:t>
            </w:r>
          </w:p>
        </w:tc>
        <w:tc>
          <w:tcPr>
            <w:tcW w:w="12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79.75</w:t>
            </w:r>
          </w:p>
        </w:tc>
        <w:tc>
          <w:tcPr>
            <w:tcW w:w="12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79.46</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79.75</w:t>
            </w:r>
          </w:p>
        </w:tc>
      </w:tr>
      <w:tr>
        <w:trPr>
          <w:trHeight w:val="341"/>
        </w:trPr>
        <w:tc>
          <w:tcPr>
            <w:tcW w:w="5180" w:type="dxa"/>
            <w:vAlign w:val="bottom"/>
          </w:tcPr>
          <w:p>
            <w:pPr>
              <w:spacing w:after="0"/>
              <w:rPr>
                <w:sz w:val="20"/>
                <w:szCs w:val="20"/>
                <w:color w:val="auto"/>
              </w:rPr>
            </w:pPr>
            <w:r>
              <w:rPr>
                <w:rFonts w:ascii="Courier New" w:cs="Courier New" w:eastAsia="Courier New" w:hAnsi="Courier New"/>
                <w:sz w:val="15"/>
                <w:szCs w:val="15"/>
                <w:color w:val="auto"/>
              </w:rPr>
              <w:t>Quality of loan portfolio</w:t>
            </w:r>
          </w:p>
        </w:tc>
        <w:tc>
          <w:tcPr>
            <w:tcW w:w="1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1"/>
        </w:trPr>
        <w:tc>
          <w:tcPr>
            <w:tcW w:w="5180" w:type="dxa"/>
            <w:vAlign w:val="bottom"/>
          </w:tcPr>
          <w:p>
            <w:pPr>
              <w:ind w:left="160"/>
              <w:spacing w:after="0"/>
              <w:rPr>
                <w:sz w:val="20"/>
                <w:szCs w:val="20"/>
                <w:color w:val="auto"/>
              </w:rPr>
            </w:pPr>
            <w:r>
              <w:rPr>
                <w:rFonts w:ascii="Courier New" w:cs="Courier New" w:eastAsia="Courier New" w:hAnsi="Courier New"/>
                <w:sz w:val="15"/>
                <w:szCs w:val="15"/>
                <w:color w:val="auto"/>
              </w:rPr>
              <w:t>Past due loans as a percentage of total loans</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8.63%</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8.02%</w:t>
            </w:r>
          </w:p>
        </w:tc>
        <w:tc>
          <w:tcPr>
            <w:tcW w:w="12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8.41%</w:t>
            </w:r>
          </w:p>
        </w:tc>
        <w:tc>
          <w:tcPr>
            <w:tcW w:w="12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8.63%</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8.41%</w:t>
            </w:r>
          </w:p>
        </w:tc>
      </w:tr>
      <w:tr>
        <w:trPr>
          <w:trHeight w:val="171"/>
        </w:trPr>
        <w:tc>
          <w:tcPr>
            <w:tcW w:w="5180" w:type="dxa"/>
            <w:vAlign w:val="bottom"/>
          </w:tcPr>
          <w:p>
            <w:pPr>
              <w:ind w:left="160"/>
              <w:spacing w:after="0"/>
              <w:rPr>
                <w:sz w:val="20"/>
                <w:szCs w:val="20"/>
                <w:color w:val="auto"/>
              </w:rPr>
            </w:pPr>
            <w:r>
              <w:rPr>
                <w:rFonts w:ascii="Courier New" w:cs="Courier New" w:eastAsia="Courier New" w:hAnsi="Courier New"/>
                <w:sz w:val="15"/>
                <w:szCs w:val="15"/>
                <w:color w:val="auto"/>
              </w:rPr>
              <w:t>Reserves for loan losses as a percentage of</w:t>
            </w:r>
          </w:p>
        </w:tc>
        <w:tc>
          <w:tcPr>
            <w:tcW w:w="1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1"/>
        </w:trPr>
        <w:tc>
          <w:tcPr>
            <w:tcW w:w="5180" w:type="dxa"/>
            <w:vAlign w:val="bottom"/>
          </w:tcPr>
          <w:p>
            <w:pPr>
              <w:ind w:left="520"/>
              <w:spacing w:after="0"/>
              <w:rPr>
                <w:sz w:val="20"/>
                <w:szCs w:val="20"/>
                <w:color w:val="auto"/>
              </w:rPr>
            </w:pPr>
            <w:r>
              <w:rPr>
                <w:rFonts w:ascii="Courier New" w:cs="Courier New" w:eastAsia="Courier New" w:hAnsi="Courier New"/>
                <w:sz w:val="15"/>
                <w:szCs w:val="15"/>
                <w:color w:val="auto"/>
              </w:rPr>
              <w:t>total past due loans</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98.18%</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100.12%</w:t>
            </w:r>
          </w:p>
        </w:tc>
        <w:tc>
          <w:tcPr>
            <w:tcW w:w="12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103.82%</w:t>
            </w:r>
          </w:p>
        </w:tc>
        <w:tc>
          <w:tcPr>
            <w:tcW w:w="12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98.18%</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103.82%</w:t>
            </w:r>
          </w:p>
        </w:tc>
      </w:tr>
      <w:tr>
        <w:trPr>
          <w:trHeight w:val="171"/>
        </w:trPr>
        <w:tc>
          <w:tcPr>
            <w:tcW w:w="5180" w:type="dxa"/>
            <w:vAlign w:val="bottom"/>
          </w:tcPr>
          <w:p>
            <w:pPr>
              <w:ind w:left="160"/>
              <w:spacing w:after="0"/>
              <w:rPr>
                <w:sz w:val="20"/>
                <w:szCs w:val="20"/>
                <w:color w:val="auto"/>
              </w:rPr>
            </w:pPr>
            <w:r>
              <w:rPr>
                <w:rFonts w:ascii="Courier New" w:cs="Courier New" w:eastAsia="Courier New" w:hAnsi="Courier New"/>
                <w:sz w:val="15"/>
                <w:szCs w:val="15"/>
                <w:color w:val="auto"/>
              </w:rPr>
              <w:t>Reserves for loan losses as a percentage of</w:t>
            </w:r>
          </w:p>
        </w:tc>
        <w:tc>
          <w:tcPr>
            <w:tcW w:w="1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1"/>
        </w:trPr>
        <w:tc>
          <w:tcPr>
            <w:tcW w:w="5180" w:type="dxa"/>
            <w:vAlign w:val="bottom"/>
          </w:tcPr>
          <w:p>
            <w:pPr>
              <w:ind w:left="620"/>
              <w:spacing w:after="0"/>
              <w:rPr>
                <w:sz w:val="20"/>
                <w:szCs w:val="20"/>
                <w:color w:val="auto"/>
              </w:rPr>
            </w:pPr>
            <w:r>
              <w:rPr>
                <w:rFonts w:ascii="Courier New" w:cs="Courier New" w:eastAsia="Courier New" w:hAnsi="Courier New"/>
                <w:sz w:val="15"/>
                <w:szCs w:val="15"/>
                <w:color w:val="auto"/>
              </w:rPr>
              <w:t>total loans</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8.47%</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8.03%</w:t>
            </w:r>
          </w:p>
        </w:tc>
        <w:tc>
          <w:tcPr>
            <w:tcW w:w="12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8.73%</w:t>
            </w:r>
          </w:p>
        </w:tc>
        <w:tc>
          <w:tcPr>
            <w:tcW w:w="12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8.47%</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8.73%</w:t>
            </w:r>
          </w:p>
        </w:tc>
      </w:tr>
      <w:tr>
        <w:trPr>
          <w:trHeight w:val="171"/>
        </w:trPr>
        <w:tc>
          <w:tcPr>
            <w:tcW w:w="5180" w:type="dxa"/>
            <w:vAlign w:val="bottom"/>
          </w:tcPr>
          <w:p>
            <w:pPr>
              <w:ind w:left="160"/>
              <w:spacing w:after="0"/>
              <w:rPr>
                <w:sz w:val="20"/>
                <w:szCs w:val="20"/>
                <w:color w:val="auto"/>
              </w:rPr>
            </w:pPr>
            <w:r>
              <w:rPr>
                <w:rFonts w:ascii="Courier New" w:cs="Courier New" w:eastAsia="Courier New" w:hAnsi="Courier New"/>
                <w:sz w:val="15"/>
                <w:szCs w:val="15"/>
                <w:color w:val="auto"/>
              </w:rPr>
              <w:t>Reserves for loan losses as a percentage of</w:t>
            </w:r>
          </w:p>
        </w:tc>
        <w:tc>
          <w:tcPr>
            <w:tcW w:w="1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1"/>
        </w:trPr>
        <w:tc>
          <w:tcPr>
            <w:tcW w:w="5180" w:type="dxa"/>
            <w:vAlign w:val="bottom"/>
          </w:tcPr>
          <w:p>
            <w:pPr>
              <w:ind w:left="520"/>
              <w:spacing w:after="0"/>
              <w:rPr>
                <w:sz w:val="20"/>
                <w:szCs w:val="20"/>
                <w:color w:val="auto"/>
              </w:rPr>
            </w:pPr>
            <w:r>
              <w:rPr>
                <w:rFonts w:ascii="Courier New" w:cs="Courier New" w:eastAsia="Courier New" w:hAnsi="Courier New"/>
                <w:sz w:val="15"/>
                <w:szCs w:val="15"/>
                <w:color w:val="auto"/>
              </w:rPr>
              <w:t>substandard  loans (C+D+E)</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46.22%</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45.38%</w:t>
            </w:r>
          </w:p>
        </w:tc>
        <w:tc>
          <w:tcPr>
            <w:tcW w:w="12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52.60%</w:t>
            </w:r>
          </w:p>
        </w:tc>
        <w:tc>
          <w:tcPr>
            <w:tcW w:w="12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46.22%</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52.60%</w:t>
            </w:r>
          </w:p>
        </w:tc>
      </w:tr>
      <w:tr>
        <w:trPr>
          <w:trHeight w:val="171"/>
        </w:trPr>
        <w:tc>
          <w:tcPr>
            <w:tcW w:w="5180" w:type="dxa"/>
            <w:vAlign w:val="bottom"/>
          </w:tcPr>
          <w:p>
            <w:pPr>
              <w:ind w:left="160"/>
              <w:spacing w:after="0"/>
              <w:rPr>
                <w:sz w:val="20"/>
                <w:szCs w:val="20"/>
                <w:color w:val="auto"/>
              </w:rPr>
            </w:pPr>
            <w:r>
              <w:rPr>
                <w:rFonts w:ascii="Courier New" w:cs="Courier New" w:eastAsia="Courier New" w:hAnsi="Courier New"/>
                <w:sz w:val="15"/>
                <w:szCs w:val="15"/>
                <w:color w:val="auto"/>
              </w:rPr>
              <w:t>Past due loans - reserves for loan losses as a</w:t>
            </w:r>
          </w:p>
        </w:tc>
        <w:tc>
          <w:tcPr>
            <w:tcW w:w="1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1"/>
        </w:trPr>
        <w:tc>
          <w:tcPr>
            <w:tcW w:w="5180" w:type="dxa"/>
            <w:vAlign w:val="bottom"/>
          </w:tcPr>
          <w:p>
            <w:pPr>
              <w:ind w:left="520"/>
              <w:spacing w:after="0"/>
              <w:rPr>
                <w:sz w:val="20"/>
                <w:szCs w:val="20"/>
                <w:color w:val="auto"/>
              </w:rPr>
            </w:pPr>
            <w:r>
              <w:rPr>
                <w:rFonts w:ascii="Courier New" w:cs="Courier New" w:eastAsia="Courier New" w:hAnsi="Courier New"/>
                <w:sz w:val="15"/>
                <w:szCs w:val="15"/>
                <w:color w:val="auto"/>
              </w:rPr>
              <w:t>percentage of shareholders' equity</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0.80%</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-0.05%</w:t>
            </w:r>
          </w:p>
        </w:tc>
        <w:tc>
          <w:tcPr>
            <w:tcW w:w="12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-1.88%</w:t>
            </w:r>
          </w:p>
        </w:tc>
        <w:tc>
          <w:tcPr>
            <w:tcW w:w="12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0.80%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-1.88%</w:t>
            </w:r>
          </w:p>
        </w:tc>
      </w:tr>
      <w:tr>
        <w:trPr>
          <w:trHeight w:val="341"/>
        </w:trPr>
        <w:tc>
          <w:tcPr>
            <w:tcW w:w="5180" w:type="dxa"/>
            <w:vAlign w:val="bottom"/>
          </w:tcPr>
          <w:p>
            <w:pPr>
              <w:spacing w:after="0"/>
              <w:rPr>
                <w:sz w:val="20"/>
                <w:szCs w:val="20"/>
                <w:color w:val="auto"/>
              </w:rPr>
            </w:pPr>
            <w:r>
              <w:rPr>
                <w:rFonts w:ascii="Courier New" w:cs="Courier New" w:eastAsia="Courier New" w:hAnsi="Courier New"/>
                <w:sz w:val="15"/>
                <w:szCs w:val="15"/>
                <w:color w:val="auto"/>
              </w:rPr>
              <w:t>Operating efficiency</w:t>
            </w:r>
          </w:p>
        </w:tc>
        <w:tc>
          <w:tcPr>
            <w:tcW w:w="1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1"/>
        </w:trPr>
        <w:tc>
          <w:tcPr>
            <w:tcW w:w="5180" w:type="dxa"/>
            <w:vAlign w:val="bottom"/>
          </w:tcPr>
          <w:p>
            <w:pPr>
              <w:ind w:left="80"/>
              <w:spacing w:after="0"/>
              <w:rPr>
                <w:sz w:val="20"/>
                <w:szCs w:val="20"/>
                <w:color w:val="auto"/>
              </w:rPr>
            </w:pPr>
            <w:r>
              <w:rPr>
                <w:rFonts w:ascii="Courier New" w:cs="Courier New" w:eastAsia="Courier New" w:hAnsi="Courier New"/>
                <w:sz w:val="15"/>
                <w:szCs w:val="15"/>
                <w:color w:val="auto"/>
              </w:rPr>
              <w:t>Oper. expense as a percent. of total income (5)</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49.39%</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48.82%</w:t>
            </w:r>
          </w:p>
        </w:tc>
        <w:tc>
          <w:tcPr>
            <w:tcW w:w="12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55.57%</w:t>
            </w:r>
          </w:p>
        </w:tc>
        <w:tc>
          <w:tcPr>
            <w:tcW w:w="12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52.85%</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51.95%</w:t>
            </w:r>
          </w:p>
        </w:tc>
      </w:tr>
      <w:tr>
        <w:trPr>
          <w:trHeight w:val="171"/>
        </w:trPr>
        <w:tc>
          <w:tcPr>
            <w:tcW w:w="5180" w:type="dxa"/>
            <w:vAlign w:val="bottom"/>
          </w:tcPr>
          <w:p>
            <w:pPr>
              <w:ind w:left="80"/>
              <w:spacing w:after="0"/>
              <w:rPr>
                <w:sz w:val="20"/>
                <w:szCs w:val="20"/>
                <w:color w:val="auto"/>
              </w:rPr>
            </w:pPr>
            <w:r>
              <w:rPr>
                <w:rFonts w:ascii="Courier New" w:cs="Courier New" w:eastAsia="Courier New" w:hAnsi="Courier New"/>
                <w:sz w:val="15"/>
                <w:szCs w:val="15"/>
                <w:color w:val="auto"/>
              </w:rPr>
              <w:t>Oper. expense as a percent. of av. tot. assets(2)(3)(5)</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4.85%</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4.44%</w:t>
            </w:r>
          </w:p>
        </w:tc>
        <w:tc>
          <w:tcPr>
            <w:tcW w:w="12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5.11%</w:t>
            </w:r>
          </w:p>
        </w:tc>
        <w:tc>
          <w:tcPr>
            <w:tcW w:w="12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4.97%</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4.53%</w:t>
            </w:r>
          </w:p>
        </w:tc>
      </w:tr>
      <w:tr>
        <w:trPr>
          <w:trHeight w:val="341"/>
        </w:trPr>
        <w:tc>
          <w:tcPr>
            <w:tcW w:w="5180" w:type="dxa"/>
            <w:vAlign w:val="bottom"/>
          </w:tcPr>
          <w:p>
            <w:pPr>
              <w:spacing w:after="0"/>
              <w:rPr>
                <w:sz w:val="20"/>
                <w:szCs w:val="20"/>
                <w:color w:val="auto"/>
              </w:rPr>
            </w:pPr>
            <w:r>
              <w:rPr>
                <w:rFonts w:ascii="Courier New" w:cs="Courier New" w:eastAsia="Courier New" w:hAnsi="Courier New"/>
                <w:sz w:val="15"/>
                <w:szCs w:val="15"/>
                <w:color w:val="auto"/>
              </w:rPr>
              <w:t>Capital adequacy</w:t>
            </w:r>
          </w:p>
        </w:tc>
        <w:tc>
          <w:tcPr>
            <w:tcW w:w="1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1"/>
        </w:trPr>
        <w:tc>
          <w:tcPr>
            <w:tcW w:w="5180" w:type="dxa"/>
            <w:vAlign w:val="bottom"/>
          </w:tcPr>
          <w:p>
            <w:pPr>
              <w:ind w:left="160"/>
              <w:spacing w:after="0"/>
              <w:rPr>
                <w:sz w:val="20"/>
                <w:szCs w:val="20"/>
                <w:color w:val="auto"/>
              </w:rPr>
            </w:pPr>
            <w:r>
              <w:rPr>
                <w:rFonts w:ascii="Courier New" w:cs="Courier New" w:eastAsia="Courier New" w:hAnsi="Courier New"/>
                <w:sz w:val="15"/>
                <w:szCs w:val="15"/>
                <w:color w:val="auto"/>
              </w:rPr>
              <w:t>Total Regulatory Capital (US$Mn)</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730.4</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716.9</w:t>
            </w:r>
          </w:p>
        </w:tc>
        <w:tc>
          <w:tcPr>
            <w:tcW w:w="12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788.0</w:t>
            </w:r>
          </w:p>
        </w:tc>
        <w:tc>
          <w:tcPr>
            <w:tcW w:w="12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730.4</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788.0</w:t>
            </w:r>
          </w:p>
        </w:tc>
      </w:tr>
      <w:tr>
        <w:trPr>
          <w:trHeight w:val="171"/>
        </w:trPr>
        <w:tc>
          <w:tcPr>
            <w:tcW w:w="5180" w:type="dxa"/>
            <w:vAlign w:val="bottom"/>
          </w:tcPr>
          <w:p>
            <w:pPr>
              <w:ind w:left="160"/>
              <w:spacing w:after="0"/>
              <w:rPr>
                <w:sz w:val="20"/>
                <w:szCs w:val="20"/>
                <w:color w:val="auto"/>
              </w:rPr>
            </w:pPr>
            <w:r>
              <w:rPr>
                <w:rFonts w:ascii="Courier New" w:cs="Courier New" w:eastAsia="Courier New" w:hAnsi="Courier New"/>
                <w:sz w:val="15"/>
                <w:szCs w:val="15"/>
                <w:color w:val="auto"/>
              </w:rPr>
              <w:t>Tier I Capital (US$Mn)</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605.9</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608.8</w:t>
            </w:r>
          </w:p>
        </w:tc>
        <w:tc>
          <w:tcPr>
            <w:tcW w:w="12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608.8</w:t>
            </w:r>
          </w:p>
        </w:tc>
        <w:tc>
          <w:tcPr>
            <w:tcW w:w="12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605.9</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608.8</w:t>
            </w:r>
          </w:p>
        </w:tc>
      </w:tr>
      <w:tr>
        <w:trPr>
          <w:trHeight w:val="171"/>
        </w:trPr>
        <w:tc>
          <w:tcPr>
            <w:tcW w:w="5180" w:type="dxa"/>
            <w:vAlign w:val="bottom"/>
          </w:tcPr>
          <w:p>
            <w:pPr>
              <w:ind w:left="160"/>
              <w:spacing w:after="0"/>
              <w:rPr>
                <w:sz w:val="20"/>
                <w:szCs w:val="20"/>
                <w:color w:val="auto"/>
              </w:rPr>
            </w:pPr>
            <w:r>
              <w:rPr>
                <w:rFonts w:ascii="Courier New" w:cs="Courier New" w:eastAsia="Courier New" w:hAnsi="Courier New"/>
                <w:sz w:val="15"/>
                <w:szCs w:val="15"/>
                <w:color w:val="auto"/>
              </w:rPr>
              <w:t>Regulatory capital / risk-weighted assets (6)</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12.35%</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12.22%</w:t>
            </w:r>
          </w:p>
        </w:tc>
        <w:tc>
          <w:tcPr>
            <w:tcW w:w="12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12.30%</w:t>
            </w:r>
          </w:p>
        </w:tc>
        <w:tc>
          <w:tcPr>
            <w:tcW w:w="12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12.35%</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12.30%</w:t>
            </w:r>
          </w:p>
        </w:tc>
      </w:tr>
      <w:tr>
        <w:trPr>
          <w:trHeight w:val="341"/>
        </w:trPr>
        <w:tc>
          <w:tcPr>
            <w:tcW w:w="5180" w:type="dxa"/>
            <w:vAlign w:val="bottom"/>
          </w:tcPr>
          <w:p>
            <w:pPr>
              <w:spacing w:after="0"/>
              <w:rPr>
                <w:sz w:val="20"/>
                <w:szCs w:val="20"/>
                <w:color w:val="auto"/>
              </w:rPr>
            </w:pPr>
            <w:r>
              <w:rPr>
                <w:rFonts w:ascii="Courier New" w:cs="Courier New" w:eastAsia="Courier New" w:hAnsi="Courier New"/>
                <w:sz w:val="15"/>
                <w:szCs w:val="15"/>
                <w:color w:val="auto"/>
              </w:rPr>
              <w:t>Average balances (US$Mn) (3)</w:t>
            </w:r>
          </w:p>
        </w:tc>
        <w:tc>
          <w:tcPr>
            <w:tcW w:w="1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1"/>
        </w:trPr>
        <w:tc>
          <w:tcPr>
            <w:tcW w:w="5180" w:type="dxa"/>
            <w:vAlign w:val="bottom"/>
          </w:tcPr>
          <w:p>
            <w:pPr>
              <w:ind w:left="160"/>
              <w:spacing w:after="0"/>
              <w:rPr>
                <w:sz w:val="20"/>
                <w:szCs w:val="20"/>
                <w:color w:val="auto"/>
              </w:rPr>
            </w:pPr>
            <w:r>
              <w:rPr>
                <w:rFonts w:ascii="Courier New" w:cs="Courier New" w:eastAsia="Courier New" w:hAnsi="Courier New"/>
                <w:sz w:val="15"/>
                <w:szCs w:val="15"/>
                <w:color w:val="auto"/>
              </w:rPr>
              <w:t>Interest earning assets</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6,135.7</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5,771.7</w:t>
            </w:r>
          </w:p>
        </w:tc>
        <w:tc>
          <w:tcPr>
            <w:tcW w:w="12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6,369.8</w:t>
            </w:r>
          </w:p>
        </w:tc>
        <w:tc>
          <w:tcPr>
            <w:tcW w:w="12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6,148.1</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6,025.6</w:t>
            </w:r>
          </w:p>
        </w:tc>
      </w:tr>
      <w:tr>
        <w:trPr>
          <w:trHeight w:val="171"/>
        </w:trPr>
        <w:tc>
          <w:tcPr>
            <w:tcW w:w="5180" w:type="dxa"/>
            <w:vAlign w:val="bottom"/>
          </w:tcPr>
          <w:p>
            <w:pPr>
              <w:ind w:left="160"/>
              <w:spacing w:after="0"/>
              <w:rPr>
                <w:sz w:val="20"/>
                <w:szCs w:val="20"/>
                <w:color w:val="auto"/>
              </w:rPr>
            </w:pPr>
            <w:r>
              <w:rPr>
                <w:rFonts w:ascii="Courier New" w:cs="Courier New" w:eastAsia="Courier New" w:hAnsi="Courier New"/>
                <w:sz w:val="15"/>
                <w:szCs w:val="15"/>
                <w:color w:val="auto"/>
              </w:rPr>
              <w:t>Total Assets</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7,810.3</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7,345.2</w:t>
            </w:r>
          </w:p>
        </w:tc>
        <w:tc>
          <w:tcPr>
            <w:tcW w:w="12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8,009.4</w:t>
            </w:r>
          </w:p>
        </w:tc>
        <w:tc>
          <w:tcPr>
            <w:tcW w:w="12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7,608.0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8,104.3</w:t>
            </w:r>
          </w:p>
        </w:tc>
      </w:tr>
      <w:tr>
        <w:trPr>
          <w:trHeight w:val="171"/>
        </w:trPr>
        <w:tc>
          <w:tcPr>
            <w:tcW w:w="5180" w:type="dxa"/>
            <w:vAlign w:val="bottom"/>
          </w:tcPr>
          <w:p>
            <w:pPr>
              <w:ind w:left="160"/>
              <w:spacing w:after="0"/>
              <w:rPr>
                <w:sz w:val="20"/>
                <w:szCs w:val="20"/>
                <w:color w:val="auto"/>
              </w:rPr>
            </w:pPr>
            <w:r>
              <w:rPr>
                <w:rFonts w:ascii="Courier New" w:cs="Courier New" w:eastAsia="Courier New" w:hAnsi="Courier New"/>
                <w:sz w:val="15"/>
                <w:szCs w:val="15"/>
                <w:color w:val="auto"/>
              </w:rPr>
              <w:t>Net equity</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799.7</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799.9</w:t>
            </w:r>
          </w:p>
        </w:tc>
        <w:tc>
          <w:tcPr>
            <w:tcW w:w="12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811.1</w:t>
            </w:r>
          </w:p>
        </w:tc>
        <w:tc>
          <w:tcPr>
            <w:tcW w:w="12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789.7</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810.3</w:t>
            </w:r>
          </w:p>
        </w:tc>
      </w:tr>
    </w:tbl>
    <w:p>
      <w:pPr>
        <w:spacing w:after="0" w:line="174"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353" w:lineRule="exact"/>
        <w:rPr>
          <w:sz w:val="20"/>
          <w:szCs w:val="20"/>
          <w:color w:val="auto"/>
        </w:rPr>
      </w:pPr>
    </w:p>
    <w:p>
      <w:pPr>
        <w:ind w:left="449" w:right="4620" w:hanging="449"/>
        <w:spacing w:after="0" w:line="238" w:lineRule="auto"/>
        <w:tabs>
          <w:tab w:leader="none" w:pos="449"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Number of shares outstanding of 79.8 million in 3Q02 and 4Q02, and 79.5 million in 4Q01.</w:t>
      </w:r>
    </w:p>
    <w:p>
      <w:pPr>
        <w:spacing w:after="0" w:line="1" w:lineRule="exact"/>
        <w:rPr>
          <w:rFonts w:ascii="Courier New" w:cs="Courier New" w:eastAsia="Courier New" w:hAnsi="Courier New"/>
          <w:sz w:val="15"/>
          <w:szCs w:val="15"/>
          <w:color w:val="auto"/>
        </w:rPr>
      </w:pPr>
    </w:p>
    <w:p>
      <w:pPr>
        <w:ind w:left="449" w:hanging="449"/>
        <w:spacing w:after="0"/>
        <w:tabs>
          <w:tab w:leader="none" w:pos="449"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Ratios are annualized.</w:t>
      </w:r>
    </w:p>
    <w:p>
      <w:pPr>
        <w:spacing w:after="0" w:line="3" w:lineRule="exact"/>
        <w:rPr>
          <w:rFonts w:ascii="Courier New" w:cs="Courier New" w:eastAsia="Courier New" w:hAnsi="Courier New"/>
          <w:sz w:val="15"/>
          <w:szCs w:val="15"/>
          <w:color w:val="auto"/>
        </w:rPr>
      </w:pPr>
    </w:p>
    <w:p>
      <w:pPr>
        <w:ind w:left="449" w:right="5420" w:hanging="449"/>
        <w:spacing w:after="0" w:line="238" w:lineRule="auto"/>
        <w:tabs>
          <w:tab w:leader="none" w:pos="449"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Averages are determined as the average of period-beginning and period-ending balances.</w:t>
      </w:r>
    </w:p>
    <w:p>
      <w:pPr>
        <w:spacing w:after="0" w:line="1" w:lineRule="exact"/>
        <w:rPr>
          <w:rFonts w:ascii="Courier New" w:cs="Courier New" w:eastAsia="Courier New" w:hAnsi="Courier New"/>
          <w:sz w:val="15"/>
          <w:szCs w:val="15"/>
          <w:color w:val="auto"/>
        </w:rPr>
      </w:pPr>
    </w:p>
    <w:p>
      <w:pPr>
        <w:ind w:left="449" w:hanging="449"/>
        <w:spacing w:after="0"/>
        <w:tabs>
          <w:tab w:leader="none" w:pos="449"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of treasury shares. The total number of shares was of 94.38 million.</w:t>
      </w:r>
    </w:p>
    <w:p>
      <w:pPr>
        <w:spacing w:after="0" w:line="3" w:lineRule="exact"/>
        <w:rPr>
          <w:rFonts w:ascii="Courier New" w:cs="Courier New" w:eastAsia="Courier New" w:hAnsi="Courier New"/>
          <w:sz w:val="15"/>
          <w:szCs w:val="15"/>
          <w:color w:val="auto"/>
        </w:rPr>
      </w:pPr>
    </w:p>
    <w:p>
      <w:pPr>
        <w:ind w:left="449" w:right="4720" w:hanging="449"/>
        <w:spacing w:after="0" w:line="258" w:lineRule="auto"/>
        <w:tabs>
          <w:tab w:leader="none" w:pos="449"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Total income includes net interest income and other income. Operating expense is net of provisions for other assets received in lieu of loan repayment and mandatory employee profit sharing expense.</w:t>
      </w:r>
    </w:p>
    <w:p>
      <w:pPr>
        <w:ind w:left="449" w:hanging="449"/>
        <w:spacing w:after="0"/>
        <w:tabs>
          <w:tab w:leader="none" w:pos="449"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Risk-weighted assets include market risk assets.</w:t>
      </w:r>
    </w:p>
    <w:p>
      <w:pPr>
        <w:spacing w:after="0" w:line="171"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1369"/>
          </w:cols>
          <w:pgMar w:left="231" w:top="1140" w:right="299" w:bottom="1440" w:gutter="0" w:footer="0" w:header="0"/>
        </w:sectPr>
      </w:pPr>
    </w:p>
    <w:bookmarkStart w:id="31" w:name="page32"/>
    <w:bookmarkEnd w:id="31"/>
    <w:tbl>
      <w:tblPr>
        <w:tblLayout w:type="fixed"/>
        <w:tblInd w:w="89" w:type="dxa"/>
        <w:tblCellMar>
          <w:top w:w="0" w:type="dxa"/>
          <w:left w:w="0" w:type="dxa"/>
          <w:bottom w:w="0" w:type="dxa"/>
          <w:right w:w="0" w:type="dxa"/>
        </w:tblCellMar>
      </w:tblPr>
      <w:tr>
        <w:trPr>
          <w:trHeight w:val="170"/>
        </w:trPr>
        <w:tc>
          <w:tcPr>
            <w:tcW w:w="2300" w:type="dxa"/>
            <w:vAlign w:val="bottom"/>
          </w:tcPr>
          <w:p>
            <w:pPr>
              <w:spacing w:after="0"/>
              <w:rPr>
                <w:sz w:val="14"/>
                <w:szCs w:val="14"/>
                <w:color w:val="auto"/>
              </w:rPr>
            </w:pPr>
          </w:p>
        </w:tc>
        <w:tc>
          <w:tcPr>
            <w:tcW w:w="3420" w:type="dxa"/>
            <w:vAlign w:val="bottom"/>
          </w:tcPr>
          <w:p>
            <w:pPr>
              <w:jc w:val="center"/>
              <w:ind w:right="926"/>
              <w:spacing w:after="0"/>
              <w:rPr>
                <w:sz w:val="20"/>
                <w:szCs w:val="20"/>
                <w:color w:val="auto"/>
              </w:rPr>
            </w:pPr>
            <w:r>
              <w:rPr>
                <w:rFonts w:ascii="Courier New" w:cs="Courier New" w:eastAsia="Courier New" w:hAnsi="Courier New"/>
                <w:sz w:val="15"/>
                <w:szCs w:val="15"/>
                <w:color w:val="auto"/>
                <w:w w:val="98"/>
              </w:rPr>
              <w:t>Table 4</w:t>
            </w:r>
          </w:p>
        </w:tc>
        <w:tc>
          <w:tcPr>
            <w:tcW w:w="15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2300" w:type="dxa"/>
            <w:vAlign w:val="bottom"/>
          </w:tcPr>
          <w:p>
            <w:pPr>
              <w:spacing w:after="0"/>
              <w:rPr>
                <w:sz w:val="14"/>
                <w:szCs w:val="14"/>
                <w:color w:val="auto"/>
              </w:rPr>
            </w:pPr>
          </w:p>
        </w:tc>
        <w:tc>
          <w:tcPr>
            <w:tcW w:w="3420" w:type="dxa"/>
            <w:vAlign w:val="bottom"/>
          </w:tcPr>
          <w:p>
            <w:pPr>
              <w:jc w:val="center"/>
              <w:ind w:right="946"/>
              <w:spacing w:after="0"/>
              <w:rPr>
                <w:sz w:val="20"/>
                <w:szCs w:val="20"/>
                <w:color w:val="auto"/>
              </w:rPr>
            </w:pPr>
            <w:r>
              <w:rPr>
                <w:rFonts w:ascii="Courier New" w:cs="Courier New" w:eastAsia="Courier New" w:hAnsi="Courier New"/>
                <w:sz w:val="15"/>
                <w:szCs w:val="15"/>
                <w:color w:val="auto"/>
                <w:w w:val="98"/>
              </w:rPr>
              <w:t>CONSOLIDATED BALANCE SHEETS</w:t>
            </w:r>
          </w:p>
        </w:tc>
        <w:tc>
          <w:tcPr>
            <w:tcW w:w="15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2300" w:type="dxa"/>
            <w:vAlign w:val="bottom"/>
          </w:tcPr>
          <w:p>
            <w:pPr>
              <w:jc w:val="right"/>
              <w:spacing w:after="0"/>
              <w:rPr>
                <w:sz w:val="20"/>
                <w:szCs w:val="20"/>
                <w:color w:val="auto"/>
              </w:rPr>
            </w:pPr>
            <w:r>
              <w:rPr>
                <w:rFonts w:ascii="Courier New" w:cs="Courier New" w:eastAsia="Courier New" w:hAnsi="Courier New"/>
                <w:sz w:val="15"/>
                <w:szCs w:val="15"/>
                <w:color w:val="auto"/>
                <w:w w:val="97"/>
              </w:rPr>
              <w:t>(Constant Nuevos Soles, as</w:t>
            </w:r>
          </w:p>
        </w:tc>
        <w:tc>
          <w:tcPr>
            <w:tcW w:w="49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of December 31, 2002, and U.S. Dollars in thousands)</w:t>
            </w:r>
          </w:p>
        </w:tc>
        <w:tc>
          <w:tcPr>
            <w:tcW w:w="1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512"/>
        </w:trPr>
        <w:tc>
          <w:tcPr>
            <w:tcW w:w="2300" w:type="dxa"/>
            <w:vAlign w:val="bottom"/>
          </w:tcPr>
          <w:p>
            <w:pPr>
              <w:jc w:val="right"/>
              <w:spacing w:after="0"/>
              <w:rPr>
                <w:sz w:val="20"/>
                <w:szCs w:val="20"/>
                <w:color w:val="auto"/>
              </w:rPr>
            </w:pPr>
            <w:r>
              <w:rPr>
                <w:rFonts w:ascii="Courier New" w:cs="Courier New" w:eastAsia="Courier New" w:hAnsi="Courier New"/>
                <w:sz w:val="15"/>
                <w:szCs w:val="15"/>
                <w:color w:val="auto"/>
              </w:rPr>
              <w:t>ASSETS</w:t>
            </w:r>
          </w:p>
        </w:tc>
        <w:tc>
          <w:tcPr>
            <w:tcW w:w="34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30.09.01</w:t>
            </w:r>
          </w:p>
        </w:tc>
        <w:tc>
          <w:tcPr>
            <w:tcW w:w="15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31.12.01</w:t>
            </w:r>
          </w:p>
        </w:tc>
        <w:tc>
          <w:tcPr>
            <w:tcW w:w="12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30.09.02</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31.12.02</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31.12.02</w:t>
            </w:r>
          </w:p>
        </w:tc>
      </w:tr>
    </w:tbl>
    <w:p>
      <w:pPr>
        <w:spacing w:after="0" w:line="3" w:lineRule="exact"/>
        <w:rPr>
          <w:sz w:val="20"/>
          <w:szCs w:val="20"/>
          <w:color w:val="auto"/>
        </w:rPr>
      </w:pPr>
    </w:p>
    <w:p>
      <w:pPr>
        <w:ind w:left="169" w:hanging="169"/>
        <w:spacing w:after="0"/>
        <w:tabs>
          <w:tab w:leader="none" w:pos="169"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1020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US$000(1)</w:t>
      </w:r>
    </w:p>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480" w:type="dxa"/>
            <w:vAlign w:val="bottom"/>
            <w:gridSpan w:val="3"/>
          </w:tcPr>
          <w:p>
            <w:pPr>
              <w:spacing w:after="0"/>
              <w:rPr>
                <w:sz w:val="20"/>
                <w:szCs w:val="20"/>
                <w:color w:val="auto"/>
              </w:rPr>
            </w:pPr>
            <w:r>
              <w:rPr>
                <w:rFonts w:ascii="Courier New" w:cs="Courier New" w:eastAsia="Courier New" w:hAnsi="Courier New"/>
                <w:sz w:val="15"/>
                <w:szCs w:val="15"/>
                <w:color w:val="auto"/>
              </w:rPr>
              <w:t>CASH AND DUE FROM BANKS</w:t>
            </w:r>
          </w:p>
        </w:tc>
        <w:tc>
          <w:tcPr>
            <w:tcW w:w="14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6,789.138</w:t>
            </w:r>
          </w:p>
        </w:tc>
        <w:tc>
          <w:tcPr>
            <w:tcW w:w="13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6,056.192</w:t>
            </w: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6,737.961</w:t>
            </w:r>
          </w:p>
        </w:tc>
        <w:tc>
          <w:tcPr>
            <w:tcW w:w="14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7,296.161</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$2,076.312</w:t>
            </w:r>
          </w:p>
        </w:tc>
      </w:tr>
      <w:tr>
        <w:trPr>
          <w:trHeight w:val="171"/>
        </w:trPr>
        <w:tc>
          <w:tcPr>
            <w:tcW w:w="1060" w:type="dxa"/>
            <w:vAlign w:val="bottom"/>
            <w:gridSpan w:val="2"/>
          </w:tcPr>
          <w:p>
            <w:pPr>
              <w:spacing w:after="0"/>
              <w:rPr>
                <w:sz w:val="20"/>
                <w:szCs w:val="20"/>
                <w:color w:val="auto"/>
              </w:rPr>
            </w:pPr>
            <w:r>
              <w:rPr>
                <w:rFonts w:ascii="Courier New" w:cs="Courier New" w:eastAsia="Courier New" w:hAnsi="Courier New"/>
                <w:sz w:val="8"/>
                <w:szCs w:val="8"/>
                <w:color w:val="auto"/>
                <w:w w:val="86"/>
              </w:rPr>
              <w:t>- -----------------------</w:t>
            </w:r>
          </w:p>
        </w:tc>
        <w:tc>
          <w:tcPr>
            <w:tcW w:w="3420" w:type="dxa"/>
            <w:vAlign w:val="bottom"/>
          </w:tcPr>
          <w:p>
            <w:pPr>
              <w:spacing w:after="0"/>
              <w:rPr>
                <w:sz w:val="14"/>
                <w:szCs w:val="14"/>
                <w:color w:val="auto"/>
              </w:rPr>
            </w:pPr>
          </w:p>
        </w:tc>
        <w:tc>
          <w:tcPr>
            <w:tcW w:w="14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48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Cash and Checks</w:t>
            </w:r>
          </w:p>
        </w:tc>
        <w:tc>
          <w:tcPr>
            <w:tcW w:w="14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781.880</w:t>
            </w:r>
          </w:p>
        </w:tc>
        <w:tc>
          <w:tcPr>
            <w:tcW w:w="13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861.973</w:t>
            </w:r>
          </w:p>
        </w:tc>
        <w:tc>
          <w:tcPr>
            <w:tcW w:w="13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871.653</w:t>
            </w:r>
          </w:p>
        </w:tc>
        <w:tc>
          <w:tcPr>
            <w:tcW w:w="14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1,081.814</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$307.858</w:t>
            </w:r>
          </w:p>
        </w:tc>
      </w:tr>
      <w:tr>
        <w:trPr>
          <w:trHeight w:val="171"/>
        </w:trPr>
        <w:tc>
          <w:tcPr>
            <w:tcW w:w="448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Deposits in Central Bank of Peru</w:t>
            </w:r>
          </w:p>
        </w:tc>
        <w:tc>
          <w:tcPr>
            <w:tcW w:w="14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4,339.335</w:t>
            </w:r>
          </w:p>
        </w:tc>
        <w:tc>
          <w:tcPr>
            <w:tcW w:w="13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3,838.365</w:t>
            </w:r>
          </w:p>
        </w:tc>
        <w:tc>
          <w:tcPr>
            <w:tcW w:w="13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4,851.451</w:t>
            </w:r>
          </w:p>
        </w:tc>
        <w:tc>
          <w:tcPr>
            <w:tcW w:w="14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4,767.030</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$1,356.582</w:t>
            </w:r>
          </w:p>
        </w:tc>
      </w:tr>
      <w:tr>
        <w:trPr>
          <w:trHeight w:val="171"/>
        </w:trPr>
        <w:tc>
          <w:tcPr>
            <w:tcW w:w="10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Deposits</w:t>
            </w:r>
          </w:p>
        </w:tc>
        <w:tc>
          <w:tcPr>
            <w:tcW w:w="3420" w:type="dxa"/>
            <w:vAlign w:val="bottom"/>
          </w:tcPr>
          <w:p>
            <w:pPr>
              <w:spacing w:after="0"/>
              <w:rPr>
                <w:sz w:val="20"/>
                <w:szCs w:val="20"/>
                <w:color w:val="auto"/>
              </w:rPr>
            </w:pPr>
            <w:r>
              <w:rPr>
                <w:rFonts w:ascii="Courier New" w:cs="Courier New" w:eastAsia="Courier New" w:hAnsi="Courier New"/>
                <w:sz w:val="15"/>
                <w:szCs w:val="15"/>
                <w:color w:val="auto"/>
              </w:rPr>
              <w:t>with local and foreign banks</w:t>
            </w:r>
          </w:p>
        </w:tc>
        <w:tc>
          <w:tcPr>
            <w:tcW w:w="14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1,667.923</w:t>
            </w:r>
          </w:p>
        </w:tc>
        <w:tc>
          <w:tcPr>
            <w:tcW w:w="13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1,355.854</w:t>
            </w:r>
          </w:p>
        </w:tc>
        <w:tc>
          <w:tcPr>
            <w:tcW w:w="13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1,014.857</w:t>
            </w:r>
          </w:p>
        </w:tc>
        <w:tc>
          <w:tcPr>
            <w:tcW w:w="14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1,447.317</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$411.872</w:t>
            </w:r>
          </w:p>
        </w:tc>
      </w:tr>
      <w:tr>
        <w:trPr>
          <w:trHeight w:val="341"/>
        </w:trPr>
        <w:tc>
          <w:tcPr>
            <w:tcW w:w="4480" w:type="dxa"/>
            <w:vAlign w:val="bottom"/>
            <w:gridSpan w:val="3"/>
          </w:tcPr>
          <w:p>
            <w:pPr>
              <w:spacing w:after="0"/>
              <w:rPr>
                <w:sz w:val="20"/>
                <w:szCs w:val="20"/>
                <w:color w:val="auto"/>
              </w:rPr>
            </w:pPr>
            <w:r>
              <w:rPr>
                <w:rFonts w:ascii="Courier New" w:cs="Courier New" w:eastAsia="Courier New" w:hAnsi="Courier New"/>
                <w:sz w:val="15"/>
                <w:szCs w:val="15"/>
                <w:color w:val="auto"/>
              </w:rPr>
              <w:t>MARKETABLE SECURITIES, net</w:t>
            </w:r>
          </w:p>
        </w:tc>
        <w:tc>
          <w:tcPr>
            <w:tcW w:w="14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1,523.613</w:t>
            </w:r>
          </w:p>
        </w:tc>
        <w:tc>
          <w:tcPr>
            <w:tcW w:w="13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1,531.495</w:t>
            </w:r>
          </w:p>
        </w:tc>
        <w:tc>
          <w:tcPr>
            <w:tcW w:w="13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1,652.907</w:t>
            </w:r>
          </w:p>
        </w:tc>
        <w:tc>
          <w:tcPr>
            <w:tcW w:w="14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1,938.413</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$551.626</w:t>
            </w:r>
          </w:p>
        </w:tc>
      </w:tr>
      <w:tr>
        <w:trPr>
          <w:trHeight w:val="341"/>
        </w:trPr>
        <w:tc>
          <w:tcPr>
            <w:tcW w:w="620" w:type="dxa"/>
            <w:vAlign w:val="bottom"/>
          </w:tcPr>
          <w:p>
            <w:pPr>
              <w:spacing w:after="0"/>
              <w:rPr>
                <w:sz w:val="20"/>
                <w:szCs w:val="20"/>
                <w:color w:val="auto"/>
              </w:rPr>
            </w:pPr>
            <w:r>
              <w:rPr>
                <w:rFonts w:ascii="Courier New" w:cs="Courier New" w:eastAsia="Courier New" w:hAnsi="Courier New"/>
                <w:sz w:val="15"/>
                <w:szCs w:val="15"/>
                <w:color w:val="auto"/>
              </w:rPr>
              <w:t>LOANS</w:t>
            </w:r>
          </w:p>
        </w:tc>
        <w:tc>
          <w:tcPr>
            <w:tcW w:w="4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4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12,924.050</w:t>
            </w:r>
          </w:p>
        </w:tc>
        <w:tc>
          <w:tcPr>
            <w:tcW w:w="13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12,883.273</w:t>
            </w:r>
          </w:p>
        </w:tc>
        <w:tc>
          <w:tcPr>
            <w:tcW w:w="13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12,752.044</w:t>
            </w:r>
          </w:p>
        </w:tc>
        <w:tc>
          <w:tcPr>
            <w:tcW w:w="14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15,652.850</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$4,454.425</w:t>
            </w:r>
          </w:p>
        </w:tc>
      </w:tr>
      <w:tr>
        <w:trPr>
          <w:trHeight w:val="171"/>
        </w:trPr>
        <w:tc>
          <w:tcPr>
            <w:tcW w:w="10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Current</w:t>
            </w:r>
          </w:p>
        </w:tc>
        <w:tc>
          <w:tcPr>
            <w:tcW w:w="3420" w:type="dxa"/>
            <w:vAlign w:val="bottom"/>
          </w:tcPr>
          <w:p>
            <w:pPr>
              <w:spacing w:after="0"/>
              <w:rPr>
                <w:sz w:val="14"/>
                <w:szCs w:val="14"/>
                <w:color w:val="auto"/>
              </w:rPr>
            </w:pPr>
          </w:p>
        </w:tc>
        <w:tc>
          <w:tcPr>
            <w:tcW w:w="14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11,654.072</w:t>
            </w:r>
          </w:p>
        </w:tc>
        <w:tc>
          <w:tcPr>
            <w:tcW w:w="13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11,751.433</w:t>
            </w:r>
          </w:p>
        </w:tc>
        <w:tc>
          <w:tcPr>
            <w:tcW w:w="13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11,711.698</w:t>
            </w:r>
          </w:p>
        </w:tc>
        <w:tc>
          <w:tcPr>
            <w:tcW w:w="14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14,313.276</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$4,073.215</w:t>
            </w:r>
          </w:p>
        </w:tc>
      </w:tr>
      <w:tr>
        <w:trPr>
          <w:trHeight w:val="171"/>
        </w:trPr>
        <w:tc>
          <w:tcPr>
            <w:tcW w:w="10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Past Due</w:t>
            </w:r>
          </w:p>
        </w:tc>
        <w:tc>
          <w:tcPr>
            <w:tcW w:w="3420" w:type="dxa"/>
            <w:vAlign w:val="bottom"/>
          </w:tcPr>
          <w:p>
            <w:pPr>
              <w:spacing w:after="0"/>
              <w:rPr>
                <w:sz w:val="14"/>
                <w:szCs w:val="14"/>
                <w:color w:val="auto"/>
              </w:rPr>
            </w:pPr>
          </w:p>
        </w:tc>
        <w:tc>
          <w:tcPr>
            <w:tcW w:w="14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1,269.978</w:t>
            </w:r>
          </w:p>
        </w:tc>
        <w:tc>
          <w:tcPr>
            <w:tcW w:w="13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1,131.840</w:t>
            </w:r>
          </w:p>
        </w:tc>
        <w:tc>
          <w:tcPr>
            <w:tcW w:w="13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1,040.346</w:t>
            </w:r>
          </w:p>
        </w:tc>
        <w:tc>
          <w:tcPr>
            <w:tcW w:w="14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1,339.574</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$381.211</w:t>
            </w:r>
          </w:p>
        </w:tc>
      </w:tr>
      <w:tr>
        <w:trPr>
          <w:trHeight w:val="171"/>
        </w:trPr>
        <w:tc>
          <w:tcPr>
            <w:tcW w:w="620" w:type="dxa"/>
            <w:vAlign w:val="bottom"/>
          </w:tcPr>
          <w:p>
            <w:pPr>
              <w:ind w:left="160"/>
              <w:spacing w:after="0"/>
              <w:rPr>
                <w:sz w:val="20"/>
                <w:szCs w:val="20"/>
                <w:color w:val="auto"/>
              </w:rPr>
            </w:pPr>
            <w:r>
              <w:rPr>
                <w:rFonts w:ascii="Courier New" w:cs="Courier New" w:eastAsia="Courier New" w:hAnsi="Courier New"/>
                <w:sz w:val="15"/>
                <w:szCs w:val="15"/>
                <w:color w:val="auto"/>
              </w:rPr>
              <w:t>Less</w:t>
            </w:r>
          </w:p>
        </w:tc>
        <w:tc>
          <w:tcPr>
            <w:tcW w:w="3860" w:type="dxa"/>
            <w:vAlign w:val="bottom"/>
            <w:gridSpan w:val="2"/>
          </w:tcPr>
          <w:p>
            <w:pPr>
              <w:jc w:val="center"/>
              <w:ind w:right="786"/>
              <w:spacing w:after="0"/>
              <w:rPr>
                <w:sz w:val="20"/>
                <w:szCs w:val="20"/>
                <w:color w:val="auto"/>
              </w:rPr>
            </w:pPr>
            <w:r>
              <w:rPr>
                <w:rFonts w:ascii="Courier New" w:cs="Courier New" w:eastAsia="Courier New" w:hAnsi="Courier New"/>
                <w:sz w:val="15"/>
                <w:szCs w:val="15"/>
                <w:color w:val="auto"/>
                <w:w w:val="98"/>
              </w:rPr>
              <w:t>- Reserve for possible loan losses</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(1,224.435)</w:t>
            </w:r>
          </w:p>
        </w:tc>
        <w:tc>
          <w:tcPr>
            <w:tcW w:w="13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(1,190.052)</w:t>
            </w:r>
          </w:p>
        </w:tc>
        <w:tc>
          <w:tcPr>
            <w:tcW w:w="1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(1,120.026)</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(1,456.805)</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($414.572)</w:t>
            </w:r>
          </w:p>
        </w:tc>
      </w:tr>
      <w:tr>
        <w:trPr>
          <w:trHeight w:val="171"/>
        </w:trPr>
        <w:tc>
          <w:tcPr>
            <w:tcW w:w="620" w:type="dxa"/>
            <w:vAlign w:val="bottom"/>
          </w:tcPr>
          <w:p>
            <w:pPr>
              <w:spacing w:after="0"/>
              <w:rPr>
                <w:sz w:val="20"/>
                <w:szCs w:val="20"/>
                <w:color w:val="auto"/>
              </w:rPr>
            </w:pPr>
            <w:r>
              <w:rPr>
                <w:rFonts w:ascii="Courier New" w:cs="Courier New" w:eastAsia="Courier New" w:hAnsi="Courier New"/>
                <w:sz w:val="15"/>
                <w:szCs w:val="15"/>
                <w:color w:val="auto"/>
              </w:rPr>
              <w:t>LOANS</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NET</w:t>
            </w:r>
          </w:p>
        </w:tc>
        <w:tc>
          <w:tcPr>
            <w:tcW w:w="3420" w:type="dxa"/>
            <w:vAlign w:val="bottom"/>
          </w:tcPr>
          <w:p>
            <w:pPr>
              <w:spacing w:after="0"/>
              <w:rPr>
                <w:sz w:val="14"/>
                <w:szCs w:val="14"/>
                <w:color w:val="auto"/>
              </w:rPr>
            </w:pPr>
          </w:p>
        </w:tc>
        <w:tc>
          <w:tcPr>
            <w:tcW w:w="14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11,699.615</w:t>
            </w:r>
          </w:p>
        </w:tc>
        <w:tc>
          <w:tcPr>
            <w:tcW w:w="13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11,693.221</w:t>
            </w: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11,632.018</w:t>
            </w:r>
          </w:p>
        </w:tc>
        <w:tc>
          <w:tcPr>
            <w:tcW w:w="14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14,196.045</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$4,039.853</w:t>
            </w:r>
          </w:p>
        </w:tc>
      </w:tr>
      <w:tr>
        <w:trPr>
          <w:trHeight w:val="171"/>
        </w:trPr>
        <w:tc>
          <w:tcPr>
            <w:tcW w:w="1060" w:type="dxa"/>
            <w:vAlign w:val="bottom"/>
            <w:gridSpan w:val="2"/>
          </w:tcPr>
          <w:p>
            <w:pPr>
              <w:spacing w:after="0"/>
              <w:rPr>
                <w:sz w:val="20"/>
                <w:szCs w:val="20"/>
                <w:color w:val="auto"/>
              </w:rPr>
            </w:pPr>
            <w:r>
              <w:rPr>
                <w:rFonts w:ascii="Courier New" w:cs="Courier New" w:eastAsia="Courier New" w:hAnsi="Courier New"/>
                <w:sz w:val="15"/>
                <w:szCs w:val="15"/>
                <w:color w:val="auto"/>
                <w:w w:val="96"/>
              </w:rPr>
              <w:t>- ----------</w:t>
            </w:r>
          </w:p>
        </w:tc>
        <w:tc>
          <w:tcPr>
            <w:tcW w:w="3420" w:type="dxa"/>
            <w:vAlign w:val="bottom"/>
          </w:tcPr>
          <w:p>
            <w:pPr>
              <w:spacing w:after="0"/>
              <w:rPr>
                <w:sz w:val="14"/>
                <w:szCs w:val="14"/>
                <w:color w:val="auto"/>
              </w:rPr>
            </w:pPr>
          </w:p>
        </w:tc>
        <w:tc>
          <w:tcPr>
            <w:tcW w:w="14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4480" w:type="dxa"/>
            <w:vAlign w:val="bottom"/>
            <w:gridSpan w:val="3"/>
          </w:tcPr>
          <w:p>
            <w:pPr>
              <w:spacing w:after="0"/>
              <w:rPr>
                <w:sz w:val="20"/>
                <w:szCs w:val="20"/>
                <w:color w:val="auto"/>
              </w:rPr>
            </w:pPr>
            <w:r>
              <w:rPr>
                <w:rFonts w:ascii="Courier New" w:cs="Courier New" w:eastAsia="Courier New" w:hAnsi="Courier New"/>
                <w:sz w:val="15"/>
                <w:szCs w:val="15"/>
                <w:color w:val="auto"/>
              </w:rPr>
              <w:t>INVESTMENT SECURITIES AVAILABLE FOR SALE</w:t>
            </w:r>
          </w:p>
        </w:tc>
        <w:tc>
          <w:tcPr>
            <w:tcW w:w="14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328.472</w:t>
            </w:r>
          </w:p>
        </w:tc>
        <w:tc>
          <w:tcPr>
            <w:tcW w:w="13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306.854</w:t>
            </w:r>
          </w:p>
        </w:tc>
        <w:tc>
          <w:tcPr>
            <w:tcW w:w="13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417.496</w:t>
            </w:r>
          </w:p>
        </w:tc>
        <w:tc>
          <w:tcPr>
            <w:tcW w:w="14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416.271</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$118.461</w:t>
            </w:r>
          </w:p>
        </w:tc>
      </w:tr>
      <w:tr>
        <w:trPr>
          <w:trHeight w:val="171"/>
        </w:trPr>
        <w:tc>
          <w:tcPr>
            <w:tcW w:w="4480" w:type="dxa"/>
            <w:vAlign w:val="bottom"/>
            <w:gridSpan w:val="3"/>
          </w:tcPr>
          <w:p>
            <w:pPr>
              <w:spacing w:after="0"/>
              <w:rPr>
                <w:sz w:val="20"/>
                <w:szCs w:val="20"/>
                <w:color w:val="auto"/>
              </w:rPr>
            </w:pPr>
            <w:r>
              <w:rPr>
                <w:rFonts w:ascii="Courier New" w:cs="Courier New" w:eastAsia="Courier New" w:hAnsi="Courier New"/>
                <w:sz w:val="15"/>
                <w:szCs w:val="15"/>
                <w:color w:val="auto"/>
              </w:rPr>
              <w:t>PROPERTY, PLANT and EQUIPMENT, net</w:t>
            </w:r>
          </w:p>
        </w:tc>
        <w:tc>
          <w:tcPr>
            <w:tcW w:w="14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639.567</w:t>
            </w:r>
          </w:p>
        </w:tc>
        <w:tc>
          <w:tcPr>
            <w:tcW w:w="13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655.530</w:t>
            </w:r>
          </w:p>
        </w:tc>
        <w:tc>
          <w:tcPr>
            <w:tcW w:w="13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614.310</w:t>
            </w:r>
          </w:p>
        </w:tc>
        <w:tc>
          <w:tcPr>
            <w:tcW w:w="14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779.203</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$221.742</w:t>
            </w:r>
          </w:p>
        </w:tc>
      </w:tr>
      <w:tr>
        <w:trPr>
          <w:trHeight w:val="171"/>
        </w:trPr>
        <w:tc>
          <w:tcPr>
            <w:tcW w:w="1060" w:type="dxa"/>
            <w:vAlign w:val="bottom"/>
            <w:gridSpan w:val="2"/>
          </w:tcPr>
          <w:p>
            <w:pPr>
              <w:spacing w:after="0"/>
              <w:rPr>
                <w:sz w:val="20"/>
                <w:szCs w:val="20"/>
                <w:color w:val="auto"/>
              </w:rPr>
            </w:pPr>
            <w:r>
              <w:rPr>
                <w:rFonts w:ascii="Courier New" w:cs="Courier New" w:eastAsia="Courier New" w:hAnsi="Courier New"/>
                <w:sz w:val="15"/>
                <w:szCs w:val="15"/>
                <w:color w:val="auto"/>
                <w:w w:val="96"/>
              </w:rPr>
              <w:t>OTHER ASSETS</w:t>
            </w:r>
          </w:p>
        </w:tc>
        <w:tc>
          <w:tcPr>
            <w:tcW w:w="3420" w:type="dxa"/>
            <w:vAlign w:val="bottom"/>
          </w:tcPr>
          <w:p>
            <w:pPr>
              <w:spacing w:after="0"/>
              <w:rPr>
                <w:sz w:val="14"/>
                <w:szCs w:val="14"/>
                <w:color w:val="auto"/>
              </w:rPr>
            </w:pPr>
          </w:p>
        </w:tc>
        <w:tc>
          <w:tcPr>
            <w:tcW w:w="14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963.236</w:t>
            </w:r>
          </w:p>
        </w:tc>
        <w:tc>
          <w:tcPr>
            <w:tcW w:w="13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940.195</w:t>
            </w:r>
          </w:p>
        </w:tc>
        <w:tc>
          <w:tcPr>
            <w:tcW w:w="13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696.907</w:t>
            </w:r>
          </w:p>
        </w:tc>
        <w:tc>
          <w:tcPr>
            <w:tcW w:w="14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890.614</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$253.447</w:t>
            </w:r>
          </w:p>
        </w:tc>
      </w:tr>
      <w:tr>
        <w:trPr>
          <w:trHeight w:val="341"/>
        </w:trPr>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20" w:type="dxa"/>
            <w:vAlign w:val="bottom"/>
          </w:tcPr>
          <w:p>
            <w:pPr>
              <w:jc w:val="center"/>
              <w:ind w:right="1226"/>
              <w:spacing w:after="0"/>
              <w:rPr>
                <w:sz w:val="20"/>
                <w:szCs w:val="20"/>
                <w:color w:val="auto"/>
              </w:rPr>
            </w:pPr>
            <w:r>
              <w:rPr>
                <w:rFonts w:ascii="Courier New" w:cs="Courier New" w:eastAsia="Courier New" w:hAnsi="Courier New"/>
                <w:sz w:val="15"/>
                <w:szCs w:val="15"/>
                <w:color w:val="auto"/>
                <w:w w:val="99"/>
              </w:rPr>
              <w:t>TOTAL ASSETS</w:t>
            </w:r>
          </w:p>
        </w:tc>
        <w:tc>
          <w:tcPr>
            <w:tcW w:w="14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21,943.641</w:t>
            </w:r>
          </w:p>
        </w:tc>
        <w:tc>
          <w:tcPr>
            <w:tcW w:w="13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21,183.487</w:t>
            </w:r>
          </w:p>
        </w:tc>
        <w:tc>
          <w:tcPr>
            <w:tcW w:w="13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21,751.599</w:t>
            </w:r>
          </w:p>
        </w:tc>
        <w:tc>
          <w:tcPr>
            <w:tcW w:w="14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25,516.707</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$7,261.442</w:t>
            </w:r>
          </w:p>
        </w:tc>
      </w:tr>
      <w:tr>
        <w:trPr>
          <w:trHeight w:val="341"/>
        </w:trPr>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20" w:type="dxa"/>
            <w:vAlign w:val="bottom"/>
          </w:tcPr>
          <w:p>
            <w:pPr>
              <w:ind w:left="80"/>
              <w:spacing w:after="0"/>
              <w:rPr>
                <w:sz w:val="20"/>
                <w:szCs w:val="20"/>
                <w:color w:val="auto"/>
              </w:rPr>
            </w:pPr>
            <w:r>
              <w:rPr>
                <w:rFonts w:ascii="Courier New" w:cs="Courier New" w:eastAsia="Courier New" w:hAnsi="Courier New"/>
                <w:sz w:val="15"/>
                <w:szCs w:val="15"/>
                <w:color w:val="auto"/>
              </w:rPr>
              <w:t>LIABILITIES AND SHAREHOLDERS' EQUITY</w:t>
            </w:r>
          </w:p>
        </w:tc>
        <w:tc>
          <w:tcPr>
            <w:tcW w:w="1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1"/>
        </w:trPr>
        <w:tc>
          <w:tcPr>
            <w:tcW w:w="4480" w:type="dxa"/>
            <w:vAlign w:val="bottom"/>
            <w:gridSpan w:val="3"/>
          </w:tcPr>
          <w:p>
            <w:pPr>
              <w:spacing w:after="0"/>
              <w:rPr>
                <w:sz w:val="20"/>
                <w:szCs w:val="20"/>
                <w:color w:val="auto"/>
              </w:rPr>
            </w:pPr>
            <w:r>
              <w:rPr>
                <w:rFonts w:ascii="Courier New" w:cs="Courier New" w:eastAsia="Courier New" w:hAnsi="Courier New"/>
                <w:sz w:val="15"/>
                <w:szCs w:val="15"/>
                <w:color w:val="auto"/>
              </w:rPr>
              <w:t>DEPOSITS AND OBLIGATIONS:</w:t>
            </w:r>
          </w:p>
        </w:tc>
        <w:tc>
          <w:tcPr>
            <w:tcW w:w="14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18,385.034</w:t>
            </w:r>
          </w:p>
        </w:tc>
        <w:tc>
          <w:tcPr>
            <w:tcW w:w="13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17,863.064</w:t>
            </w: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18,370.835</w:t>
            </w:r>
          </w:p>
        </w:tc>
        <w:tc>
          <w:tcPr>
            <w:tcW w:w="14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21,801.940</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$6,204.308</w:t>
            </w:r>
          </w:p>
        </w:tc>
      </w:tr>
      <w:tr>
        <w:trPr>
          <w:trHeight w:val="171"/>
        </w:trPr>
        <w:tc>
          <w:tcPr>
            <w:tcW w:w="1060" w:type="dxa"/>
            <w:vAlign w:val="bottom"/>
            <w:gridSpan w:val="2"/>
          </w:tcPr>
          <w:p>
            <w:pPr>
              <w:spacing w:after="0"/>
              <w:rPr>
                <w:sz w:val="20"/>
                <w:szCs w:val="20"/>
                <w:color w:val="auto"/>
              </w:rPr>
            </w:pPr>
            <w:r>
              <w:rPr>
                <w:rFonts w:ascii="Courier New" w:cs="Courier New" w:eastAsia="Courier New" w:hAnsi="Courier New"/>
                <w:sz w:val="8"/>
                <w:szCs w:val="8"/>
                <w:color w:val="auto"/>
                <w:w w:val="80"/>
              </w:rPr>
              <w:t>- -------------------------</w:t>
            </w:r>
          </w:p>
        </w:tc>
        <w:tc>
          <w:tcPr>
            <w:tcW w:w="3420" w:type="dxa"/>
            <w:vAlign w:val="bottom"/>
          </w:tcPr>
          <w:p>
            <w:pPr>
              <w:spacing w:after="0"/>
              <w:rPr>
                <w:sz w:val="14"/>
                <w:szCs w:val="14"/>
                <w:color w:val="auto"/>
              </w:rPr>
            </w:pPr>
          </w:p>
        </w:tc>
        <w:tc>
          <w:tcPr>
            <w:tcW w:w="14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48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Demand deposits</w:t>
            </w:r>
          </w:p>
        </w:tc>
        <w:tc>
          <w:tcPr>
            <w:tcW w:w="14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3,447.326</w:t>
            </w:r>
          </w:p>
        </w:tc>
        <w:tc>
          <w:tcPr>
            <w:tcW w:w="13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3,764.337</w:t>
            </w:r>
          </w:p>
        </w:tc>
        <w:tc>
          <w:tcPr>
            <w:tcW w:w="13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3,877.574</w:t>
            </w:r>
          </w:p>
        </w:tc>
        <w:tc>
          <w:tcPr>
            <w:tcW w:w="14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4,898.649</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$1,394.038</w:t>
            </w:r>
          </w:p>
        </w:tc>
      </w:tr>
      <w:tr>
        <w:trPr>
          <w:trHeight w:val="171"/>
        </w:trPr>
        <w:tc>
          <w:tcPr>
            <w:tcW w:w="448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Saving accounts</w:t>
            </w:r>
          </w:p>
        </w:tc>
        <w:tc>
          <w:tcPr>
            <w:tcW w:w="14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5,032.635</w:t>
            </w:r>
          </w:p>
        </w:tc>
        <w:tc>
          <w:tcPr>
            <w:tcW w:w="13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5,332.662</w:t>
            </w:r>
          </w:p>
        </w:tc>
        <w:tc>
          <w:tcPr>
            <w:tcW w:w="13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5,200.073</w:t>
            </w:r>
          </w:p>
        </w:tc>
        <w:tc>
          <w:tcPr>
            <w:tcW w:w="14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5,855.263</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$1,666.267</w:t>
            </w:r>
          </w:p>
        </w:tc>
      </w:tr>
      <w:tr>
        <w:trPr>
          <w:trHeight w:val="171"/>
        </w:trPr>
        <w:tc>
          <w:tcPr>
            <w:tcW w:w="448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Time deposits</w:t>
            </w:r>
          </w:p>
        </w:tc>
        <w:tc>
          <w:tcPr>
            <w:tcW w:w="14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9,905.073</w:t>
            </w:r>
          </w:p>
        </w:tc>
        <w:tc>
          <w:tcPr>
            <w:tcW w:w="13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8,766.065</w:t>
            </w:r>
          </w:p>
        </w:tc>
        <w:tc>
          <w:tcPr>
            <w:tcW w:w="13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9,293.188</w:t>
            </w:r>
          </w:p>
        </w:tc>
        <w:tc>
          <w:tcPr>
            <w:tcW w:w="14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11,048.028</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$3,144.003</w:t>
            </w:r>
          </w:p>
        </w:tc>
      </w:tr>
      <w:tr>
        <w:trPr>
          <w:trHeight w:val="341"/>
        </w:trPr>
        <w:tc>
          <w:tcPr>
            <w:tcW w:w="1060" w:type="dxa"/>
            <w:vAlign w:val="bottom"/>
            <w:gridSpan w:val="2"/>
          </w:tcPr>
          <w:p>
            <w:pPr>
              <w:spacing w:after="0"/>
              <w:rPr>
                <w:sz w:val="20"/>
                <w:szCs w:val="20"/>
                <w:color w:val="auto"/>
              </w:rPr>
            </w:pPr>
            <w:r>
              <w:rPr>
                <w:rFonts w:ascii="Courier New" w:cs="Courier New" w:eastAsia="Courier New" w:hAnsi="Courier New"/>
                <w:sz w:val="15"/>
                <w:szCs w:val="15"/>
                <w:color w:val="auto"/>
                <w:w w:val="96"/>
              </w:rPr>
              <w:t>DUE TO BANKS</w:t>
            </w:r>
          </w:p>
        </w:tc>
        <w:tc>
          <w:tcPr>
            <w:tcW w:w="3420" w:type="dxa"/>
            <w:vAlign w:val="bottom"/>
          </w:tcPr>
          <w:p>
            <w:pPr>
              <w:ind w:left="180"/>
              <w:spacing w:after="0"/>
              <w:rPr>
                <w:sz w:val="20"/>
                <w:szCs w:val="20"/>
                <w:color w:val="auto"/>
              </w:rPr>
            </w:pPr>
            <w:r>
              <w:rPr>
                <w:rFonts w:ascii="Courier New" w:cs="Courier New" w:eastAsia="Courier New" w:hAnsi="Courier New"/>
                <w:sz w:val="15"/>
                <w:szCs w:val="15"/>
                <w:color w:val="auto"/>
              </w:rPr>
              <w:t>AND CORRESPONDENTS</w:t>
            </w:r>
          </w:p>
        </w:tc>
        <w:tc>
          <w:tcPr>
            <w:tcW w:w="14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601.491</w:t>
            </w:r>
          </w:p>
        </w:tc>
        <w:tc>
          <w:tcPr>
            <w:tcW w:w="13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480.847</w:t>
            </w:r>
          </w:p>
        </w:tc>
        <w:tc>
          <w:tcPr>
            <w:tcW w:w="13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462.919</w:t>
            </w:r>
          </w:p>
        </w:tc>
        <w:tc>
          <w:tcPr>
            <w:tcW w:w="14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555.226</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$158.004</w:t>
            </w:r>
          </w:p>
        </w:tc>
      </w:tr>
      <w:tr>
        <w:trPr>
          <w:trHeight w:val="171"/>
        </w:trPr>
        <w:tc>
          <w:tcPr>
            <w:tcW w:w="4480" w:type="dxa"/>
            <w:vAlign w:val="bottom"/>
            <w:gridSpan w:val="3"/>
          </w:tcPr>
          <w:p>
            <w:pPr>
              <w:spacing w:after="0"/>
              <w:rPr>
                <w:sz w:val="20"/>
                <w:szCs w:val="20"/>
                <w:color w:val="auto"/>
              </w:rPr>
            </w:pPr>
            <w:r>
              <w:rPr>
                <w:rFonts w:ascii="Courier New" w:cs="Courier New" w:eastAsia="Courier New" w:hAnsi="Courier New"/>
                <w:sz w:val="15"/>
                <w:szCs w:val="15"/>
                <w:color w:val="auto"/>
              </w:rPr>
              <w:t>OTHER LIABILITIES</w:t>
            </w:r>
          </w:p>
        </w:tc>
        <w:tc>
          <w:tcPr>
            <w:tcW w:w="14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1,127.325</w:t>
            </w:r>
          </w:p>
        </w:tc>
        <w:tc>
          <w:tcPr>
            <w:tcW w:w="13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978.421</w:t>
            </w:r>
          </w:p>
        </w:tc>
        <w:tc>
          <w:tcPr>
            <w:tcW w:w="13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965.561</w:t>
            </w:r>
          </w:p>
        </w:tc>
        <w:tc>
          <w:tcPr>
            <w:tcW w:w="14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1,164.888</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$331.499</w:t>
            </w:r>
          </w:p>
        </w:tc>
      </w:tr>
      <w:tr>
        <w:trPr>
          <w:trHeight w:val="341"/>
        </w:trPr>
        <w:tc>
          <w:tcPr>
            <w:tcW w:w="4480" w:type="dxa"/>
            <w:vAlign w:val="bottom"/>
            <w:gridSpan w:val="3"/>
          </w:tcPr>
          <w:p>
            <w:pPr>
              <w:spacing w:after="0"/>
              <w:rPr>
                <w:sz w:val="20"/>
                <w:szCs w:val="20"/>
                <w:color w:val="auto"/>
              </w:rPr>
            </w:pPr>
            <w:r>
              <w:rPr>
                <w:rFonts w:ascii="Courier New" w:cs="Courier New" w:eastAsia="Courier New" w:hAnsi="Courier New"/>
                <w:sz w:val="15"/>
                <w:szCs w:val="15"/>
                <w:color w:val="auto"/>
              </w:rPr>
              <w:t>SHAREHOLDERS EQUITY:</w:t>
            </w:r>
          </w:p>
        </w:tc>
        <w:tc>
          <w:tcPr>
            <w:tcW w:w="14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1,829.791</w:t>
            </w:r>
          </w:p>
        </w:tc>
        <w:tc>
          <w:tcPr>
            <w:tcW w:w="13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1,861.155</w:t>
            </w: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1,952.284</w:t>
            </w:r>
          </w:p>
        </w:tc>
        <w:tc>
          <w:tcPr>
            <w:tcW w:w="14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1,994.653</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$567.630</w:t>
            </w:r>
          </w:p>
        </w:tc>
      </w:tr>
      <w:tr>
        <w:trPr>
          <w:trHeight w:val="171"/>
        </w:trPr>
        <w:tc>
          <w:tcPr>
            <w:tcW w:w="1060" w:type="dxa"/>
            <w:vAlign w:val="bottom"/>
            <w:gridSpan w:val="2"/>
          </w:tcPr>
          <w:p>
            <w:pPr>
              <w:spacing w:after="0"/>
              <w:rPr>
                <w:sz w:val="20"/>
                <w:szCs w:val="20"/>
                <w:color w:val="auto"/>
              </w:rPr>
            </w:pPr>
            <w:r>
              <w:rPr>
                <w:rFonts w:ascii="Courier New" w:cs="Courier New" w:eastAsia="Courier New" w:hAnsi="Courier New"/>
                <w:sz w:val="11"/>
                <w:szCs w:val="11"/>
                <w:color w:val="auto"/>
                <w:w w:val="71"/>
              </w:rPr>
              <w:t>- --------------------</w:t>
            </w:r>
          </w:p>
        </w:tc>
        <w:tc>
          <w:tcPr>
            <w:tcW w:w="3420" w:type="dxa"/>
            <w:vAlign w:val="bottom"/>
          </w:tcPr>
          <w:p>
            <w:pPr>
              <w:spacing w:after="0"/>
              <w:rPr>
                <w:sz w:val="14"/>
                <w:szCs w:val="14"/>
                <w:color w:val="auto"/>
              </w:rPr>
            </w:pPr>
          </w:p>
        </w:tc>
        <w:tc>
          <w:tcPr>
            <w:tcW w:w="14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48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Capital stock</w:t>
            </w:r>
          </w:p>
        </w:tc>
        <w:tc>
          <w:tcPr>
            <w:tcW w:w="14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1,030.424</w:t>
            </w:r>
          </w:p>
        </w:tc>
        <w:tc>
          <w:tcPr>
            <w:tcW w:w="13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1,020.803</w:t>
            </w:r>
          </w:p>
        </w:tc>
        <w:tc>
          <w:tcPr>
            <w:tcW w:w="13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1,094.762</w:t>
            </w:r>
          </w:p>
        </w:tc>
        <w:tc>
          <w:tcPr>
            <w:tcW w:w="14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1,094.677</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$311.519</w:t>
            </w:r>
          </w:p>
        </w:tc>
      </w:tr>
      <w:tr>
        <w:trPr>
          <w:trHeight w:val="171"/>
        </w:trPr>
        <w:tc>
          <w:tcPr>
            <w:tcW w:w="448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Legal reserve</w:t>
            </w:r>
          </w:p>
        </w:tc>
        <w:tc>
          <w:tcPr>
            <w:tcW w:w="14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662.882</w:t>
            </w:r>
          </w:p>
        </w:tc>
        <w:tc>
          <w:tcPr>
            <w:tcW w:w="13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656.862</w:t>
            </w:r>
          </w:p>
        </w:tc>
        <w:tc>
          <w:tcPr>
            <w:tcW w:w="13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647.588</w:t>
            </w:r>
          </w:p>
        </w:tc>
        <w:tc>
          <w:tcPr>
            <w:tcW w:w="14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647.538</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$184.274</w:t>
            </w:r>
          </w:p>
        </w:tc>
      </w:tr>
      <w:tr>
        <w:trPr>
          <w:trHeight w:val="171"/>
        </w:trPr>
        <w:tc>
          <w:tcPr>
            <w:tcW w:w="448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Retained earnings</w:t>
            </w:r>
          </w:p>
        </w:tc>
        <w:tc>
          <w:tcPr>
            <w:tcW w:w="14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136.485</w:t>
            </w:r>
          </w:p>
        </w:tc>
        <w:tc>
          <w:tcPr>
            <w:tcW w:w="13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183.490</w:t>
            </w:r>
          </w:p>
        </w:tc>
        <w:tc>
          <w:tcPr>
            <w:tcW w:w="13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209.934</w:t>
            </w:r>
          </w:p>
        </w:tc>
        <w:tc>
          <w:tcPr>
            <w:tcW w:w="14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252.438</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$71.838</w:t>
            </w:r>
          </w:p>
        </w:tc>
      </w:tr>
      <w:tr>
        <w:trPr>
          <w:trHeight w:val="341"/>
        </w:trPr>
        <w:tc>
          <w:tcPr>
            <w:tcW w:w="620" w:type="dxa"/>
            <w:vAlign w:val="bottom"/>
          </w:tcPr>
          <w:p>
            <w:pPr>
              <w:spacing w:after="0"/>
              <w:rPr>
                <w:sz w:val="24"/>
                <w:szCs w:val="24"/>
                <w:color w:val="auto"/>
              </w:rPr>
            </w:pPr>
          </w:p>
        </w:tc>
        <w:tc>
          <w:tcPr>
            <w:tcW w:w="3860" w:type="dxa"/>
            <w:vAlign w:val="bottom"/>
            <w:gridSpan w:val="2"/>
          </w:tcPr>
          <w:p>
            <w:pPr>
              <w:jc w:val="center"/>
              <w:ind w:right="786"/>
              <w:spacing w:after="0"/>
              <w:rPr>
                <w:sz w:val="20"/>
                <w:szCs w:val="20"/>
                <w:color w:val="auto"/>
              </w:rPr>
            </w:pPr>
            <w:r>
              <w:rPr>
                <w:rFonts w:ascii="Courier New" w:cs="Courier New" w:eastAsia="Courier New" w:hAnsi="Courier New"/>
                <w:sz w:val="15"/>
                <w:szCs w:val="15"/>
                <w:color w:val="auto"/>
                <w:w w:val="98"/>
              </w:rPr>
              <w:t>TOTAL LIABILITIES AND EQUITY</w:t>
            </w:r>
          </w:p>
        </w:tc>
        <w:tc>
          <w:tcPr>
            <w:tcW w:w="14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21,943.641</w:t>
            </w:r>
          </w:p>
        </w:tc>
        <w:tc>
          <w:tcPr>
            <w:tcW w:w="13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21,183.487</w:t>
            </w:r>
          </w:p>
        </w:tc>
        <w:tc>
          <w:tcPr>
            <w:tcW w:w="13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21,751.599</w:t>
            </w:r>
          </w:p>
        </w:tc>
        <w:tc>
          <w:tcPr>
            <w:tcW w:w="14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25,516.707</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$7,261.442</w:t>
            </w:r>
          </w:p>
        </w:tc>
      </w:tr>
      <w:tr>
        <w:trPr>
          <w:trHeight w:val="341"/>
        </w:trPr>
        <w:tc>
          <w:tcPr>
            <w:tcW w:w="448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Contingent Credits</w:t>
            </w:r>
          </w:p>
        </w:tc>
        <w:tc>
          <w:tcPr>
            <w:tcW w:w="14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3,090.155</w:t>
            </w:r>
          </w:p>
        </w:tc>
        <w:tc>
          <w:tcPr>
            <w:tcW w:w="13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3,586.218</w:t>
            </w:r>
          </w:p>
        </w:tc>
        <w:tc>
          <w:tcPr>
            <w:tcW w:w="13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4,501.584</w:t>
            </w:r>
          </w:p>
        </w:tc>
        <w:tc>
          <w:tcPr>
            <w:tcW w:w="14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5,465.242</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$1,555.277</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353" w:lineRule="exact"/>
        <w:rPr>
          <w:sz w:val="20"/>
          <w:szCs w:val="20"/>
          <w:color w:val="auto"/>
        </w:rPr>
      </w:pPr>
    </w:p>
    <w:p>
      <w:pPr>
        <w:ind w:left="3469" w:right="7740" w:hanging="3469"/>
        <w:spacing w:after="0" w:line="553" w:lineRule="auto"/>
        <w:tabs>
          <w:tab w:leader="none" w:pos="452" w:val="left"/>
        </w:tabs>
        <w:numPr>
          <w:ilvl w:val="0"/>
          <w:numId w:val="31"/>
        </w:numPr>
        <w:rPr>
          <w:rFonts w:ascii="Courier New" w:cs="Courier New" w:eastAsia="Courier New" w:hAnsi="Courier New"/>
          <w:sz w:val="13"/>
          <w:szCs w:val="13"/>
          <w:color w:val="auto"/>
        </w:rPr>
      </w:pPr>
      <w:r>
        <w:rPr>
          <w:rFonts w:ascii="Courier New" w:cs="Courier New" w:eastAsia="Courier New" w:hAnsi="Courier New"/>
          <w:sz w:val="13"/>
          <w:szCs w:val="13"/>
          <w:color w:val="auto"/>
        </w:rPr>
        <w:t>Translated at S/.3.514 per US$1.00. 32</w:t>
      </w:r>
    </w:p>
    <w:p>
      <w:pPr>
        <w:sectPr>
          <w:pgSz w:w="11900" w:h="16838" w:orient="portrait"/>
          <w:cols w:equalWidth="0" w:num="1">
            <w:col w:w="11369"/>
          </w:cols>
          <w:pgMar w:left="231" w:top="1311" w:right="299" w:bottom="1440" w:gutter="0" w:footer="0" w:header="0"/>
        </w:sectPr>
      </w:pPr>
    </w:p>
    <w:bookmarkStart w:id="32" w:name="page33"/>
    <w:bookmarkEnd w:id="32"/>
    <w:p>
      <w:pPr>
        <w:ind w:left="1689"/>
        <w:spacing w:after="0"/>
        <w:rPr>
          <w:sz w:val="20"/>
          <w:szCs w:val="20"/>
          <w:color w:val="auto"/>
        </w:rPr>
      </w:pPr>
      <w:r>
        <w:rPr>
          <w:rFonts w:ascii="Courier New" w:cs="Courier New" w:eastAsia="Courier New" w:hAnsi="Courier New"/>
          <w:sz w:val="15"/>
          <w:szCs w:val="15"/>
          <w:color w:val="auto"/>
        </w:rPr>
        <w:t>BANCO DE CREDITO DEL PERU AND SUBSIDIARIES</w:t>
      </w:r>
    </w:p>
    <w:p>
      <w:pPr>
        <w:spacing w:after="0" w:line="1" w:lineRule="exact"/>
        <w:rPr>
          <w:sz w:val="20"/>
          <w:szCs w:val="20"/>
          <w:color w:val="auto"/>
        </w:rPr>
      </w:pPr>
    </w:p>
    <w:p>
      <w:pPr>
        <w:ind w:left="3289"/>
        <w:spacing w:after="0"/>
        <w:rPr>
          <w:sz w:val="20"/>
          <w:szCs w:val="20"/>
          <w:color w:val="auto"/>
        </w:rPr>
      </w:pPr>
      <w:r>
        <w:rPr>
          <w:rFonts w:ascii="Courier New" w:cs="Courier New" w:eastAsia="Courier New" w:hAnsi="Courier New"/>
          <w:sz w:val="15"/>
          <w:szCs w:val="15"/>
          <w:color w:val="auto"/>
        </w:rPr>
        <w:t>Table 5</w:t>
      </w:r>
    </w:p>
    <w:p>
      <w:pPr>
        <w:spacing w:after="0" w:line="1" w:lineRule="exact"/>
        <w:rPr>
          <w:sz w:val="20"/>
          <w:szCs w:val="20"/>
          <w:color w:val="auto"/>
        </w:rPr>
      </w:pPr>
    </w:p>
    <w:p>
      <w:pPr>
        <w:ind w:left="2209"/>
        <w:spacing w:after="0"/>
        <w:rPr>
          <w:sz w:val="20"/>
          <w:szCs w:val="20"/>
          <w:color w:val="auto"/>
        </w:rPr>
      </w:pPr>
      <w:r>
        <w:rPr>
          <w:rFonts w:ascii="Courier New" w:cs="Courier New" w:eastAsia="Courier New" w:hAnsi="Courier New"/>
          <w:sz w:val="15"/>
          <w:szCs w:val="15"/>
          <w:color w:val="auto"/>
        </w:rPr>
        <w:t>CONSOLIDATED INCOME STATEMENTS</w:t>
      </w:r>
    </w:p>
    <w:p>
      <w:pPr>
        <w:spacing w:after="0" w:line="1" w:lineRule="exact"/>
        <w:rPr>
          <w:sz w:val="20"/>
          <w:szCs w:val="20"/>
          <w:color w:val="auto"/>
        </w:rPr>
      </w:pPr>
    </w:p>
    <w:p>
      <w:pPr>
        <w:ind w:left="89"/>
        <w:spacing w:after="0"/>
        <w:rPr>
          <w:sz w:val="20"/>
          <w:szCs w:val="20"/>
          <w:color w:val="auto"/>
        </w:rPr>
      </w:pPr>
      <w:r>
        <w:rPr>
          <w:rFonts w:ascii="Courier New" w:cs="Courier New" w:eastAsia="Courier New" w:hAnsi="Courier New"/>
          <w:sz w:val="15"/>
          <w:szCs w:val="15"/>
          <w:color w:val="auto"/>
        </w:rPr>
        <w:t>(Constant Nuevos Soles, as of December 31, 2002 and U.S. Dollars in thousands)</w:t>
      </w:r>
    </w:p>
    <w:p>
      <w:pPr>
        <w:spacing w:after="0" w:line="342" w:lineRule="exact"/>
        <w:rPr>
          <w:sz w:val="20"/>
          <w:szCs w:val="20"/>
          <w:color w:val="auto"/>
        </w:rPr>
      </w:pPr>
    </w:p>
    <w:p>
      <w:pPr>
        <w:ind w:left="4609"/>
        <w:spacing w:after="0"/>
        <w:tabs>
          <w:tab w:leader="none" w:pos="8669" w:val="left"/>
        </w:tabs>
        <w:rPr>
          <w:sz w:val="20"/>
          <w:szCs w:val="20"/>
          <w:color w:val="auto"/>
        </w:rPr>
      </w:pPr>
      <w:r>
        <w:rPr>
          <w:rFonts w:ascii="Courier New" w:cs="Courier New" w:eastAsia="Courier New" w:hAnsi="Courier New"/>
          <w:sz w:val="15"/>
          <w:szCs w:val="15"/>
          <w:color w:val="auto"/>
        </w:rPr>
        <w:t>Three months ended</w:t>
      </w:r>
      <w:r>
        <w:rPr>
          <w:sz w:val="20"/>
          <w:szCs w:val="20"/>
          <w:color w:val="auto"/>
        </w:rPr>
        <w:tab/>
      </w:r>
      <w:r>
        <w:rPr>
          <w:rFonts w:ascii="Courier New" w:cs="Courier New" w:eastAsia="Courier New" w:hAnsi="Courier New"/>
          <w:sz w:val="14"/>
          <w:szCs w:val="14"/>
          <w:color w:val="auto"/>
        </w:rPr>
        <w:t>Twelve months ended</w:t>
      </w:r>
    </w:p>
    <w:p>
      <w:pPr>
        <w:spacing w:after="0" w:line="1" w:lineRule="exact"/>
        <w:rPr>
          <w:sz w:val="20"/>
          <w:szCs w:val="20"/>
          <w:color w:val="auto"/>
        </w:rPr>
      </w:pPr>
    </w:p>
    <w:p>
      <w:pPr>
        <w:ind w:left="318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549"/>
        <w:spacing w:after="0"/>
        <w:tabs>
          <w:tab w:leader="none" w:pos="4689" w:val="left"/>
          <w:tab w:leader="none" w:pos="5829" w:val="left"/>
          <w:tab w:leader="none" w:pos="6989" w:val="left"/>
          <w:tab w:leader="none" w:pos="8149" w:val="left"/>
          <w:tab w:leader="none" w:pos="9389" w:val="left"/>
          <w:tab w:leader="none" w:pos="10549" w:val="left"/>
        </w:tabs>
        <w:rPr>
          <w:sz w:val="20"/>
          <w:szCs w:val="20"/>
          <w:color w:val="auto"/>
        </w:rPr>
      </w:pPr>
      <w:r>
        <w:rPr>
          <w:rFonts w:ascii="Courier New" w:cs="Courier New" w:eastAsia="Courier New" w:hAnsi="Courier New"/>
          <w:sz w:val="15"/>
          <w:szCs w:val="15"/>
          <w:color w:val="auto"/>
        </w:rPr>
        <w:t>31.12.01</w:t>
      </w:r>
      <w:r>
        <w:rPr>
          <w:sz w:val="20"/>
          <w:szCs w:val="20"/>
          <w:color w:val="auto"/>
        </w:rPr>
        <w:tab/>
      </w:r>
      <w:r>
        <w:rPr>
          <w:rFonts w:ascii="Courier New" w:cs="Courier New" w:eastAsia="Courier New" w:hAnsi="Courier New"/>
          <w:sz w:val="15"/>
          <w:szCs w:val="15"/>
          <w:color w:val="auto"/>
        </w:rPr>
        <w:t>30.09.02</w:t>
      </w:r>
      <w:r>
        <w:rPr>
          <w:sz w:val="20"/>
          <w:szCs w:val="20"/>
          <w:color w:val="auto"/>
        </w:rPr>
        <w:tab/>
      </w:r>
      <w:r>
        <w:rPr>
          <w:rFonts w:ascii="Courier New" w:cs="Courier New" w:eastAsia="Courier New" w:hAnsi="Courier New"/>
          <w:sz w:val="15"/>
          <w:szCs w:val="15"/>
          <w:color w:val="auto"/>
        </w:rPr>
        <w:t>31.12.02</w:t>
      </w:r>
      <w:r>
        <w:rPr>
          <w:sz w:val="20"/>
          <w:szCs w:val="20"/>
          <w:color w:val="auto"/>
        </w:rPr>
        <w:tab/>
      </w:r>
      <w:r>
        <w:rPr>
          <w:rFonts w:ascii="Courier New" w:cs="Courier New" w:eastAsia="Courier New" w:hAnsi="Courier New"/>
          <w:sz w:val="15"/>
          <w:szCs w:val="15"/>
          <w:color w:val="auto"/>
        </w:rPr>
        <w:t>31.12.02</w:t>
      </w:r>
      <w:r>
        <w:rPr>
          <w:sz w:val="20"/>
          <w:szCs w:val="20"/>
          <w:color w:val="auto"/>
        </w:rPr>
        <w:tab/>
      </w:r>
      <w:r>
        <w:rPr>
          <w:rFonts w:ascii="Courier New" w:cs="Courier New" w:eastAsia="Courier New" w:hAnsi="Courier New"/>
          <w:sz w:val="15"/>
          <w:szCs w:val="15"/>
          <w:color w:val="auto"/>
        </w:rPr>
        <w:t>31.12.01</w:t>
      </w:r>
      <w:r>
        <w:rPr>
          <w:sz w:val="20"/>
          <w:szCs w:val="20"/>
          <w:color w:val="auto"/>
        </w:rPr>
        <w:tab/>
      </w:r>
      <w:r>
        <w:rPr>
          <w:rFonts w:ascii="Courier New" w:cs="Courier New" w:eastAsia="Courier New" w:hAnsi="Courier New"/>
          <w:sz w:val="15"/>
          <w:szCs w:val="15"/>
          <w:color w:val="auto"/>
        </w:rPr>
        <w:t>31.12.02</w:t>
      </w:r>
      <w:r>
        <w:rPr>
          <w:sz w:val="20"/>
          <w:szCs w:val="20"/>
          <w:color w:val="auto"/>
        </w:rPr>
        <w:tab/>
      </w:r>
      <w:r>
        <w:rPr>
          <w:rFonts w:ascii="Courier New" w:cs="Courier New" w:eastAsia="Courier New" w:hAnsi="Courier New"/>
          <w:sz w:val="14"/>
          <w:szCs w:val="14"/>
          <w:color w:val="auto"/>
        </w:rPr>
        <w:t>31.12.02</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540" w:type="dxa"/>
            <w:vAlign w:val="bottom"/>
          </w:tcPr>
          <w:p>
            <w:pPr>
              <w:spacing w:after="0"/>
              <w:rPr>
                <w:sz w:val="20"/>
                <w:szCs w:val="20"/>
                <w:color w:val="auto"/>
              </w:rPr>
            </w:pPr>
            <w:r>
              <w:rPr>
                <w:rFonts w:ascii="Courier New" w:cs="Courier New" w:eastAsia="Courier New" w:hAnsi="Courier New"/>
                <w:sz w:val="15"/>
                <w:szCs w:val="15"/>
                <w:color w:val="auto"/>
              </w:rPr>
              <w:t>Interest income and expense</w:t>
            </w: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US$000(1)</w:t>
            </w:r>
          </w:p>
        </w:tc>
        <w:tc>
          <w:tcPr>
            <w:tcW w:w="1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US$000(1)</w:t>
            </w:r>
          </w:p>
        </w:tc>
      </w:tr>
      <w:tr>
        <w:trPr>
          <w:trHeight w:val="171"/>
        </w:trPr>
        <w:tc>
          <w:tcPr>
            <w:tcW w:w="3540" w:type="dxa"/>
            <w:vAlign w:val="bottom"/>
          </w:tcPr>
          <w:p>
            <w:pPr>
              <w:ind w:left="160"/>
              <w:spacing w:after="0"/>
              <w:rPr>
                <w:sz w:val="20"/>
                <w:szCs w:val="20"/>
                <w:color w:val="auto"/>
              </w:rPr>
            </w:pPr>
            <w:r>
              <w:rPr>
                <w:rFonts w:ascii="Courier New" w:cs="Courier New" w:eastAsia="Courier New" w:hAnsi="Courier New"/>
                <w:sz w:val="15"/>
                <w:szCs w:val="15"/>
                <w:color w:val="auto"/>
              </w:rPr>
              <w:t>Interest income</w:t>
            </w: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452.494</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383.104</w:t>
            </w:r>
          </w:p>
        </w:tc>
        <w:tc>
          <w:tcPr>
            <w:tcW w:w="11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408.542</w:t>
            </w:r>
          </w:p>
        </w:tc>
        <w:tc>
          <w:tcPr>
            <w:tcW w:w="11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$116.261</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2,038.782</w:t>
            </w:r>
          </w:p>
        </w:tc>
        <w:tc>
          <w:tcPr>
            <w:tcW w:w="12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1,599.738</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$455.247</w:t>
            </w:r>
          </w:p>
        </w:tc>
      </w:tr>
      <w:tr>
        <w:trPr>
          <w:trHeight w:val="171"/>
        </w:trPr>
        <w:tc>
          <w:tcPr>
            <w:tcW w:w="3540" w:type="dxa"/>
            <w:vAlign w:val="bottom"/>
          </w:tcPr>
          <w:p>
            <w:pPr>
              <w:ind w:left="160"/>
              <w:spacing w:after="0"/>
              <w:rPr>
                <w:sz w:val="20"/>
                <w:szCs w:val="20"/>
                <w:color w:val="auto"/>
              </w:rPr>
            </w:pPr>
            <w:r>
              <w:rPr>
                <w:rFonts w:ascii="Courier New" w:cs="Courier New" w:eastAsia="Courier New" w:hAnsi="Courier New"/>
                <w:sz w:val="15"/>
                <w:szCs w:val="15"/>
                <w:color w:val="auto"/>
              </w:rPr>
              <w:t>Less - Interest expense</w:t>
            </w: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163.131</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121.155</w:t>
            </w:r>
          </w:p>
        </w:tc>
        <w:tc>
          <w:tcPr>
            <w:tcW w:w="11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126.765</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$36.074</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874.446</w:t>
            </w:r>
          </w:p>
        </w:tc>
        <w:tc>
          <w:tcPr>
            <w:tcW w:w="12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501.581</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$142.738</w:t>
            </w:r>
          </w:p>
        </w:tc>
      </w:tr>
      <w:tr>
        <w:trPr>
          <w:trHeight w:val="171"/>
        </w:trPr>
        <w:tc>
          <w:tcPr>
            <w:tcW w:w="3540" w:type="dxa"/>
            <w:vAlign w:val="bottom"/>
          </w:tcPr>
          <w:p>
            <w:pPr>
              <w:spacing w:after="0"/>
              <w:rPr>
                <w:sz w:val="14"/>
                <w:szCs w:val="14"/>
                <w:color w:val="auto"/>
              </w:rPr>
            </w:pP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7"/>
              </w:rPr>
              <w:t>--------</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3540" w:type="dxa"/>
            <w:vAlign w:val="bottom"/>
          </w:tcPr>
          <w:p>
            <w:pPr>
              <w:ind w:left="700"/>
              <w:spacing w:after="0"/>
              <w:rPr>
                <w:sz w:val="20"/>
                <w:szCs w:val="20"/>
                <w:color w:val="auto"/>
              </w:rPr>
            </w:pPr>
            <w:r>
              <w:rPr>
                <w:rFonts w:ascii="Courier New" w:cs="Courier New" w:eastAsia="Courier New" w:hAnsi="Courier New"/>
                <w:sz w:val="15"/>
                <w:szCs w:val="15"/>
                <w:color w:val="auto"/>
              </w:rPr>
              <w:t>Net interest income</w:t>
            </w: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289.363</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261.949</w:t>
            </w:r>
          </w:p>
        </w:tc>
        <w:tc>
          <w:tcPr>
            <w:tcW w:w="11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281.777</w:t>
            </w:r>
          </w:p>
        </w:tc>
        <w:tc>
          <w:tcPr>
            <w:tcW w:w="11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$80.187</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1,164.336</w:t>
            </w:r>
          </w:p>
        </w:tc>
        <w:tc>
          <w:tcPr>
            <w:tcW w:w="12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1,098.157</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$312.509</w:t>
            </w:r>
          </w:p>
        </w:tc>
      </w:tr>
      <w:tr>
        <w:trPr>
          <w:trHeight w:val="341"/>
        </w:trPr>
        <w:tc>
          <w:tcPr>
            <w:tcW w:w="4560" w:type="dxa"/>
            <w:vAlign w:val="bottom"/>
            <w:gridSpan w:val="2"/>
          </w:tcPr>
          <w:p>
            <w:pPr>
              <w:spacing w:after="0"/>
              <w:rPr>
                <w:sz w:val="20"/>
                <w:szCs w:val="20"/>
                <w:color w:val="auto"/>
              </w:rPr>
            </w:pPr>
            <w:r>
              <w:rPr>
                <w:rFonts w:ascii="Courier New" w:cs="Courier New" w:eastAsia="Courier New" w:hAnsi="Courier New"/>
                <w:sz w:val="15"/>
                <w:szCs w:val="15"/>
                <w:color w:val="auto"/>
              </w:rPr>
              <w:t>Provisions for possible loan losses, net 113.747</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110.083</w:t>
            </w:r>
          </w:p>
        </w:tc>
        <w:tc>
          <w:tcPr>
            <w:tcW w:w="11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69.020</w:t>
            </w:r>
          </w:p>
        </w:tc>
        <w:tc>
          <w:tcPr>
            <w:tcW w:w="11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$19.641</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428.452</w:t>
            </w:r>
          </w:p>
        </w:tc>
        <w:tc>
          <w:tcPr>
            <w:tcW w:w="12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369.720</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$105.213</w:t>
            </w:r>
          </w:p>
        </w:tc>
      </w:tr>
      <w:tr>
        <w:trPr>
          <w:trHeight w:val="341"/>
        </w:trPr>
        <w:tc>
          <w:tcPr>
            <w:tcW w:w="3540" w:type="dxa"/>
            <w:vAlign w:val="bottom"/>
          </w:tcPr>
          <w:p>
            <w:pPr>
              <w:spacing w:after="0"/>
              <w:rPr>
                <w:sz w:val="20"/>
                <w:szCs w:val="20"/>
                <w:color w:val="auto"/>
              </w:rPr>
            </w:pPr>
            <w:r>
              <w:rPr>
                <w:rFonts w:ascii="Courier New" w:cs="Courier New" w:eastAsia="Courier New" w:hAnsi="Courier New"/>
                <w:sz w:val="15"/>
                <w:szCs w:val="15"/>
                <w:color w:val="auto"/>
              </w:rPr>
              <w:t>Net interest income after provisions</w:t>
            </w: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175.616</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151.866</w:t>
            </w:r>
          </w:p>
        </w:tc>
        <w:tc>
          <w:tcPr>
            <w:tcW w:w="11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212.757</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$60.546</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735.884</w:t>
            </w:r>
          </w:p>
        </w:tc>
        <w:tc>
          <w:tcPr>
            <w:tcW w:w="12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728.437</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$207.296</w:t>
            </w:r>
          </w:p>
        </w:tc>
      </w:tr>
      <w:tr>
        <w:trPr>
          <w:trHeight w:val="171"/>
        </w:trPr>
        <w:tc>
          <w:tcPr>
            <w:tcW w:w="35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3540" w:type="dxa"/>
            <w:vAlign w:val="bottom"/>
          </w:tcPr>
          <w:p>
            <w:pPr>
              <w:spacing w:after="0"/>
              <w:rPr>
                <w:sz w:val="20"/>
                <w:szCs w:val="20"/>
                <w:color w:val="auto"/>
              </w:rPr>
            </w:pPr>
            <w:r>
              <w:rPr>
                <w:rFonts w:ascii="Courier New" w:cs="Courier New" w:eastAsia="Courier New" w:hAnsi="Courier New"/>
                <w:sz w:val="15"/>
                <w:szCs w:val="15"/>
                <w:color w:val="auto"/>
              </w:rPr>
              <w:t>Other Income</w:t>
            </w:r>
          </w:p>
        </w:tc>
        <w:tc>
          <w:tcPr>
            <w:tcW w:w="10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1"/>
        </w:trPr>
        <w:tc>
          <w:tcPr>
            <w:tcW w:w="3540" w:type="dxa"/>
            <w:vAlign w:val="bottom"/>
          </w:tcPr>
          <w:p>
            <w:pPr>
              <w:ind w:left="160"/>
              <w:spacing w:after="0"/>
              <w:rPr>
                <w:sz w:val="20"/>
                <w:szCs w:val="20"/>
                <w:color w:val="auto"/>
              </w:rPr>
            </w:pPr>
            <w:r>
              <w:rPr>
                <w:rFonts w:ascii="Courier New" w:cs="Courier New" w:eastAsia="Courier New" w:hAnsi="Courier New"/>
                <w:sz w:val="15"/>
                <w:szCs w:val="15"/>
                <w:color w:val="auto"/>
              </w:rPr>
              <w:t>Fees and commissions from services</w:t>
            </w: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130.244</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151.740</w:t>
            </w:r>
          </w:p>
        </w:tc>
        <w:tc>
          <w:tcPr>
            <w:tcW w:w="11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148.494</w:t>
            </w:r>
          </w:p>
        </w:tc>
        <w:tc>
          <w:tcPr>
            <w:tcW w:w="11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$42.258</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500.880</w:t>
            </w:r>
          </w:p>
        </w:tc>
        <w:tc>
          <w:tcPr>
            <w:tcW w:w="12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569.510</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$162.069</w:t>
            </w:r>
          </w:p>
        </w:tc>
      </w:tr>
      <w:tr>
        <w:trPr>
          <w:trHeight w:val="171"/>
        </w:trPr>
        <w:tc>
          <w:tcPr>
            <w:tcW w:w="3540" w:type="dxa"/>
            <w:vAlign w:val="bottom"/>
          </w:tcPr>
          <w:p>
            <w:pPr>
              <w:ind w:left="160"/>
              <w:spacing w:after="0"/>
              <w:rPr>
                <w:sz w:val="20"/>
                <w:szCs w:val="20"/>
                <w:color w:val="auto"/>
              </w:rPr>
            </w:pPr>
            <w:r>
              <w:rPr>
                <w:rFonts w:ascii="Courier New" w:cs="Courier New" w:eastAsia="Courier New" w:hAnsi="Courier New"/>
                <w:sz w:val="15"/>
                <w:szCs w:val="15"/>
                <w:color w:val="auto"/>
              </w:rPr>
              <w:t>Net gains from sales of securities</w:t>
            </w: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21.171</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1.074</w:t>
            </w:r>
          </w:p>
        </w:tc>
        <w:tc>
          <w:tcPr>
            <w:tcW w:w="11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4.748</w:t>
            </w:r>
          </w:p>
        </w:tc>
        <w:tc>
          <w:tcPr>
            <w:tcW w:w="11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$1.351</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35.766</w:t>
            </w:r>
          </w:p>
        </w:tc>
        <w:tc>
          <w:tcPr>
            <w:tcW w:w="12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30.463</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$8.669</w:t>
            </w:r>
          </w:p>
        </w:tc>
      </w:tr>
      <w:tr>
        <w:trPr>
          <w:trHeight w:val="171"/>
        </w:trPr>
        <w:tc>
          <w:tcPr>
            <w:tcW w:w="3540" w:type="dxa"/>
            <w:vAlign w:val="bottom"/>
          </w:tcPr>
          <w:p>
            <w:pPr>
              <w:ind w:left="160"/>
              <w:spacing w:after="0"/>
              <w:rPr>
                <w:sz w:val="20"/>
                <w:szCs w:val="20"/>
                <w:color w:val="auto"/>
              </w:rPr>
            </w:pPr>
            <w:r>
              <w:rPr>
                <w:rFonts w:ascii="Courier New" w:cs="Courier New" w:eastAsia="Courier New" w:hAnsi="Courier New"/>
                <w:sz w:val="15"/>
                <w:szCs w:val="15"/>
                <w:color w:val="auto"/>
                <w:w w:val="98"/>
              </w:rPr>
              <w:t>Net gains on foreing exchg. transacts.</w:t>
            </w: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15.630</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19.071</w:t>
            </w:r>
          </w:p>
        </w:tc>
        <w:tc>
          <w:tcPr>
            <w:tcW w:w="11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23.508</w:t>
            </w:r>
          </w:p>
        </w:tc>
        <w:tc>
          <w:tcPr>
            <w:tcW w:w="11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$6.690</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61.499</w:t>
            </w:r>
          </w:p>
        </w:tc>
        <w:tc>
          <w:tcPr>
            <w:tcW w:w="12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76.526</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$21.777</w:t>
            </w:r>
          </w:p>
        </w:tc>
      </w:tr>
      <w:tr>
        <w:trPr>
          <w:trHeight w:val="171"/>
        </w:trPr>
        <w:tc>
          <w:tcPr>
            <w:tcW w:w="3540" w:type="dxa"/>
            <w:vAlign w:val="bottom"/>
          </w:tcPr>
          <w:p>
            <w:pPr>
              <w:ind w:left="160"/>
              <w:spacing w:after="0"/>
              <w:rPr>
                <w:sz w:val="20"/>
                <w:szCs w:val="20"/>
                <w:color w:val="auto"/>
              </w:rPr>
            </w:pPr>
            <w:r>
              <w:rPr>
                <w:rFonts w:ascii="Courier New" w:cs="Courier New" w:eastAsia="Courier New" w:hAnsi="Courier New"/>
                <w:sz w:val="15"/>
                <w:szCs w:val="15"/>
                <w:color w:val="auto"/>
              </w:rPr>
              <w:t>Other income</w:t>
            </w: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22.731</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23.211</w:t>
            </w:r>
          </w:p>
        </w:tc>
        <w:tc>
          <w:tcPr>
            <w:tcW w:w="11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35.626</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$10.138</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77.693</w:t>
            </w:r>
          </w:p>
        </w:tc>
        <w:tc>
          <w:tcPr>
            <w:tcW w:w="12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101.848</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$28.983</w:t>
            </w:r>
          </w:p>
        </w:tc>
      </w:tr>
      <w:tr>
        <w:trPr>
          <w:trHeight w:val="171"/>
        </w:trPr>
        <w:tc>
          <w:tcPr>
            <w:tcW w:w="3540" w:type="dxa"/>
            <w:vAlign w:val="bottom"/>
          </w:tcPr>
          <w:p>
            <w:pPr>
              <w:spacing w:after="0"/>
              <w:rPr>
                <w:sz w:val="14"/>
                <w:szCs w:val="14"/>
                <w:color w:val="auto"/>
              </w:rPr>
            </w:pP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3540" w:type="dxa"/>
            <w:vAlign w:val="bottom"/>
          </w:tcPr>
          <w:p>
            <w:pPr>
              <w:spacing w:after="0"/>
              <w:rPr>
                <w:sz w:val="14"/>
                <w:szCs w:val="14"/>
                <w:color w:val="auto"/>
              </w:rPr>
            </w:pP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189.776</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195.096</w:t>
            </w:r>
          </w:p>
        </w:tc>
        <w:tc>
          <w:tcPr>
            <w:tcW w:w="11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212.376</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$60.437</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675.838</w:t>
            </w:r>
          </w:p>
        </w:tc>
        <w:tc>
          <w:tcPr>
            <w:tcW w:w="12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778.347</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$221.499</w:t>
            </w:r>
          </w:p>
        </w:tc>
      </w:tr>
      <w:tr>
        <w:trPr>
          <w:trHeight w:val="171"/>
        </w:trPr>
        <w:tc>
          <w:tcPr>
            <w:tcW w:w="3540" w:type="dxa"/>
            <w:vAlign w:val="bottom"/>
          </w:tcPr>
          <w:p>
            <w:pPr>
              <w:spacing w:after="0"/>
              <w:rPr>
                <w:sz w:val="14"/>
                <w:szCs w:val="14"/>
                <w:color w:val="auto"/>
              </w:rPr>
            </w:pP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7"/>
              </w:rPr>
              <w:t>--------</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341"/>
        </w:trPr>
        <w:tc>
          <w:tcPr>
            <w:tcW w:w="3540" w:type="dxa"/>
            <w:vAlign w:val="bottom"/>
          </w:tcPr>
          <w:p>
            <w:pPr>
              <w:spacing w:after="0"/>
              <w:rPr>
                <w:sz w:val="20"/>
                <w:szCs w:val="20"/>
                <w:color w:val="auto"/>
              </w:rPr>
            </w:pPr>
            <w:r>
              <w:rPr>
                <w:rFonts w:ascii="Courier New" w:cs="Courier New" w:eastAsia="Courier New" w:hAnsi="Courier New"/>
                <w:sz w:val="15"/>
                <w:szCs w:val="15"/>
                <w:color w:val="auto"/>
              </w:rPr>
              <w:t>Other Expenses</w:t>
            </w:r>
          </w:p>
        </w:tc>
        <w:tc>
          <w:tcPr>
            <w:tcW w:w="10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1"/>
        </w:trPr>
        <w:tc>
          <w:tcPr>
            <w:tcW w:w="3540" w:type="dxa"/>
            <w:vAlign w:val="bottom"/>
          </w:tcPr>
          <w:p>
            <w:pPr>
              <w:ind w:left="160"/>
              <w:spacing w:after="0"/>
              <w:rPr>
                <w:sz w:val="20"/>
                <w:szCs w:val="20"/>
                <w:color w:val="auto"/>
              </w:rPr>
            </w:pPr>
            <w:r>
              <w:rPr>
                <w:rFonts w:ascii="Courier New" w:cs="Courier New" w:eastAsia="Courier New" w:hAnsi="Courier New"/>
                <w:sz w:val="15"/>
                <w:szCs w:val="15"/>
                <w:color w:val="auto"/>
              </w:rPr>
              <w:t>Salaries and employee benefits</w:t>
            </w: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119.531</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128.577</w:t>
            </w:r>
          </w:p>
        </w:tc>
        <w:tc>
          <w:tcPr>
            <w:tcW w:w="11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147.526</w:t>
            </w:r>
          </w:p>
        </w:tc>
        <w:tc>
          <w:tcPr>
            <w:tcW w:w="11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$41.982</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480.365</w:t>
            </w:r>
          </w:p>
        </w:tc>
        <w:tc>
          <w:tcPr>
            <w:tcW w:w="12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534.229</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$152.029</w:t>
            </w:r>
          </w:p>
        </w:tc>
      </w:tr>
      <w:tr>
        <w:trPr>
          <w:trHeight w:val="171"/>
        </w:trPr>
        <w:tc>
          <w:tcPr>
            <w:tcW w:w="3540" w:type="dxa"/>
            <w:vAlign w:val="bottom"/>
          </w:tcPr>
          <w:p>
            <w:pPr>
              <w:ind w:left="160"/>
              <w:spacing w:after="0"/>
              <w:rPr>
                <w:sz w:val="20"/>
                <w:szCs w:val="20"/>
                <w:color w:val="auto"/>
              </w:rPr>
            </w:pPr>
            <w:r>
              <w:rPr>
                <w:rFonts w:ascii="Courier New" w:cs="Courier New" w:eastAsia="Courier New" w:hAnsi="Courier New"/>
                <w:sz w:val="15"/>
                <w:szCs w:val="15"/>
                <w:color w:val="auto"/>
              </w:rPr>
              <w:t>General and administrative</w:t>
            </w: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88.905</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103.087</w:t>
            </w:r>
          </w:p>
        </w:tc>
        <w:tc>
          <w:tcPr>
            <w:tcW w:w="11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111.076</w:t>
            </w:r>
          </w:p>
        </w:tc>
        <w:tc>
          <w:tcPr>
            <w:tcW w:w="11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$31.610</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343.618</w:t>
            </w:r>
          </w:p>
        </w:tc>
        <w:tc>
          <w:tcPr>
            <w:tcW w:w="12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389.607</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$110.873</w:t>
            </w:r>
          </w:p>
        </w:tc>
      </w:tr>
      <w:tr>
        <w:trPr>
          <w:trHeight w:val="171"/>
        </w:trPr>
        <w:tc>
          <w:tcPr>
            <w:tcW w:w="3540" w:type="dxa"/>
            <w:vAlign w:val="bottom"/>
          </w:tcPr>
          <w:p>
            <w:pPr>
              <w:ind w:left="160"/>
              <w:spacing w:after="0"/>
              <w:rPr>
                <w:sz w:val="20"/>
                <w:szCs w:val="20"/>
                <w:color w:val="auto"/>
              </w:rPr>
            </w:pPr>
            <w:r>
              <w:rPr>
                <w:rFonts w:ascii="Courier New" w:cs="Courier New" w:eastAsia="Courier New" w:hAnsi="Courier New"/>
                <w:sz w:val="15"/>
                <w:szCs w:val="15"/>
                <w:color w:val="auto"/>
              </w:rPr>
              <w:t>Depreciation and amortization</w:t>
            </w: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29.268</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29.137</w:t>
            </w:r>
          </w:p>
        </w:tc>
        <w:tc>
          <w:tcPr>
            <w:tcW w:w="11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28.999</w:t>
            </w:r>
          </w:p>
        </w:tc>
        <w:tc>
          <w:tcPr>
            <w:tcW w:w="11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$8.252</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118.651</w:t>
            </w:r>
          </w:p>
        </w:tc>
        <w:tc>
          <w:tcPr>
            <w:tcW w:w="12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117.163</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$33.342</w:t>
            </w:r>
          </w:p>
        </w:tc>
      </w:tr>
      <w:tr>
        <w:trPr>
          <w:trHeight w:val="171"/>
        </w:trPr>
        <w:tc>
          <w:tcPr>
            <w:tcW w:w="3540" w:type="dxa"/>
            <w:vAlign w:val="bottom"/>
          </w:tcPr>
          <w:p>
            <w:pPr>
              <w:ind w:left="160"/>
              <w:spacing w:after="0"/>
              <w:rPr>
                <w:sz w:val="20"/>
                <w:szCs w:val="20"/>
                <w:color w:val="auto"/>
              </w:rPr>
            </w:pPr>
            <w:r>
              <w:rPr>
                <w:rFonts w:ascii="Courier New" w:cs="Courier New" w:eastAsia="Courier New" w:hAnsi="Courier New"/>
                <w:sz w:val="15"/>
                <w:szCs w:val="15"/>
                <w:color w:val="auto"/>
              </w:rPr>
              <w:t>Taxes other than income tax</w:t>
            </w: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9.282</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8.646</w:t>
            </w:r>
          </w:p>
        </w:tc>
        <w:tc>
          <w:tcPr>
            <w:tcW w:w="11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9.305</w:t>
            </w:r>
          </w:p>
        </w:tc>
        <w:tc>
          <w:tcPr>
            <w:tcW w:w="11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$2.648</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40.249</w:t>
            </w:r>
          </w:p>
        </w:tc>
        <w:tc>
          <w:tcPr>
            <w:tcW w:w="12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34.610</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$9.849</w:t>
            </w:r>
          </w:p>
        </w:tc>
      </w:tr>
      <w:tr>
        <w:trPr>
          <w:trHeight w:val="171"/>
        </w:trPr>
        <w:tc>
          <w:tcPr>
            <w:tcW w:w="3540" w:type="dxa"/>
            <w:vAlign w:val="bottom"/>
          </w:tcPr>
          <w:p>
            <w:pPr>
              <w:ind w:left="160"/>
              <w:spacing w:after="0"/>
              <w:rPr>
                <w:sz w:val="20"/>
                <w:szCs w:val="20"/>
                <w:color w:val="auto"/>
              </w:rPr>
            </w:pPr>
            <w:r>
              <w:rPr>
                <w:rFonts w:ascii="Courier New" w:cs="Courier New" w:eastAsia="Courier New" w:hAnsi="Courier New"/>
                <w:sz w:val="15"/>
                <w:szCs w:val="15"/>
                <w:color w:val="auto"/>
              </w:rPr>
              <w:t>Other</w:t>
            </w: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48.919</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21.743</w:t>
            </w:r>
          </w:p>
        </w:tc>
        <w:tc>
          <w:tcPr>
            <w:tcW w:w="11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29.790</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$8.478</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162.907</w:t>
            </w:r>
          </w:p>
        </w:tc>
        <w:tc>
          <w:tcPr>
            <w:tcW w:w="12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125.901</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$35.828</w:t>
            </w:r>
          </w:p>
        </w:tc>
      </w:tr>
      <w:tr>
        <w:trPr>
          <w:trHeight w:val="171"/>
        </w:trPr>
        <w:tc>
          <w:tcPr>
            <w:tcW w:w="3540" w:type="dxa"/>
            <w:vAlign w:val="bottom"/>
          </w:tcPr>
          <w:p>
            <w:pPr>
              <w:spacing w:after="0"/>
              <w:rPr>
                <w:sz w:val="14"/>
                <w:szCs w:val="14"/>
                <w:color w:val="auto"/>
              </w:rPr>
            </w:pP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3540" w:type="dxa"/>
            <w:vAlign w:val="bottom"/>
          </w:tcPr>
          <w:p>
            <w:pPr>
              <w:spacing w:after="0"/>
              <w:rPr>
                <w:sz w:val="14"/>
                <w:szCs w:val="14"/>
                <w:color w:val="auto"/>
              </w:rPr>
            </w:pP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295.905</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291.190</w:t>
            </w:r>
          </w:p>
        </w:tc>
        <w:tc>
          <w:tcPr>
            <w:tcW w:w="11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326.696</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$92.970</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1,145.790</w:t>
            </w:r>
          </w:p>
        </w:tc>
        <w:tc>
          <w:tcPr>
            <w:tcW w:w="12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1,201.510</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$341.921</w:t>
            </w:r>
          </w:p>
        </w:tc>
      </w:tr>
      <w:tr>
        <w:trPr>
          <w:trHeight w:val="171"/>
        </w:trPr>
        <w:tc>
          <w:tcPr>
            <w:tcW w:w="3540" w:type="dxa"/>
            <w:vAlign w:val="bottom"/>
          </w:tcPr>
          <w:p>
            <w:pPr>
              <w:spacing w:after="0"/>
              <w:rPr>
                <w:sz w:val="14"/>
                <w:szCs w:val="14"/>
                <w:color w:val="auto"/>
              </w:rPr>
            </w:pP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7"/>
              </w:rPr>
              <w:t>--------</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9"/>
              </w:rPr>
              <w:t>----------</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341"/>
        </w:trPr>
        <w:tc>
          <w:tcPr>
            <w:tcW w:w="3540" w:type="dxa"/>
            <w:vAlign w:val="bottom"/>
          </w:tcPr>
          <w:p>
            <w:pPr>
              <w:ind w:left="80"/>
              <w:spacing w:after="0"/>
              <w:rPr>
                <w:sz w:val="20"/>
                <w:szCs w:val="20"/>
                <w:color w:val="auto"/>
              </w:rPr>
            </w:pPr>
            <w:r>
              <w:rPr>
                <w:rFonts w:ascii="Courier New" w:cs="Courier New" w:eastAsia="Courier New" w:hAnsi="Courier New"/>
                <w:sz w:val="15"/>
                <w:szCs w:val="15"/>
                <w:color w:val="auto"/>
              </w:rPr>
              <w:t>Result from exposure to inflation</w:t>
            </w: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12.936</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27.281</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(34.645)</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($9.859)</w:t>
            </w: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(1.530)</w:t>
            </w:r>
          </w:p>
        </w:tc>
        <w:tc>
          <w:tcPr>
            <w:tcW w:w="12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16.765</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$4.771</w:t>
            </w:r>
          </w:p>
        </w:tc>
      </w:tr>
      <w:tr>
        <w:trPr>
          <w:trHeight w:val="341"/>
        </w:trPr>
        <w:tc>
          <w:tcPr>
            <w:tcW w:w="3540" w:type="dxa"/>
            <w:vAlign w:val="bottom"/>
          </w:tcPr>
          <w:p>
            <w:pPr>
              <w:ind w:left="440"/>
              <w:spacing w:after="0"/>
              <w:rPr>
                <w:sz w:val="20"/>
                <w:szCs w:val="20"/>
                <w:color w:val="auto"/>
              </w:rPr>
            </w:pPr>
            <w:r>
              <w:rPr>
                <w:rFonts w:ascii="Courier New" w:cs="Courier New" w:eastAsia="Courier New" w:hAnsi="Courier New"/>
                <w:sz w:val="15"/>
                <w:szCs w:val="15"/>
                <w:color w:val="auto"/>
              </w:rPr>
              <w:t>Income before income tax</w:t>
            </w: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82.423</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83.053</w:t>
            </w:r>
          </w:p>
        </w:tc>
        <w:tc>
          <w:tcPr>
            <w:tcW w:w="11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63.792</w:t>
            </w:r>
          </w:p>
        </w:tc>
        <w:tc>
          <w:tcPr>
            <w:tcW w:w="11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$18.154</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264.402</w:t>
            </w:r>
          </w:p>
        </w:tc>
        <w:tc>
          <w:tcPr>
            <w:tcW w:w="12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322.039</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$91.645</w:t>
            </w:r>
          </w:p>
        </w:tc>
      </w:tr>
      <w:tr>
        <w:trPr>
          <w:trHeight w:val="341"/>
        </w:trPr>
        <w:tc>
          <w:tcPr>
            <w:tcW w:w="3540" w:type="dxa"/>
            <w:vAlign w:val="bottom"/>
          </w:tcPr>
          <w:p>
            <w:pPr>
              <w:ind w:left="340"/>
              <w:spacing w:after="0"/>
              <w:rPr>
                <w:sz w:val="20"/>
                <w:szCs w:val="20"/>
                <w:color w:val="auto"/>
              </w:rPr>
            </w:pPr>
            <w:r>
              <w:rPr>
                <w:rFonts w:ascii="Courier New" w:cs="Courier New" w:eastAsia="Courier New" w:hAnsi="Courier New"/>
                <w:sz w:val="15"/>
                <w:szCs w:val="15"/>
                <w:color w:val="auto"/>
              </w:rPr>
              <w:t>Income Tax</w:t>
            </w: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35.416</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21.850</w:t>
            </w:r>
          </w:p>
        </w:tc>
        <w:tc>
          <w:tcPr>
            <w:tcW w:w="11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21.283</w:t>
            </w:r>
          </w:p>
        </w:tc>
        <w:tc>
          <w:tcPr>
            <w:tcW w:w="11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$6.057</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81.473</w:t>
            </w:r>
          </w:p>
        </w:tc>
        <w:tc>
          <w:tcPr>
            <w:tcW w:w="12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93.947</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$26.735</w:t>
            </w:r>
          </w:p>
        </w:tc>
      </w:tr>
      <w:tr>
        <w:trPr>
          <w:trHeight w:val="341"/>
        </w:trPr>
        <w:tc>
          <w:tcPr>
            <w:tcW w:w="3540" w:type="dxa"/>
            <w:vAlign w:val="bottom"/>
          </w:tcPr>
          <w:p>
            <w:pPr>
              <w:ind w:left="1060"/>
              <w:spacing w:after="0"/>
              <w:rPr>
                <w:sz w:val="20"/>
                <w:szCs w:val="20"/>
                <w:color w:val="auto"/>
              </w:rPr>
            </w:pPr>
            <w:r>
              <w:rPr>
                <w:rFonts w:ascii="Courier New" w:cs="Courier New" w:eastAsia="Courier New" w:hAnsi="Courier New"/>
                <w:sz w:val="15"/>
                <w:szCs w:val="15"/>
                <w:color w:val="auto"/>
              </w:rPr>
              <w:t>NET INCOME</w:t>
            </w: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47.007</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61.203</w:t>
            </w:r>
          </w:p>
        </w:tc>
        <w:tc>
          <w:tcPr>
            <w:tcW w:w="11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42.509</w:t>
            </w:r>
          </w:p>
        </w:tc>
        <w:tc>
          <w:tcPr>
            <w:tcW w:w="11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$12.097</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182.929</w:t>
            </w:r>
          </w:p>
        </w:tc>
        <w:tc>
          <w:tcPr>
            <w:tcW w:w="12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228.092</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$64.910</w:t>
            </w:r>
          </w:p>
        </w:tc>
      </w:tr>
    </w:tbl>
    <w:p>
      <w:pPr>
        <w:spacing w:after="0" w:line="174"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353" w:lineRule="exact"/>
        <w:rPr>
          <w:sz w:val="20"/>
          <w:szCs w:val="20"/>
          <w:color w:val="auto"/>
        </w:rPr>
      </w:pPr>
    </w:p>
    <w:p>
      <w:pPr>
        <w:ind w:left="3469" w:right="7900" w:hanging="3469"/>
        <w:spacing w:after="0" w:line="553" w:lineRule="auto"/>
        <w:tabs>
          <w:tab w:leader="none" w:pos="452" w:val="left"/>
        </w:tabs>
        <w:numPr>
          <w:ilvl w:val="0"/>
          <w:numId w:val="32"/>
        </w:numPr>
        <w:rPr>
          <w:rFonts w:ascii="Courier New" w:cs="Courier New" w:eastAsia="Courier New" w:hAnsi="Courier New"/>
          <w:sz w:val="13"/>
          <w:szCs w:val="13"/>
          <w:color w:val="auto"/>
        </w:rPr>
      </w:pPr>
      <w:r>
        <w:rPr>
          <w:rFonts w:ascii="Courier New" w:cs="Courier New" w:eastAsia="Courier New" w:hAnsi="Courier New"/>
          <w:sz w:val="13"/>
          <w:szCs w:val="13"/>
          <w:color w:val="auto"/>
        </w:rPr>
        <w:t>Translated at S/.3.514 per US$1.00. 33</w:t>
      </w:r>
    </w:p>
    <w:p>
      <w:pPr>
        <w:sectPr>
          <w:pgSz w:w="11900" w:h="16838" w:orient="portrait"/>
          <w:cols w:equalWidth="0" w:num="1">
            <w:col w:w="11529"/>
          </w:cols>
          <w:pgMar w:left="231" w:top="1311" w:right="139" w:bottom="1440" w:gutter="0" w:footer="0" w:header="0"/>
        </w:sectPr>
      </w:pPr>
    </w:p>
    <w:bookmarkStart w:id="33" w:name="page34"/>
    <w:bookmarkEnd w:id="33"/>
    <w:p>
      <w:pPr>
        <w:jc w:val="center"/>
        <w:ind w:right="3891"/>
        <w:spacing w:after="0"/>
        <w:rPr>
          <w:sz w:val="20"/>
          <w:szCs w:val="20"/>
          <w:color w:val="auto"/>
        </w:rPr>
      </w:pPr>
      <w:r>
        <w:rPr>
          <w:rFonts w:ascii="Courier New" w:cs="Courier New" w:eastAsia="Courier New" w:hAnsi="Courier New"/>
          <w:sz w:val="15"/>
          <w:szCs w:val="15"/>
          <w:color w:val="auto"/>
        </w:rPr>
        <w:t>BANCO DE CREDITO DEL PERU AND SUBSIDIARIES</w:t>
      </w:r>
    </w:p>
    <w:p>
      <w:pPr>
        <w:spacing w:after="0" w:line="1" w:lineRule="exact"/>
        <w:rPr>
          <w:sz w:val="20"/>
          <w:szCs w:val="20"/>
          <w:color w:val="auto"/>
        </w:rPr>
      </w:pPr>
    </w:p>
    <w:p>
      <w:pPr>
        <w:jc w:val="center"/>
        <w:ind w:right="3811"/>
        <w:spacing w:after="0"/>
        <w:rPr>
          <w:sz w:val="20"/>
          <w:szCs w:val="20"/>
          <w:color w:val="auto"/>
        </w:rPr>
      </w:pPr>
      <w:r>
        <w:rPr>
          <w:rFonts w:ascii="Courier New" w:cs="Courier New" w:eastAsia="Courier New" w:hAnsi="Courier New"/>
          <w:sz w:val="15"/>
          <w:szCs w:val="15"/>
          <w:color w:val="auto"/>
        </w:rPr>
        <w:t>Table 6</w:t>
      </w:r>
    </w:p>
    <w:p>
      <w:pPr>
        <w:spacing w:after="0" w:line="1" w:lineRule="exact"/>
        <w:rPr>
          <w:sz w:val="20"/>
          <w:szCs w:val="20"/>
          <w:color w:val="auto"/>
        </w:rPr>
      </w:pPr>
    </w:p>
    <w:p>
      <w:pPr>
        <w:jc w:val="center"/>
        <w:ind w:right="3811"/>
        <w:spacing w:after="0"/>
        <w:rPr>
          <w:sz w:val="20"/>
          <w:szCs w:val="20"/>
          <w:color w:val="auto"/>
        </w:rPr>
      </w:pPr>
      <w:r>
        <w:rPr>
          <w:rFonts w:ascii="Courier New" w:cs="Courier New" w:eastAsia="Courier New" w:hAnsi="Courier New"/>
          <w:sz w:val="15"/>
          <w:szCs w:val="15"/>
          <w:color w:val="auto"/>
        </w:rPr>
        <w:t>SELECTED FINANCIAL INDICATORS</w:t>
      </w:r>
    </w:p>
    <w:p>
      <w:pPr>
        <w:spacing w:after="0" w:line="171" w:lineRule="exact"/>
        <w:rPr>
          <w:sz w:val="20"/>
          <w:szCs w:val="20"/>
          <w:color w:val="auto"/>
        </w:rPr>
      </w:pPr>
    </w:p>
    <w:p>
      <w:pPr>
        <w:ind w:left="5509"/>
        <w:spacing w:after="0"/>
        <w:tabs>
          <w:tab w:leader="none" w:pos="8589" w:val="left"/>
        </w:tabs>
        <w:rPr>
          <w:sz w:val="20"/>
          <w:szCs w:val="20"/>
          <w:color w:val="auto"/>
        </w:rPr>
      </w:pPr>
      <w:r>
        <w:rPr>
          <w:rFonts w:ascii="Courier New" w:cs="Courier New" w:eastAsia="Courier New" w:hAnsi="Courier New"/>
          <w:sz w:val="15"/>
          <w:szCs w:val="15"/>
          <w:color w:val="auto"/>
        </w:rPr>
        <w:t>Three months ended</w:t>
      </w:r>
      <w:r>
        <w:rPr>
          <w:sz w:val="20"/>
          <w:szCs w:val="20"/>
          <w:color w:val="auto"/>
        </w:rPr>
        <w:tab/>
      </w:r>
      <w:r>
        <w:rPr>
          <w:rFonts w:ascii="Courier New" w:cs="Courier New" w:eastAsia="Courier New" w:hAnsi="Courier New"/>
          <w:sz w:val="14"/>
          <w:szCs w:val="14"/>
          <w:color w:val="auto"/>
        </w:rPr>
        <w:t>Twelve months ended</w:t>
      </w:r>
    </w:p>
    <w:p>
      <w:pPr>
        <w:spacing w:after="0" w:line="1" w:lineRule="exact"/>
        <w:rPr>
          <w:sz w:val="20"/>
          <w:szCs w:val="20"/>
          <w:color w:val="auto"/>
        </w:rPr>
      </w:pPr>
    </w:p>
    <w:p>
      <w:pPr>
        <w:ind w:left="442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889"/>
        <w:spacing w:after="0"/>
        <w:tabs>
          <w:tab w:leader="none" w:pos="6189" w:val="left"/>
          <w:tab w:leader="none" w:pos="7429" w:val="left"/>
          <w:tab w:leader="none" w:pos="8669" w:val="left"/>
          <w:tab w:leader="none" w:pos="10009" w:val="left"/>
        </w:tabs>
        <w:rPr>
          <w:sz w:val="20"/>
          <w:szCs w:val="20"/>
          <w:color w:val="auto"/>
        </w:rPr>
      </w:pPr>
      <w:r>
        <w:rPr>
          <w:rFonts w:ascii="Courier New" w:cs="Courier New" w:eastAsia="Courier New" w:hAnsi="Courier New"/>
          <w:sz w:val="15"/>
          <w:szCs w:val="15"/>
          <w:color w:val="auto"/>
        </w:rPr>
        <w:t>31.12.01</w:t>
      </w:r>
      <w:r>
        <w:rPr>
          <w:sz w:val="20"/>
          <w:szCs w:val="20"/>
          <w:color w:val="auto"/>
        </w:rPr>
        <w:tab/>
      </w:r>
      <w:r>
        <w:rPr>
          <w:rFonts w:ascii="Courier New" w:cs="Courier New" w:eastAsia="Courier New" w:hAnsi="Courier New"/>
          <w:sz w:val="15"/>
          <w:szCs w:val="15"/>
          <w:color w:val="auto"/>
        </w:rPr>
        <w:t>30.09.02</w:t>
      </w:r>
      <w:r>
        <w:rPr>
          <w:sz w:val="20"/>
          <w:szCs w:val="20"/>
          <w:color w:val="auto"/>
        </w:rPr>
        <w:tab/>
      </w:r>
      <w:r>
        <w:rPr>
          <w:rFonts w:ascii="Courier New" w:cs="Courier New" w:eastAsia="Courier New" w:hAnsi="Courier New"/>
          <w:sz w:val="15"/>
          <w:szCs w:val="15"/>
          <w:color w:val="auto"/>
        </w:rPr>
        <w:t>31.12.02</w:t>
      </w:r>
      <w:r>
        <w:rPr>
          <w:sz w:val="20"/>
          <w:szCs w:val="20"/>
          <w:color w:val="auto"/>
        </w:rPr>
        <w:tab/>
      </w:r>
      <w:r>
        <w:rPr>
          <w:rFonts w:ascii="Courier New" w:cs="Courier New" w:eastAsia="Courier New" w:hAnsi="Courier New"/>
          <w:sz w:val="15"/>
          <w:szCs w:val="15"/>
          <w:color w:val="auto"/>
        </w:rPr>
        <w:t>31.12.01</w:t>
      </w:r>
      <w:r>
        <w:rPr>
          <w:sz w:val="20"/>
          <w:szCs w:val="20"/>
          <w:color w:val="auto"/>
        </w:rPr>
        <w:tab/>
      </w:r>
      <w:r>
        <w:rPr>
          <w:rFonts w:ascii="Courier New" w:cs="Courier New" w:eastAsia="Courier New" w:hAnsi="Courier New"/>
          <w:sz w:val="14"/>
          <w:szCs w:val="14"/>
          <w:color w:val="auto"/>
        </w:rPr>
        <w:t>31.12.02</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880" w:type="dxa"/>
            <w:vAlign w:val="bottom"/>
            <w:gridSpan w:val="3"/>
          </w:tcPr>
          <w:p>
            <w:pPr>
              <w:spacing w:after="0"/>
              <w:rPr>
                <w:sz w:val="20"/>
                <w:szCs w:val="20"/>
                <w:color w:val="auto"/>
              </w:rPr>
            </w:pPr>
            <w:r>
              <w:rPr>
                <w:rFonts w:ascii="Courier New" w:cs="Courier New" w:eastAsia="Courier New" w:hAnsi="Courier New"/>
                <w:sz w:val="15"/>
                <w:szCs w:val="15"/>
                <w:color w:val="auto"/>
              </w:rPr>
              <w:t>Profitability</w:t>
            </w:r>
          </w:p>
        </w:tc>
        <w:tc>
          <w:tcPr>
            <w:tcW w:w="10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488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Net income per common share (S/. per share)(1)</w:t>
            </w: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0.044</w:t>
            </w: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0.057</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0.039</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0.170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0.212</w:t>
            </w:r>
          </w:p>
        </w:tc>
      </w:tr>
      <w:tr>
        <w:trPr>
          <w:trHeight w:val="171"/>
        </w:trPr>
        <w:tc>
          <w:tcPr>
            <w:tcW w:w="488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Net interest margin on interest earning assets (2)</w:t>
            </w: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6.15%</w:t>
            </w: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5.57%</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5.41%</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6.20%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5.67%</w:t>
            </w:r>
          </w:p>
        </w:tc>
      </w:tr>
      <w:tr>
        <w:trPr>
          <w:trHeight w:val="171"/>
        </w:trPr>
        <w:tc>
          <w:tcPr>
            <w:tcW w:w="9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Return on</w:t>
            </w:r>
          </w:p>
        </w:tc>
        <w:tc>
          <w:tcPr>
            <w:tcW w:w="3960" w:type="dxa"/>
            <w:vAlign w:val="bottom"/>
          </w:tcPr>
          <w:p>
            <w:pPr>
              <w:ind w:left="40"/>
              <w:spacing w:after="0"/>
              <w:rPr>
                <w:sz w:val="20"/>
                <w:szCs w:val="20"/>
                <w:color w:val="auto"/>
              </w:rPr>
            </w:pPr>
            <w:r>
              <w:rPr>
                <w:rFonts w:ascii="Courier New" w:cs="Courier New" w:eastAsia="Courier New" w:hAnsi="Courier New"/>
                <w:sz w:val="15"/>
                <w:szCs w:val="15"/>
                <w:color w:val="auto"/>
              </w:rPr>
              <w:t>average total assets (2)(3)</w:t>
            </w: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0.87%</w:t>
            </w: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1.15%</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0.72%</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0.86%</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0.98%</w:t>
            </w:r>
          </w:p>
        </w:tc>
      </w:tr>
      <w:tr>
        <w:trPr>
          <w:trHeight w:val="171"/>
        </w:trPr>
        <w:tc>
          <w:tcPr>
            <w:tcW w:w="9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Return on</w:t>
            </w:r>
          </w:p>
        </w:tc>
        <w:tc>
          <w:tcPr>
            <w:tcW w:w="3960" w:type="dxa"/>
            <w:vAlign w:val="bottom"/>
          </w:tcPr>
          <w:p>
            <w:pPr>
              <w:ind w:left="40"/>
              <w:spacing w:after="0"/>
              <w:rPr>
                <w:sz w:val="20"/>
                <w:szCs w:val="20"/>
                <w:color w:val="auto"/>
              </w:rPr>
            </w:pPr>
            <w:r>
              <w:rPr>
                <w:rFonts w:ascii="Courier New" w:cs="Courier New" w:eastAsia="Courier New" w:hAnsi="Courier New"/>
                <w:sz w:val="15"/>
                <w:szCs w:val="15"/>
                <w:color w:val="auto"/>
              </w:rPr>
              <w:t>average shareholders' equity (2)(3)</w:t>
            </w: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10.19%</w:t>
            </w: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12.74%</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8.62%</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10.19%</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11.83%</w:t>
            </w:r>
          </w:p>
        </w:tc>
      </w:tr>
      <w:tr>
        <w:trPr>
          <w:trHeight w:val="341"/>
        </w:trPr>
        <w:tc>
          <w:tcPr>
            <w:tcW w:w="920" w:type="dxa"/>
            <w:vAlign w:val="bottom"/>
            <w:gridSpan w:val="2"/>
          </w:tcPr>
          <w:p>
            <w:pPr>
              <w:spacing w:after="0"/>
              <w:rPr>
                <w:sz w:val="20"/>
                <w:szCs w:val="20"/>
                <w:color w:val="auto"/>
              </w:rPr>
            </w:pPr>
            <w:r>
              <w:rPr>
                <w:rFonts w:ascii="Courier New" w:cs="Courier New" w:eastAsia="Courier New" w:hAnsi="Courier New"/>
                <w:sz w:val="15"/>
                <w:szCs w:val="15"/>
                <w:color w:val="auto"/>
                <w:w w:val="99"/>
              </w:rPr>
              <w:t>Quality of</w:t>
            </w:r>
          </w:p>
        </w:tc>
        <w:tc>
          <w:tcPr>
            <w:tcW w:w="3960" w:type="dxa"/>
            <w:vAlign w:val="bottom"/>
          </w:tcPr>
          <w:p>
            <w:pPr>
              <w:ind w:left="40"/>
              <w:spacing w:after="0"/>
              <w:rPr>
                <w:sz w:val="20"/>
                <w:szCs w:val="20"/>
                <w:color w:val="auto"/>
              </w:rPr>
            </w:pPr>
            <w:r>
              <w:rPr>
                <w:rFonts w:ascii="Courier New" w:cs="Courier New" w:eastAsia="Courier New" w:hAnsi="Courier New"/>
                <w:sz w:val="15"/>
                <w:szCs w:val="15"/>
                <w:color w:val="auto"/>
              </w:rPr>
              <w:t>loan portfolio</w:t>
            </w:r>
          </w:p>
        </w:tc>
        <w:tc>
          <w:tcPr>
            <w:tcW w:w="10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41"/>
        </w:trPr>
        <w:tc>
          <w:tcPr>
            <w:tcW w:w="9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Past due</w:t>
            </w:r>
          </w:p>
        </w:tc>
        <w:tc>
          <w:tcPr>
            <w:tcW w:w="3960" w:type="dxa"/>
            <w:vAlign w:val="bottom"/>
          </w:tcPr>
          <w:p>
            <w:pPr>
              <w:ind w:left="40"/>
              <w:spacing w:after="0"/>
              <w:rPr>
                <w:sz w:val="20"/>
                <w:szCs w:val="20"/>
                <w:color w:val="auto"/>
              </w:rPr>
            </w:pPr>
            <w:r>
              <w:rPr>
                <w:rFonts w:ascii="Courier New" w:cs="Courier New" w:eastAsia="Courier New" w:hAnsi="Courier New"/>
                <w:sz w:val="15"/>
                <w:szCs w:val="15"/>
                <w:color w:val="auto"/>
              </w:rPr>
              <w:t>loans as a percentage of total loans</w:t>
            </w: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8.79%</w:t>
            </w: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8.16%</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8.56%</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8.79%</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8.56%</w:t>
            </w:r>
          </w:p>
        </w:tc>
      </w:tr>
      <w:tr>
        <w:trPr>
          <w:trHeight w:val="171"/>
        </w:trPr>
        <w:tc>
          <w:tcPr>
            <w:tcW w:w="9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Reserves</w:t>
            </w:r>
          </w:p>
        </w:tc>
        <w:tc>
          <w:tcPr>
            <w:tcW w:w="3960" w:type="dxa"/>
            <w:vAlign w:val="bottom"/>
          </w:tcPr>
          <w:p>
            <w:pPr>
              <w:ind w:left="40"/>
              <w:spacing w:after="0"/>
              <w:rPr>
                <w:sz w:val="20"/>
                <w:szCs w:val="20"/>
                <w:color w:val="auto"/>
              </w:rPr>
            </w:pPr>
            <w:r>
              <w:rPr>
                <w:rFonts w:ascii="Courier New" w:cs="Courier New" w:eastAsia="Courier New" w:hAnsi="Courier New"/>
                <w:sz w:val="15"/>
                <w:szCs w:val="15"/>
                <w:color w:val="auto"/>
              </w:rPr>
              <w:t>for loan losses as a percentage of</w:t>
            </w:r>
          </w:p>
        </w:tc>
        <w:tc>
          <w:tcPr>
            <w:tcW w:w="10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4880" w:type="dxa"/>
            <w:vAlign w:val="bottom"/>
            <w:gridSpan w:val="3"/>
          </w:tcPr>
          <w:p>
            <w:pPr>
              <w:ind w:left="520"/>
              <w:spacing w:after="0"/>
              <w:rPr>
                <w:sz w:val="20"/>
                <w:szCs w:val="20"/>
                <w:color w:val="auto"/>
              </w:rPr>
            </w:pPr>
            <w:r>
              <w:rPr>
                <w:rFonts w:ascii="Courier New" w:cs="Courier New" w:eastAsia="Courier New" w:hAnsi="Courier New"/>
                <w:sz w:val="15"/>
                <w:szCs w:val="15"/>
                <w:color w:val="auto"/>
              </w:rPr>
              <w:t>total past due loans</w:t>
            </w: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105.14%</w:t>
            </w: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107.66%</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108.75%</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105.14%</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108.75%</w:t>
            </w:r>
          </w:p>
        </w:tc>
      </w:tr>
      <w:tr>
        <w:trPr>
          <w:trHeight w:val="171"/>
        </w:trPr>
        <w:tc>
          <w:tcPr>
            <w:tcW w:w="9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Reserves</w:t>
            </w:r>
          </w:p>
        </w:tc>
        <w:tc>
          <w:tcPr>
            <w:tcW w:w="3960" w:type="dxa"/>
            <w:vAlign w:val="bottom"/>
          </w:tcPr>
          <w:p>
            <w:pPr>
              <w:ind w:left="40"/>
              <w:spacing w:after="0"/>
              <w:rPr>
                <w:sz w:val="20"/>
                <w:szCs w:val="20"/>
                <w:color w:val="auto"/>
              </w:rPr>
            </w:pPr>
            <w:r>
              <w:rPr>
                <w:rFonts w:ascii="Courier New" w:cs="Courier New" w:eastAsia="Courier New" w:hAnsi="Courier New"/>
                <w:sz w:val="15"/>
                <w:szCs w:val="15"/>
                <w:color w:val="auto"/>
              </w:rPr>
              <w:t>for loan losses as a percentage of</w:t>
            </w:r>
          </w:p>
        </w:tc>
        <w:tc>
          <w:tcPr>
            <w:tcW w:w="10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620" w:type="dxa"/>
            <w:vAlign w:val="bottom"/>
          </w:tcPr>
          <w:p>
            <w:pPr>
              <w:spacing w:after="0"/>
              <w:rPr>
                <w:sz w:val="14"/>
                <w:szCs w:val="14"/>
                <w:color w:val="auto"/>
              </w:rPr>
            </w:pPr>
          </w:p>
        </w:tc>
        <w:tc>
          <w:tcPr>
            <w:tcW w:w="4260" w:type="dxa"/>
            <w:vAlign w:val="bottom"/>
            <w:gridSpan w:val="2"/>
          </w:tcPr>
          <w:p>
            <w:pPr>
              <w:spacing w:after="0"/>
              <w:rPr>
                <w:sz w:val="20"/>
                <w:szCs w:val="20"/>
                <w:color w:val="auto"/>
              </w:rPr>
            </w:pPr>
            <w:r>
              <w:rPr>
                <w:rFonts w:ascii="Courier New" w:cs="Courier New" w:eastAsia="Courier New" w:hAnsi="Courier New"/>
                <w:sz w:val="15"/>
                <w:szCs w:val="15"/>
                <w:color w:val="auto"/>
              </w:rPr>
              <w:t>total loans</w:t>
            </w: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9.24%</w:t>
            </w: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8.78%</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9.31%</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9.24%</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9.31%</w:t>
            </w:r>
          </w:p>
        </w:tc>
      </w:tr>
      <w:tr>
        <w:trPr>
          <w:trHeight w:val="171"/>
        </w:trPr>
        <w:tc>
          <w:tcPr>
            <w:tcW w:w="9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Reserves</w:t>
            </w:r>
          </w:p>
        </w:tc>
        <w:tc>
          <w:tcPr>
            <w:tcW w:w="3960" w:type="dxa"/>
            <w:vAlign w:val="bottom"/>
          </w:tcPr>
          <w:p>
            <w:pPr>
              <w:ind w:left="40"/>
              <w:spacing w:after="0"/>
              <w:rPr>
                <w:sz w:val="20"/>
                <w:szCs w:val="20"/>
                <w:color w:val="auto"/>
              </w:rPr>
            </w:pPr>
            <w:r>
              <w:rPr>
                <w:rFonts w:ascii="Courier New" w:cs="Courier New" w:eastAsia="Courier New" w:hAnsi="Courier New"/>
                <w:sz w:val="15"/>
                <w:szCs w:val="15"/>
                <w:color w:val="auto"/>
              </w:rPr>
              <w:t>for loan losses as a percentage of</w:t>
            </w:r>
          </w:p>
        </w:tc>
        <w:tc>
          <w:tcPr>
            <w:tcW w:w="10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4880" w:type="dxa"/>
            <w:vAlign w:val="bottom"/>
            <w:gridSpan w:val="3"/>
          </w:tcPr>
          <w:p>
            <w:pPr>
              <w:ind w:left="520"/>
              <w:spacing w:after="0"/>
              <w:rPr>
                <w:sz w:val="20"/>
                <w:szCs w:val="20"/>
                <w:color w:val="auto"/>
              </w:rPr>
            </w:pPr>
            <w:r>
              <w:rPr>
                <w:rFonts w:ascii="Courier New" w:cs="Courier New" w:eastAsia="Courier New" w:hAnsi="Courier New"/>
                <w:sz w:val="15"/>
                <w:szCs w:val="15"/>
                <w:color w:val="auto"/>
              </w:rPr>
              <w:t>substandard  loans (C+D+E)</w:t>
            </w: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47.46%</w:t>
            </w: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46.19%</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52.86%</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47.46%</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52.86%</w:t>
            </w:r>
          </w:p>
        </w:tc>
      </w:tr>
      <w:tr>
        <w:trPr>
          <w:trHeight w:val="171"/>
        </w:trPr>
        <w:tc>
          <w:tcPr>
            <w:tcW w:w="9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Past due</w:t>
            </w:r>
          </w:p>
        </w:tc>
        <w:tc>
          <w:tcPr>
            <w:tcW w:w="3960" w:type="dxa"/>
            <w:vAlign w:val="bottom"/>
          </w:tcPr>
          <w:p>
            <w:pPr>
              <w:ind w:left="40"/>
              <w:spacing w:after="0"/>
              <w:rPr>
                <w:sz w:val="20"/>
                <w:szCs w:val="20"/>
                <w:color w:val="auto"/>
              </w:rPr>
            </w:pPr>
            <w:r>
              <w:rPr>
                <w:rFonts w:ascii="Courier New" w:cs="Courier New" w:eastAsia="Courier New" w:hAnsi="Courier New"/>
                <w:sz w:val="15"/>
                <w:szCs w:val="15"/>
                <w:color w:val="auto"/>
              </w:rPr>
              <w:t>loans - reserves for loan losses as a</w:t>
            </w:r>
          </w:p>
        </w:tc>
        <w:tc>
          <w:tcPr>
            <w:tcW w:w="10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4880" w:type="dxa"/>
            <w:vAlign w:val="bottom"/>
            <w:gridSpan w:val="3"/>
          </w:tcPr>
          <w:p>
            <w:pPr>
              <w:ind w:left="520"/>
              <w:spacing w:after="0"/>
              <w:rPr>
                <w:sz w:val="20"/>
                <w:szCs w:val="20"/>
                <w:color w:val="auto"/>
              </w:rPr>
            </w:pPr>
            <w:r>
              <w:rPr>
                <w:rFonts w:ascii="Courier New" w:cs="Courier New" w:eastAsia="Courier New" w:hAnsi="Courier New"/>
                <w:sz w:val="15"/>
                <w:szCs w:val="15"/>
                <w:color w:val="auto"/>
              </w:rPr>
              <w:t>percentage of shareholders' equity</w:t>
            </w: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-3.13%</w:t>
            </w: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-4.08%</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-5.88%</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-3.13%</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-5.88%</w:t>
            </w:r>
          </w:p>
        </w:tc>
      </w:tr>
      <w:tr>
        <w:trPr>
          <w:trHeight w:val="341"/>
        </w:trPr>
        <w:tc>
          <w:tcPr>
            <w:tcW w:w="4880" w:type="dxa"/>
            <w:vAlign w:val="bottom"/>
            <w:gridSpan w:val="3"/>
          </w:tcPr>
          <w:p>
            <w:pPr>
              <w:spacing w:after="0"/>
              <w:rPr>
                <w:sz w:val="20"/>
                <w:szCs w:val="20"/>
                <w:color w:val="auto"/>
              </w:rPr>
            </w:pPr>
            <w:r>
              <w:rPr>
                <w:rFonts w:ascii="Courier New" w:cs="Courier New" w:eastAsia="Courier New" w:hAnsi="Courier New"/>
                <w:sz w:val="15"/>
                <w:szCs w:val="15"/>
                <w:color w:val="auto"/>
              </w:rPr>
              <w:t>Operating efficiency (5)</w:t>
            </w:r>
          </w:p>
        </w:tc>
        <w:tc>
          <w:tcPr>
            <w:tcW w:w="10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1"/>
        </w:trPr>
        <w:tc>
          <w:tcPr>
            <w:tcW w:w="488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Oper. expense as a percent. of total income (4)</w:t>
            </w: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55.82%</w:t>
            </w: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52.91%</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58.10%</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56.55%</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55.92%</w:t>
            </w:r>
          </w:p>
        </w:tc>
      </w:tr>
      <w:tr>
        <w:trPr>
          <w:trHeight w:val="171"/>
        </w:trPr>
        <w:tc>
          <w:tcPr>
            <w:tcW w:w="488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Oper. expense as a percent. of av. tot. assets(2)(3)</w:t>
            </w: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4.96%</w:t>
            </w: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4.53%</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4.86%</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4.92%</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4.49%</w:t>
            </w:r>
          </w:p>
        </w:tc>
      </w:tr>
      <w:tr>
        <w:trPr>
          <w:trHeight w:val="341"/>
        </w:trPr>
        <w:tc>
          <w:tcPr>
            <w:tcW w:w="4880" w:type="dxa"/>
            <w:vAlign w:val="bottom"/>
            <w:gridSpan w:val="3"/>
          </w:tcPr>
          <w:p>
            <w:pPr>
              <w:spacing w:after="0"/>
              <w:rPr>
                <w:sz w:val="20"/>
                <w:szCs w:val="20"/>
                <w:color w:val="auto"/>
              </w:rPr>
            </w:pPr>
            <w:r>
              <w:rPr>
                <w:rFonts w:ascii="Courier New" w:cs="Courier New" w:eastAsia="Courier New" w:hAnsi="Courier New"/>
                <w:sz w:val="15"/>
                <w:szCs w:val="15"/>
                <w:color w:val="auto"/>
              </w:rPr>
              <w:t>Capital adequacy</w:t>
            </w:r>
          </w:p>
        </w:tc>
        <w:tc>
          <w:tcPr>
            <w:tcW w:w="10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1"/>
        </w:trPr>
        <w:tc>
          <w:tcPr>
            <w:tcW w:w="620" w:type="dxa"/>
            <w:vAlign w:val="bottom"/>
          </w:tcPr>
          <w:p>
            <w:pPr>
              <w:ind w:left="160"/>
              <w:spacing w:after="0"/>
              <w:rPr>
                <w:sz w:val="20"/>
                <w:szCs w:val="20"/>
                <w:color w:val="auto"/>
              </w:rPr>
            </w:pPr>
            <w:r>
              <w:rPr>
                <w:rFonts w:ascii="Courier New" w:cs="Courier New" w:eastAsia="Courier New" w:hAnsi="Courier New"/>
                <w:sz w:val="15"/>
                <w:szCs w:val="15"/>
                <w:color w:val="auto"/>
                <w:w w:val="97"/>
              </w:rPr>
              <w:t>Total</w:t>
            </w:r>
          </w:p>
        </w:tc>
        <w:tc>
          <w:tcPr>
            <w:tcW w:w="42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Regulatory capital (constant millions S/.)</w:t>
            </w: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2,004.6</w:t>
            </w: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2,002.1</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2,255.4</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2,004.6</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2,255.4</w:t>
            </w:r>
          </w:p>
        </w:tc>
      </w:tr>
      <w:tr>
        <w:trPr>
          <w:trHeight w:val="171"/>
        </w:trPr>
        <w:tc>
          <w:tcPr>
            <w:tcW w:w="620" w:type="dxa"/>
            <w:vAlign w:val="bottom"/>
          </w:tcPr>
          <w:p>
            <w:pPr>
              <w:ind w:left="160"/>
              <w:spacing w:after="0"/>
              <w:rPr>
                <w:sz w:val="20"/>
                <w:szCs w:val="20"/>
                <w:color w:val="auto"/>
              </w:rPr>
            </w:pPr>
            <w:r>
              <w:rPr>
                <w:rFonts w:ascii="Courier New" w:cs="Courier New" w:eastAsia="Courier New" w:hAnsi="Courier New"/>
                <w:sz w:val="15"/>
                <w:szCs w:val="15"/>
                <w:color w:val="auto"/>
              </w:rPr>
              <w:t>Tier</w:t>
            </w:r>
          </w:p>
        </w:tc>
        <w:tc>
          <w:tcPr>
            <w:tcW w:w="300" w:type="dxa"/>
            <w:vAlign w:val="bottom"/>
          </w:tcPr>
          <w:p>
            <w:pPr>
              <w:ind w:left="80"/>
              <w:spacing w:after="0"/>
              <w:rPr>
                <w:sz w:val="20"/>
                <w:szCs w:val="20"/>
                <w:color w:val="auto"/>
              </w:rPr>
            </w:pPr>
            <w:r>
              <w:rPr>
                <w:rFonts w:ascii="Courier New" w:cs="Courier New" w:eastAsia="Courier New" w:hAnsi="Courier New"/>
                <w:sz w:val="15"/>
                <w:szCs w:val="15"/>
                <w:color w:val="auto"/>
              </w:rPr>
              <w:t>I</w:t>
            </w:r>
          </w:p>
        </w:tc>
        <w:tc>
          <w:tcPr>
            <w:tcW w:w="3960" w:type="dxa"/>
            <w:vAlign w:val="bottom"/>
          </w:tcPr>
          <w:p>
            <w:pPr>
              <w:ind w:left="40"/>
              <w:spacing w:after="0"/>
              <w:rPr>
                <w:sz w:val="20"/>
                <w:szCs w:val="20"/>
                <w:color w:val="auto"/>
              </w:rPr>
            </w:pPr>
            <w:r>
              <w:rPr>
                <w:rFonts w:ascii="Courier New" w:cs="Courier New" w:eastAsia="Courier New" w:hAnsi="Courier New"/>
                <w:sz w:val="15"/>
                <w:szCs w:val="15"/>
                <w:color w:val="auto"/>
              </w:rPr>
              <w:t>Capital (constant millions S/.)</w:t>
            </w: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1,677.7</w:t>
            </w: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1,742.4</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1,742.2</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1,677.7</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1,742.2</w:t>
            </w:r>
          </w:p>
        </w:tc>
      </w:tr>
      <w:tr>
        <w:trPr>
          <w:trHeight w:val="171"/>
        </w:trPr>
        <w:tc>
          <w:tcPr>
            <w:tcW w:w="4880" w:type="dxa"/>
            <w:vAlign w:val="bottom"/>
            <w:gridSpan w:val="3"/>
          </w:tcPr>
          <w:p>
            <w:pPr>
              <w:ind w:left="160"/>
              <w:spacing w:after="0"/>
              <w:rPr>
                <w:sz w:val="20"/>
                <w:szCs w:val="20"/>
                <w:color w:val="auto"/>
              </w:rPr>
            </w:pPr>
            <w:r>
              <w:rPr>
                <w:rFonts w:ascii="Courier New" w:cs="Courier New" w:eastAsia="Courier New" w:hAnsi="Courier New"/>
                <w:sz w:val="15"/>
                <w:szCs w:val="15"/>
                <w:color w:val="auto"/>
                <w:w w:val="98"/>
              </w:rPr>
              <w:t>Net equity as a percentage of period end total assets</w:t>
            </w: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8.79%</w:t>
            </w: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8.98%</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7.82%</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8.79%</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7.82%</w:t>
            </w:r>
          </w:p>
        </w:tc>
      </w:tr>
      <w:tr>
        <w:trPr>
          <w:trHeight w:val="171"/>
        </w:trPr>
        <w:tc>
          <w:tcPr>
            <w:tcW w:w="488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Regulatory capital / risk-weighted assets</w:t>
            </w: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12.15%</w:t>
            </w: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12.73%</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12.54%</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12.15%</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12.54%</w:t>
            </w:r>
          </w:p>
        </w:tc>
      </w:tr>
      <w:tr>
        <w:trPr>
          <w:trHeight w:val="341"/>
        </w:trPr>
        <w:tc>
          <w:tcPr>
            <w:tcW w:w="4880" w:type="dxa"/>
            <w:vAlign w:val="bottom"/>
            <w:gridSpan w:val="3"/>
          </w:tcPr>
          <w:p>
            <w:pPr>
              <w:spacing w:after="0"/>
              <w:rPr>
                <w:sz w:val="20"/>
                <w:szCs w:val="20"/>
                <w:color w:val="auto"/>
              </w:rPr>
            </w:pPr>
            <w:r>
              <w:rPr>
                <w:rFonts w:ascii="Courier New" w:cs="Courier New" w:eastAsia="Courier New" w:hAnsi="Courier New"/>
                <w:sz w:val="15"/>
                <w:szCs w:val="15"/>
                <w:color w:val="auto"/>
              </w:rPr>
              <w:t>Average balances (constant millions S/.) (3)</w:t>
            </w:r>
          </w:p>
        </w:tc>
        <w:tc>
          <w:tcPr>
            <w:tcW w:w="10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1"/>
        </w:trPr>
        <w:tc>
          <w:tcPr>
            <w:tcW w:w="9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Interest</w:t>
            </w:r>
          </w:p>
        </w:tc>
        <w:tc>
          <w:tcPr>
            <w:tcW w:w="3960" w:type="dxa"/>
            <w:vAlign w:val="bottom"/>
          </w:tcPr>
          <w:p>
            <w:pPr>
              <w:ind w:left="40"/>
              <w:spacing w:after="0"/>
              <w:rPr>
                <w:sz w:val="20"/>
                <w:szCs w:val="20"/>
                <w:color w:val="auto"/>
              </w:rPr>
            </w:pPr>
            <w:r>
              <w:rPr>
                <w:rFonts w:ascii="Courier New" w:cs="Courier New" w:eastAsia="Courier New" w:hAnsi="Courier New"/>
                <w:sz w:val="15"/>
                <w:szCs w:val="15"/>
                <w:color w:val="auto"/>
              </w:rPr>
              <w:t>earning assets</w:t>
            </w: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4"/>
              </w:rPr>
              <w:t>18,831.0</w:t>
            </w: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18,805.2</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20,848.5</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18,240.3</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20,471.6</w:t>
            </w:r>
          </w:p>
        </w:tc>
      </w:tr>
      <w:tr>
        <w:trPr>
          <w:trHeight w:val="171"/>
        </w:trPr>
        <w:tc>
          <w:tcPr>
            <w:tcW w:w="488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Total Assets</w:t>
            </w: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4"/>
              </w:rPr>
              <w:t>21,563.6</w:t>
            </w: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21,365.8</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23,634.2</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21,152.7</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23,350.1</w:t>
            </w:r>
          </w:p>
        </w:tc>
      </w:tr>
      <w:tr>
        <w:trPr>
          <w:trHeight w:val="171"/>
        </w:trPr>
        <w:tc>
          <w:tcPr>
            <w:tcW w:w="488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Net equity</w:t>
            </w: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1,845.5</w:t>
            </w: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1,921.6</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1,973.5</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1,794.5</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1,927.9</w:t>
            </w:r>
          </w:p>
        </w:tc>
      </w:tr>
      <w:tr>
        <w:trPr>
          <w:trHeight w:val="341"/>
        </w:trPr>
        <w:tc>
          <w:tcPr>
            <w:tcW w:w="920" w:type="dxa"/>
            <w:vAlign w:val="bottom"/>
            <w:gridSpan w:val="2"/>
          </w:tcPr>
          <w:p>
            <w:pPr>
              <w:spacing w:after="0"/>
              <w:rPr>
                <w:sz w:val="20"/>
                <w:szCs w:val="20"/>
                <w:color w:val="auto"/>
              </w:rPr>
            </w:pPr>
            <w:r>
              <w:rPr>
                <w:rFonts w:ascii="Courier New" w:cs="Courier New" w:eastAsia="Courier New" w:hAnsi="Courier New"/>
                <w:sz w:val="15"/>
                <w:szCs w:val="15"/>
                <w:color w:val="auto"/>
                <w:w w:val="99"/>
              </w:rPr>
              <w:t>Additional</w:t>
            </w:r>
          </w:p>
        </w:tc>
        <w:tc>
          <w:tcPr>
            <w:tcW w:w="3960" w:type="dxa"/>
            <w:vAlign w:val="bottom"/>
          </w:tcPr>
          <w:p>
            <w:pPr>
              <w:ind w:left="40"/>
              <w:spacing w:after="0"/>
              <w:rPr>
                <w:sz w:val="20"/>
                <w:szCs w:val="20"/>
                <w:color w:val="auto"/>
              </w:rPr>
            </w:pPr>
            <w:r>
              <w:rPr>
                <w:rFonts w:ascii="Courier New" w:cs="Courier New" w:eastAsia="Courier New" w:hAnsi="Courier New"/>
                <w:sz w:val="15"/>
                <w:szCs w:val="15"/>
                <w:color w:val="auto"/>
              </w:rPr>
              <w:t>data</w:t>
            </w:r>
          </w:p>
        </w:tc>
        <w:tc>
          <w:tcPr>
            <w:tcW w:w="10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1"/>
        </w:trPr>
        <w:tc>
          <w:tcPr>
            <w:tcW w:w="488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No. of outstanding shares (millions)</w:t>
            </w: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1,026</w:t>
            </w: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1,076</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1,076</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1,026</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1,076</w:t>
            </w:r>
          </w:p>
        </w:tc>
      </w:tr>
      <w:tr>
        <w:trPr>
          <w:trHeight w:val="171"/>
        </w:trPr>
        <w:tc>
          <w:tcPr>
            <w:tcW w:w="488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No. of employees</w:t>
            </w: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7,747</w:t>
            </w: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7,977</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8,356</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7,747</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8,356</w:t>
            </w:r>
          </w:p>
        </w:tc>
      </w:tr>
      <w:tr>
        <w:trPr>
          <w:trHeight w:val="171"/>
        </w:trPr>
        <w:tc>
          <w:tcPr>
            <w:tcW w:w="488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Inflation rate ( Wholesale price index)</w:t>
            </w: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-1.63%</w:t>
            </w: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1.70%</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-0.18%</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-2.41%</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1.52%</w:t>
            </w:r>
          </w:p>
        </w:tc>
      </w:tr>
      <w:tr>
        <w:trPr>
          <w:trHeight w:val="171"/>
        </w:trPr>
        <w:tc>
          <w:tcPr>
            <w:tcW w:w="9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Exchange</w:t>
            </w:r>
          </w:p>
        </w:tc>
        <w:tc>
          <w:tcPr>
            <w:tcW w:w="3960" w:type="dxa"/>
            <w:vAlign w:val="bottom"/>
          </w:tcPr>
          <w:p>
            <w:pPr>
              <w:ind w:left="40"/>
              <w:spacing w:after="0"/>
              <w:rPr>
                <w:sz w:val="20"/>
                <w:szCs w:val="20"/>
                <w:color w:val="auto"/>
              </w:rPr>
            </w:pPr>
            <w:r>
              <w:rPr>
                <w:rFonts w:ascii="Courier New" w:cs="Courier New" w:eastAsia="Courier New" w:hAnsi="Courier New"/>
                <w:sz w:val="15"/>
                <w:szCs w:val="15"/>
                <w:color w:val="auto"/>
              </w:rPr>
              <w:t>rate (S/. per 1 U.S. Dollar)</w:t>
            </w: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3.44</w:t>
            </w: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3.64</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3.51</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3.44</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3.51</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353" w:lineRule="exact"/>
        <w:rPr>
          <w:sz w:val="20"/>
          <w:szCs w:val="20"/>
          <w:color w:val="auto"/>
        </w:rPr>
      </w:pPr>
    </w:p>
    <w:p>
      <w:pPr>
        <w:ind w:left="449" w:right="4180" w:hanging="449"/>
        <w:spacing w:after="0" w:line="239" w:lineRule="auto"/>
        <w:tabs>
          <w:tab w:leader="none" w:pos="449"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outstanding of 1,076 million is used for all periods since shares have been issued only for capitalization of profits and inflation adjustment.</w:t>
      </w:r>
    </w:p>
    <w:p>
      <w:pPr>
        <w:spacing w:after="0" w:line="1" w:lineRule="exact"/>
        <w:rPr>
          <w:rFonts w:ascii="Courier New" w:cs="Courier New" w:eastAsia="Courier New" w:hAnsi="Courier New"/>
          <w:sz w:val="15"/>
          <w:szCs w:val="15"/>
          <w:color w:val="auto"/>
        </w:rPr>
      </w:pPr>
    </w:p>
    <w:p>
      <w:pPr>
        <w:ind w:left="449" w:hanging="449"/>
        <w:spacing w:after="0"/>
        <w:tabs>
          <w:tab w:leader="none" w:pos="449"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Ratios are annualized.</w:t>
      </w:r>
    </w:p>
    <w:p>
      <w:pPr>
        <w:spacing w:after="0" w:line="3" w:lineRule="exact"/>
        <w:rPr>
          <w:rFonts w:ascii="Courier New" w:cs="Courier New" w:eastAsia="Courier New" w:hAnsi="Courier New"/>
          <w:sz w:val="15"/>
          <w:szCs w:val="15"/>
          <w:color w:val="auto"/>
        </w:rPr>
      </w:pPr>
    </w:p>
    <w:p>
      <w:pPr>
        <w:ind w:left="449" w:right="5060" w:hanging="449"/>
        <w:spacing w:after="0" w:line="238" w:lineRule="auto"/>
        <w:tabs>
          <w:tab w:leader="none" w:pos="449"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Averages are determined as the average of period-beginning and period-ending balances.</w:t>
      </w:r>
    </w:p>
    <w:p>
      <w:pPr>
        <w:spacing w:after="0" w:line="1" w:lineRule="exact"/>
        <w:rPr>
          <w:rFonts w:ascii="Courier New" w:cs="Courier New" w:eastAsia="Courier New" w:hAnsi="Courier New"/>
          <w:sz w:val="15"/>
          <w:szCs w:val="15"/>
          <w:color w:val="auto"/>
        </w:rPr>
      </w:pPr>
    </w:p>
    <w:p>
      <w:pPr>
        <w:ind w:left="449" w:hanging="449"/>
        <w:spacing w:after="0"/>
        <w:tabs>
          <w:tab w:leader="none" w:pos="449"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income includes net interest income and other income.</w:t>
      </w:r>
    </w:p>
    <w:p>
      <w:pPr>
        <w:spacing w:after="0" w:line="3" w:lineRule="exact"/>
        <w:rPr>
          <w:rFonts w:ascii="Courier New" w:cs="Courier New" w:eastAsia="Courier New" w:hAnsi="Courier New"/>
          <w:sz w:val="15"/>
          <w:szCs w:val="15"/>
          <w:color w:val="auto"/>
        </w:rPr>
      </w:pPr>
    </w:p>
    <w:p>
      <w:pPr>
        <w:ind w:left="449" w:right="3900" w:hanging="449"/>
        <w:spacing w:after="0" w:line="271" w:lineRule="auto"/>
        <w:tabs>
          <w:tab w:leader="none" w:pos="449"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expense does not include mandatory employee profit sharing expense nor provisions for other assets received in lieu of loan repayment.</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1009"/>
          </w:cols>
          <w:pgMar w:left="231" w:top="1140" w:right="659" w:bottom="1440" w:gutter="0" w:footer="0" w:header="0"/>
        </w:sectPr>
      </w:pPr>
    </w:p>
    <w:bookmarkStart w:id="34" w:name="page35"/>
    <w:bookmarkEnd w:id="34"/>
    <w:p>
      <w:pPr>
        <w:jc w:val="center"/>
        <w:ind w:right="3371"/>
        <w:spacing w:after="0"/>
        <w:rPr>
          <w:sz w:val="20"/>
          <w:szCs w:val="20"/>
          <w:color w:val="auto"/>
        </w:rPr>
      </w:pPr>
      <w:r>
        <w:rPr>
          <w:rFonts w:ascii="Courier New" w:cs="Courier New" w:eastAsia="Courier New" w:hAnsi="Courier New"/>
          <w:sz w:val="15"/>
          <w:szCs w:val="15"/>
          <w:color w:val="auto"/>
        </w:rPr>
        <w:t>ATLANTIC SECURITY HOLDING CORPORATION</w:t>
      </w:r>
    </w:p>
    <w:p>
      <w:pPr>
        <w:spacing w:after="0" w:line="1" w:lineRule="exact"/>
        <w:rPr>
          <w:sz w:val="20"/>
          <w:szCs w:val="20"/>
          <w:color w:val="auto"/>
        </w:rPr>
      </w:pPr>
    </w:p>
    <w:p>
      <w:pPr>
        <w:jc w:val="center"/>
        <w:ind w:right="3371"/>
        <w:spacing w:after="0"/>
        <w:rPr>
          <w:sz w:val="20"/>
          <w:szCs w:val="20"/>
          <w:color w:val="auto"/>
        </w:rPr>
      </w:pPr>
      <w:r>
        <w:rPr>
          <w:rFonts w:ascii="Courier New" w:cs="Courier New" w:eastAsia="Courier New" w:hAnsi="Courier New"/>
          <w:sz w:val="15"/>
          <w:szCs w:val="15"/>
          <w:color w:val="auto"/>
        </w:rPr>
        <w:t>Table 7</w:t>
      </w:r>
    </w:p>
    <w:p>
      <w:pPr>
        <w:spacing w:after="0" w:line="1" w:lineRule="exact"/>
        <w:rPr>
          <w:sz w:val="20"/>
          <w:szCs w:val="20"/>
          <w:color w:val="auto"/>
        </w:rPr>
      </w:pPr>
    </w:p>
    <w:p>
      <w:pPr>
        <w:jc w:val="center"/>
        <w:ind w:right="3371"/>
        <w:spacing w:after="0"/>
        <w:rPr>
          <w:sz w:val="20"/>
          <w:szCs w:val="20"/>
          <w:color w:val="auto"/>
        </w:rPr>
      </w:pPr>
      <w:r>
        <w:rPr>
          <w:rFonts w:ascii="Courier New" w:cs="Courier New" w:eastAsia="Courier New" w:hAnsi="Courier New"/>
          <w:sz w:val="15"/>
          <w:szCs w:val="15"/>
          <w:color w:val="auto"/>
        </w:rPr>
        <w:t>SELECTED FINANCIAL DATA</w:t>
      </w:r>
    </w:p>
    <w:p>
      <w:pPr>
        <w:spacing w:after="0" w:line="1" w:lineRule="exact"/>
        <w:rPr>
          <w:sz w:val="20"/>
          <w:szCs w:val="20"/>
          <w:color w:val="auto"/>
        </w:rPr>
      </w:pPr>
    </w:p>
    <w:p>
      <w:pPr>
        <w:jc w:val="center"/>
        <w:ind w:right="3371"/>
        <w:spacing w:after="0"/>
        <w:rPr>
          <w:sz w:val="20"/>
          <w:szCs w:val="20"/>
          <w:color w:val="auto"/>
        </w:rPr>
      </w:pPr>
      <w:r>
        <w:rPr>
          <w:rFonts w:ascii="Courier New" w:cs="Courier New" w:eastAsia="Courier New" w:hAnsi="Courier New"/>
          <w:sz w:val="15"/>
          <w:szCs w:val="15"/>
          <w:color w:val="auto"/>
        </w:rPr>
        <w:t>(Thousands of U.S. Dollars, except net income per share, and percentages)</w:t>
      </w:r>
    </w:p>
    <w:p>
      <w:pPr>
        <w:spacing w:after="0" w:line="171" w:lineRule="exact"/>
        <w:rPr>
          <w:sz w:val="20"/>
          <w:szCs w:val="20"/>
          <w:color w:val="auto"/>
        </w:rPr>
      </w:pPr>
    </w:p>
    <w:p>
      <w:pPr>
        <w:ind w:left="5509"/>
        <w:spacing w:after="0"/>
        <w:tabs>
          <w:tab w:leader="none" w:pos="8229" w:val="left"/>
        </w:tabs>
        <w:rPr>
          <w:sz w:val="20"/>
          <w:szCs w:val="20"/>
          <w:color w:val="auto"/>
        </w:rPr>
      </w:pPr>
      <w:r>
        <w:rPr>
          <w:rFonts w:ascii="Courier New" w:cs="Courier New" w:eastAsia="Courier New" w:hAnsi="Courier New"/>
          <w:sz w:val="15"/>
          <w:szCs w:val="15"/>
          <w:color w:val="auto"/>
        </w:rPr>
        <w:t>Three months ended</w:t>
      </w:r>
      <w:r>
        <w:rPr>
          <w:sz w:val="20"/>
          <w:szCs w:val="20"/>
          <w:color w:val="auto"/>
        </w:rPr>
        <w:tab/>
      </w:r>
      <w:r>
        <w:rPr>
          <w:rFonts w:ascii="Courier New" w:cs="Courier New" w:eastAsia="Courier New" w:hAnsi="Courier New"/>
          <w:sz w:val="14"/>
          <w:szCs w:val="14"/>
          <w:color w:val="auto"/>
        </w:rPr>
        <w:t>Twelve months ended</w:t>
      </w:r>
    </w:p>
    <w:p>
      <w:pPr>
        <w:spacing w:after="0" w:line="1" w:lineRule="exact"/>
        <w:rPr>
          <w:sz w:val="20"/>
          <w:szCs w:val="20"/>
          <w:color w:val="auto"/>
        </w:rPr>
      </w:pPr>
    </w:p>
    <w:p>
      <w:pPr>
        <w:ind w:left="478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5149"/>
        <w:spacing w:after="0"/>
        <w:tabs>
          <w:tab w:leader="none" w:pos="6189" w:val="left"/>
          <w:tab w:leader="none" w:pos="7169" w:val="left"/>
          <w:tab w:leader="none" w:pos="8329" w:val="left"/>
          <w:tab w:leader="none" w:pos="9569" w:val="left"/>
        </w:tabs>
        <w:rPr>
          <w:sz w:val="20"/>
          <w:szCs w:val="20"/>
          <w:color w:val="auto"/>
        </w:rPr>
      </w:pPr>
      <w:r>
        <w:rPr>
          <w:rFonts w:ascii="Courier New" w:cs="Courier New" w:eastAsia="Courier New" w:hAnsi="Courier New"/>
          <w:sz w:val="15"/>
          <w:szCs w:val="15"/>
          <w:color w:val="auto"/>
        </w:rPr>
        <w:t>31.12.01</w:t>
      </w:r>
      <w:r>
        <w:rPr>
          <w:sz w:val="20"/>
          <w:szCs w:val="20"/>
          <w:color w:val="auto"/>
        </w:rPr>
        <w:tab/>
      </w:r>
      <w:r>
        <w:rPr>
          <w:rFonts w:ascii="Courier New" w:cs="Courier New" w:eastAsia="Courier New" w:hAnsi="Courier New"/>
          <w:sz w:val="15"/>
          <w:szCs w:val="15"/>
          <w:color w:val="auto"/>
        </w:rPr>
        <w:t>30.09.02</w:t>
        <w:tab/>
        <w:t>31.12.02</w:t>
      </w:r>
      <w:r>
        <w:rPr>
          <w:sz w:val="20"/>
          <w:szCs w:val="20"/>
          <w:color w:val="auto"/>
        </w:rPr>
        <w:tab/>
      </w:r>
      <w:r>
        <w:rPr>
          <w:rFonts w:ascii="Courier New" w:cs="Courier New" w:eastAsia="Courier New" w:hAnsi="Courier New"/>
          <w:sz w:val="15"/>
          <w:szCs w:val="15"/>
          <w:color w:val="auto"/>
        </w:rPr>
        <w:t>31.12.01</w:t>
      </w:r>
      <w:r>
        <w:rPr>
          <w:sz w:val="20"/>
          <w:szCs w:val="20"/>
          <w:color w:val="auto"/>
        </w:rPr>
        <w:tab/>
      </w:r>
      <w:r>
        <w:rPr>
          <w:rFonts w:ascii="Courier New" w:cs="Courier New" w:eastAsia="Courier New" w:hAnsi="Courier New"/>
          <w:sz w:val="14"/>
          <w:szCs w:val="14"/>
          <w:color w:val="auto"/>
        </w:rPr>
        <w:t>31.12.02</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1720" w:type="dxa"/>
            <w:vAlign w:val="bottom"/>
          </w:tcPr>
          <w:p>
            <w:pPr>
              <w:spacing w:after="0"/>
              <w:rPr>
                <w:sz w:val="20"/>
                <w:szCs w:val="20"/>
                <w:color w:val="auto"/>
              </w:rPr>
            </w:pPr>
            <w:r>
              <w:rPr>
                <w:rFonts w:ascii="Courier New" w:cs="Courier New" w:eastAsia="Courier New" w:hAnsi="Courier New"/>
                <w:sz w:val="15"/>
                <w:szCs w:val="15"/>
                <w:color w:val="auto"/>
              </w:rPr>
              <w:t>Results</w:t>
            </w:r>
          </w:p>
        </w:tc>
        <w:tc>
          <w:tcPr>
            <w:tcW w:w="3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1"/>
        </w:trPr>
        <w:tc>
          <w:tcPr>
            <w:tcW w:w="51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Net Interest Income</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4,800</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4,254</w:t>
            </w: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3,936</w:t>
            </w:r>
          </w:p>
        </w:tc>
        <w:tc>
          <w:tcPr>
            <w:tcW w:w="12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19,135</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21,749</w:t>
            </w:r>
          </w:p>
        </w:tc>
      </w:tr>
      <w:tr>
        <w:trPr>
          <w:trHeight w:val="171"/>
        </w:trPr>
        <w:tc>
          <w:tcPr>
            <w:tcW w:w="51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Provisions for market risks</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3,000</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1,332</w:t>
            </w: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2,987</w:t>
            </w:r>
          </w:p>
        </w:tc>
        <w:tc>
          <w:tcPr>
            <w:tcW w:w="12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11,441</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9,439</w:t>
            </w:r>
          </w:p>
        </w:tc>
      </w:tr>
      <w:tr>
        <w:trPr>
          <w:trHeight w:val="171"/>
        </w:trPr>
        <w:tc>
          <w:tcPr>
            <w:tcW w:w="1720" w:type="dxa"/>
            <w:vAlign w:val="bottom"/>
          </w:tcPr>
          <w:p>
            <w:pPr>
              <w:ind w:left="160"/>
              <w:spacing w:after="0"/>
              <w:rPr>
                <w:sz w:val="20"/>
                <w:szCs w:val="20"/>
                <w:color w:val="auto"/>
              </w:rPr>
            </w:pPr>
            <w:r>
              <w:rPr>
                <w:rFonts w:ascii="Courier New" w:cs="Courier New" w:eastAsia="Courier New" w:hAnsi="Courier New"/>
                <w:sz w:val="15"/>
                <w:szCs w:val="15"/>
                <w:color w:val="auto"/>
              </w:rPr>
              <w:t>Other Income(1)</w:t>
            </w:r>
          </w:p>
        </w:tc>
        <w:tc>
          <w:tcPr>
            <w:tcW w:w="338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1,120</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(357)</w:t>
            </w: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1,167</w:t>
            </w:r>
          </w:p>
        </w:tc>
        <w:tc>
          <w:tcPr>
            <w:tcW w:w="12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8,787</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2,745</w:t>
            </w:r>
          </w:p>
        </w:tc>
      </w:tr>
      <w:tr>
        <w:trPr>
          <w:trHeight w:val="171"/>
        </w:trPr>
        <w:tc>
          <w:tcPr>
            <w:tcW w:w="1720" w:type="dxa"/>
            <w:vAlign w:val="bottom"/>
          </w:tcPr>
          <w:p>
            <w:pPr>
              <w:ind w:left="160"/>
              <w:spacing w:after="0"/>
              <w:rPr>
                <w:sz w:val="20"/>
                <w:szCs w:val="20"/>
                <w:color w:val="auto"/>
              </w:rPr>
            </w:pPr>
            <w:r>
              <w:rPr>
                <w:rFonts w:ascii="Courier New" w:cs="Courier New" w:eastAsia="Courier New" w:hAnsi="Courier New"/>
                <w:sz w:val="15"/>
                <w:szCs w:val="15"/>
                <w:color w:val="auto"/>
              </w:rPr>
              <w:t>Operating Expense</w:t>
            </w:r>
          </w:p>
        </w:tc>
        <w:tc>
          <w:tcPr>
            <w:tcW w:w="338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2,370</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2,489</w:t>
            </w: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1,965</w:t>
            </w:r>
          </w:p>
        </w:tc>
        <w:tc>
          <w:tcPr>
            <w:tcW w:w="12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10,835</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9,287</w:t>
            </w:r>
          </w:p>
        </w:tc>
      </w:tr>
      <w:tr>
        <w:trPr>
          <w:trHeight w:val="171"/>
        </w:trPr>
        <w:tc>
          <w:tcPr>
            <w:tcW w:w="1720" w:type="dxa"/>
            <w:vAlign w:val="bottom"/>
          </w:tcPr>
          <w:p>
            <w:pPr>
              <w:ind w:left="160"/>
              <w:spacing w:after="0"/>
              <w:rPr>
                <w:sz w:val="20"/>
                <w:szCs w:val="20"/>
                <w:color w:val="auto"/>
              </w:rPr>
            </w:pPr>
            <w:r>
              <w:rPr>
                <w:rFonts w:ascii="Courier New" w:cs="Courier New" w:eastAsia="Courier New" w:hAnsi="Courier New"/>
                <w:sz w:val="15"/>
                <w:szCs w:val="15"/>
                <w:color w:val="auto"/>
              </w:rPr>
              <w:t>Net Income</w:t>
            </w:r>
          </w:p>
        </w:tc>
        <w:tc>
          <w:tcPr>
            <w:tcW w:w="338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549</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75</w:t>
            </w: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151</w:t>
            </w:r>
          </w:p>
        </w:tc>
        <w:tc>
          <w:tcPr>
            <w:tcW w:w="12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5,646</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5,768</w:t>
            </w:r>
          </w:p>
        </w:tc>
      </w:tr>
      <w:tr>
        <w:trPr>
          <w:trHeight w:val="171"/>
        </w:trPr>
        <w:tc>
          <w:tcPr>
            <w:tcW w:w="51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Net Income per share (US$)</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0.01</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0.00</w:t>
            </w: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0.00</w:t>
            </w:r>
          </w:p>
        </w:tc>
        <w:tc>
          <w:tcPr>
            <w:tcW w:w="12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0.14</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0.14</w:t>
            </w:r>
          </w:p>
        </w:tc>
      </w:tr>
      <w:tr>
        <w:trPr>
          <w:trHeight w:val="341"/>
        </w:trPr>
        <w:tc>
          <w:tcPr>
            <w:tcW w:w="5100" w:type="dxa"/>
            <w:vAlign w:val="bottom"/>
            <w:gridSpan w:val="2"/>
          </w:tcPr>
          <w:p>
            <w:pPr>
              <w:spacing w:after="0"/>
              <w:rPr>
                <w:sz w:val="20"/>
                <w:szCs w:val="20"/>
                <w:color w:val="auto"/>
              </w:rPr>
            </w:pPr>
            <w:r>
              <w:rPr>
                <w:rFonts w:ascii="Courier New" w:cs="Courier New" w:eastAsia="Courier New" w:hAnsi="Courier New"/>
                <w:sz w:val="15"/>
                <w:szCs w:val="15"/>
                <w:color w:val="auto"/>
              </w:rPr>
              <w:t>Balance Sheets  (end of period)</w:t>
            </w:r>
          </w:p>
        </w:tc>
        <w:tc>
          <w:tcPr>
            <w:tcW w:w="8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1"/>
        </w:trPr>
        <w:tc>
          <w:tcPr>
            <w:tcW w:w="1720" w:type="dxa"/>
            <w:vAlign w:val="bottom"/>
          </w:tcPr>
          <w:p>
            <w:pPr>
              <w:ind w:left="160"/>
              <w:spacing w:after="0"/>
              <w:rPr>
                <w:sz w:val="20"/>
                <w:szCs w:val="20"/>
                <w:color w:val="auto"/>
              </w:rPr>
            </w:pPr>
            <w:r>
              <w:rPr>
                <w:rFonts w:ascii="Courier New" w:cs="Courier New" w:eastAsia="Courier New" w:hAnsi="Courier New"/>
                <w:sz w:val="15"/>
                <w:szCs w:val="15"/>
                <w:color w:val="auto"/>
              </w:rPr>
              <w:t>Total Assets</w:t>
            </w:r>
          </w:p>
        </w:tc>
        <w:tc>
          <w:tcPr>
            <w:tcW w:w="338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705,920</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656,796</w:t>
            </w: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666,522</w:t>
            </w:r>
          </w:p>
        </w:tc>
        <w:tc>
          <w:tcPr>
            <w:tcW w:w="12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705,920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666,522</w:t>
            </w:r>
          </w:p>
        </w:tc>
      </w:tr>
      <w:tr>
        <w:trPr>
          <w:trHeight w:val="171"/>
        </w:trPr>
        <w:tc>
          <w:tcPr>
            <w:tcW w:w="51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Loan portfolio, net</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176,071</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153,820</w:t>
            </w: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160,483</w:t>
            </w:r>
          </w:p>
        </w:tc>
        <w:tc>
          <w:tcPr>
            <w:tcW w:w="12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176,071</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160,483</w:t>
            </w:r>
          </w:p>
        </w:tc>
      </w:tr>
      <w:tr>
        <w:trPr>
          <w:trHeight w:val="171"/>
        </w:trPr>
        <w:tc>
          <w:tcPr>
            <w:tcW w:w="51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Marketable securities and investments</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330,564</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298,905</w:t>
            </w: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313,828</w:t>
            </w:r>
          </w:p>
        </w:tc>
        <w:tc>
          <w:tcPr>
            <w:tcW w:w="12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330,564</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313,828</w:t>
            </w:r>
          </w:p>
        </w:tc>
      </w:tr>
      <w:tr>
        <w:trPr>
          <w:trHeight w:val="171"/>
        </w:trPr>
        <w:tc>
          <w:tcPr>
            <w:tcW w:w="1720" w:type="dxa"/>
            <w:vAlign w:val="bottom"/>
          </w:tcPr>
          <w:p>
            <w:pPr>
              <w:ind w:left="160"/>
              <w:spacing w:after="0"/>
              <w:rPr>
                <w:sz w:val="20"/>
                <w:szCs w:val="20"/>
                <w:color w:val="auto"/>
              </w:rPr>
            </w:pPr>
            <w:r>
              <w:rPr>
                <w:rFonts w:ascii="Courier New" w:cs="Courier New" w:eastAsia="Courier New" w:hAnsi="Courier New"/>
                <w:sz w:val="15"/>
                <w:szCs w:val="15"/>
                <w:color w:val="auto"/>
              </w:rPr>
              <w:t>Total Deposits</w:t>
            </w:r>
          </w:p>
        </w:tc>
        <w:tc>
          <w:tcPr>
            <w:tcW w:w="338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555,669</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537,333</w:t>
            </w: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544,346</w:t>
            </w:r>
          </w:p>
        </w:tc>
        <w:tc>
          <w:tcPr>
            <w:tcW w:w="12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555,669</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544,346</w:t>
            </w:r>
          </w:p>
        </w:tc>
      </w:tr>
      <w:tr>
        <w:trPr>
          <w:trHeight w:val="171"/>
        </w:trPr>
        <w:tc>
          <w:tcPr>
            <w:tcW w:w="51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Shareholders' equity</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128,742</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102,381</w:t>
            </w: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110,260</w:t>
            </w:r>
          </w:p>
        </w:tc>
        <w:tc>
          <w:tcPr>
            <w:tcW w:w="12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128,742</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110,260</w:t>
            </w:r>
          </w:p>
        </w:tc>
      </w:tr>
      <w:tr>
        <w:trPr>
          <w:trHeight w:val="171"/>
        </w:trPr>
        <w:tc>
          <w:tcPr>
            <w:tcW w:w="51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Funds under administration</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425,980</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510,357</w:t>
            </w: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549,051</w:t>
            </w:r>
          </w:p>
        </w:tc>
        <w:tc>
          <w:tcPr>
            <w:tcW w:w="12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425,980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549,051</w:t>
            </w:r>
          </w:p>
        </w:tc>
      </w:tr>
      <w:tr>
        <w:trPr>
          <w:trHeight w:val="341"/>
        </w:trPr>
        <w:tc>
          <w:tcPr>
            <w:tcW w:w="1720" w:type="dxa"/>
            <w:vAlign w:val="bottom"/>
          </w:tcPr>
          <w:p>
            <w:pPr>
              <w:spacing w:after="0"/>
              <w:rPr>
                <w:sz w:val="20"/>
                <w:szCs w:val="20"/>
                <w:color w:val="auto"/>
              </w:rPr>
            </w:pPr>
            <w:r>
              <w:rPr>
                <w:rFonts w:ascii="Courier New" w:cs="Courier New" w:eastAsia="Courier New" w:hAnsi="Courier New"/>
                <w:sz w:val="15"/>
                <w:szCs w:val="15"/>
                <w:color w:val="auto"/>
              </w:rPr>
              <w:t>Ratios (2)</w:t>
            </w:r>
          </w:p>
        </w:tc>
        <w:tc>
          <w:tcPr>
            <w:tcW w:w="3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1"/>
        </w:trPr>
        <w:tc>
          <w:tcPr>
            <w:tcW w:w="510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9"/>
              </w:rPr>
              <w:t>Net interest margin / interest earning assets (3)(4)(5)</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3.0%</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3.0%</w:t>
            </w: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2.7%</w:t>
            </w:r>
          </w:p>
        </w:tc>
        <w:tc>
          <w:tcPr>
            <w:tcW w:w="12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2.7%</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r>
      <w:tr>
        <w:trPr>
          <w:trHeight w:val="171"/>
        </w:trPr>
        <w:tc>
          <w:tcPr>
            <w:tcW w:w="1720" w:type="dxa"/>
            <w:vAlign w:val="bottom"/>
          </w:tcPr>
          <w:p>
            <w:pPr>
              <w:ind w:left="160"/>
              <w:spacing w:after="0"/>
              <w:rPr>
                <w:sz w:val="20"/>
                <w:szCs w:val="20"/>
                <w:color w:val="auto"/>
              </w:rPr>
            </w:pPr>
            <w:r>
              <w:rPr>
                <w:rFonts w:ascii="Courier New" w:cs="Courier New" w:eastAsia="Courier New" w:hAnsi="Courier New"/>
                <w:sz w:val="15"/>
                <w:szCs w:val="15"/>
                <w:color w:val="auto"/>
              </w:rPr>
              <w:t>Return on average</w:t>
            </w:r>
          </w:p>
        </w:tc>
        <w:tc>
          <w:tcPr>
            <w:tcW w:w="3380" w:type="dxa"/>
            <w:vAlign w:val="bottom"/>
          </w:tcPr>
          <w:p>
            <w:pPr>
              <w:ind w:left="40"/>
              <w:spacing w:after="0"/>
              <w:rPr>
                <w:sz w:val="20"/>
                <w:szCs w:val="20"/>
                <w:color w:val="auto"/>
              </w:rPr>
            </w:pPr>
            <w:r>
              <w:rPr>
                <w:rFonts w:ascii="Courier New" w:cs="Courier New" w:eastAsia="Courier New" w:hAnsi="Courier New"/>
                <w:sz w:val="15"/>
                <w:szCs w:val="15"/>
                <w:color w:val="auto"/>
              </w:rPr>
              <w:t>stockholders' equity(4)</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0.3%</w:t>
            </w: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0.6%</w:t>
            </w:r>
          </w:p>
        </w:tc>
        <w:tc>
          <w:tcPr>
            <w:tcW w:w="12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4.3%</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4.8%</w:t>
            </w:r>
          </w:p>
        </w:tc>
      </w:tr>
      <w:tr>
        <w:trPr>
          <w:trHeight w:val="171"/>
        </w:trPr>
        <w:tc>
          <w:tcPr>
            <w:tcW w:w="1720" w:type="dxa"/>
            <w:vAlign w:val="bottom"/>
          </w:tcPr>
          <w:p>
            <w:pPr>
              <w:ind w:left="160"/>
              <w:spacing w:after="0"/>
              <w:rPr>
                <w:sz w:val="20"/>
                <w:szCs w:val="20"/>
                <w:color w:val="auto"/>
              </w:rPr>
            </w:pPr>
            <w:r>
              <w:rPr>
                <w:rFonts w:ascii="Courier New" w:cs="Courier New" w:eastAsia="Courier New" w:hAnsi="Courier New"/>
                <w:sz w:val="15"/>
                <w:szCs w:val="15"/>
                <w:color w:val="auto"/>
              </w:rPr>
              <w:t>Return on average</w:t>
            </w:r>
          </w:p>
        </w:tc>
        <w:tc>
          <w:tcPr>
            <w:tcW w:w="3380" w:type="dxa"/>
            <w:vAlign w:val="bottom"/>
          </w:tcPr>
          <w:p>
            <w:pPr>
              <w:ind w:left="40"/>
              <w:spacing w:after="0"/>
              <w:rPr>
                <w:sz w:val="20"/>
                <w:szCs w:val="20"/>
                <w:color w:val="auto"/>
              </w:rPr>
            </w:pPr>
            <w:r>
              <w:rPr>
                <w:rFonts w:ascii="Courier New" w:cs="Courier New" w:eastAsia="Courier New" w:hAnsi="Courier New"/>
                <w:sz w:val="15"/>
                <w:szCs w:val="15"/>
                <w:color w:val="auto"/>
              </w:rPr>
              <w:t>total assets(4)</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0.3%</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0.0%</w:t>
            </w: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0.1%</w:t>
            </w:r>
          </w:p>
        </w:tc>
        <w:tc>
          <w:tcPr>
            <w:tcW w:w="12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0.8%</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0.8%</w:t>
            </w:r>
          </w:p>
        </w:tc>
      </w:tr>
      <w:tr>
        <w:trPr>
          <w:trHeight w:val="171"/>
        </w:trPr>
        <w:tc>
          <w:tcPr>
            <w:tcW w:w="1720" w:type="dxa"/>
            <w:vAlign w:val="bottom"/>
          </w:tcPr>
          <w:p>
            <w:pPr>
              <w:ind w:left="160"/>
              <w:spacing w:after="0"/>
              <w:rPr>
                <w:sz w:val="20"/>
                <w:szCs w:val="20"/>
                <w:color w:val="auto"/>
              </w:rPr>
            </w:pPr>
            <w:r>
              <w:rPr>
                <w:rFonts w:ascii="Courier New" w:cs="Courier New" w:eastAsia="Courier New" w:hAnsi="Courier New"/>
                <w:sz w:val="15"/>
                <w:szCs w:val="15"/>
                <w:color w:val="auto"/>
              </w:rPr>
              <w:t>Past due loans as</w:t>
            </w:r>
          </w:p>
        </w:tc>
        <w:tc>
          <w:tcPr>
            <w:tcW w:w="3380" w:type="dxa"/>
            <w:vAlign w:val="bottom"/>
          </w:tcPr>
          <w:p>
            <w:pPr>
              <w:ind w:left="40"/>
              <w:spacing w:after="0"/>
              <w:rPr>
                <w:sz w:val="20"/>
                <w:szCs w:val="20"/>
                <w:color w:val="auto"/>
              </w:rPr>
            </w:pPr>
            <w:r>
              <w:rPr>
                <w:rFonts w:ascii="Courier New" w:cs="Courier New" w:eastAsia="Courier New" w:hAnsi="Courier New"/>
                <w:sz w:val="15"/>
                <w:szCs w:val="15"/>
                <w:color w:val="auto"/>
              </w:rPr>
              <w:t>a percentage of total loans</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0.0%</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0.0%</w:t>
            </w: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0.0%</w:t>
            </w:r>
          </w:p>
        </w:tc>
        <w:tc>
          <w:tcPr>
            <w:tcW w:w="12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0.0%</w:t>
            </w:r>
          </w:p>
        </w:tc>
      </w:tr>
      <w:tr>
        <w:trPr>
          <w:trHeight w:val="171"/>
        </w:trPr>
        <w:tc>
          <w:tcPr>
            <w:tcW w:w="1720" w:type="dxa"/>
            <w:vAlign w:val="bottom"/>
          </w:tcPr>
          <w:p>
            <w:pPr>
              <w:ind w:left="160"/>
              <w:spacing w:after="0"/>
              <w:rPr>
                <w:sz w:val="20"/>
                <w:szCs w:val="20"/>
                <w:color w:val="auto"/>
              </w:rPr>
            </w:pPr>
            <w:r>
              <w:rPr>
                <w:rFonts w:ascii="Courier New" w:cs="Courier New" w:eastAsia="Courier New" w:hAnsi="Courier New"/>
                <w:sz w:val="15"/>
                <w:szCs w:val="15"/>
                <w:color w:val="auto"/>
              </w:rPr>
              <w:t>Reserves for loan</w:t>
            </w:r>
          </w:p>
        </w:tc>
        <w:tc>
          <w:tcPr>
            <w:tcW w:w="3380" w:type="dxa"/>
            <w:vAlign w:val="bottom"/>
          </w:tcPr>
          <w:p>
            <w:pPr>
              <w:ind w:left="40"/>
              <w:spacing w:after="0"/>
              <w:rPr>
                <w:sz w:val="20"/>
                <w:szCs w:val="20"/>
                <w:color w:val="auto"/>
              </w:rPr>
            </w:pPr>
            <w:r>
              <w:rPr>
                <w:rFonts w:ascii="Courier New" w:cs="Courier New" w:eastAsia="Courier New" w:hAnsi="Courier New"/>
                <w:sz w:val="15"/>
                <w:szCs w:val="15"/>
                <w:color w:val="auto"/>
              </w:rPr>
              <w:t>losses as a percentage</w:t>
            </w: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1"/>
        </w:trPr>
        <w:tc>
          <w:tcPr>
            <w:tcW w:w="1720" w:type="dxa"/>
            <w:vAlign w:val="bottom"/>
          </w:tcPr>
          <w:p>
            <w:pPr>
              <w:ind w:left="440"/>
              <w:spacing w:after="0"/>
              <w:rPr>
                <w:sz w:val="20"/>
                <w:szCs w:val="20"/>
                <w:color w:val="auto"/>
              </w:rPr>
            </w:pPr>
            <w:r>
              <w:rPr>
                <w:rFonts w:ascii="Courier New" w:cs="Courier New" w:eastAsia="Courier New" w:hAnsi="Courier New"/>
                <w:sz w:val="15"/>
                <w:szCs w:val="15"/>
                <w:color w:val="auto"/>
                <w:w w:val="99"/>
              </w:rPr>
              <w:t>of total loans</w:t>
            </w:r>
          </w:p>
        </w:tc>
        <w:tc>
          <w:tcPr>
            <w:tcW w:w="338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0.4%</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0.4%</w:t>
            </w: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0.8%</w:t>
            </w:r>
          </w:p>
        </w:tc>
        <w:tc>
          <w:tcPr>
            <w:tcW w:w="12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0.4%</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0.8%</w:t>
            </w:r>
          </w:p>
        </w:tc>
      </w:tr>
      <w:tr>
        <w:trPr>
          <w:trHeight w:val="171"/>
        </w:trPr>
        <w:tc>
          <w:tcPr>
            <w:tcW w:w="1720" w:type="dxa"/>
            <w:vAlign w:val="bottom"/>
          </w:tcPr>
          <w:p>
            <w:pPr>
              <w:ind w:left="160"/>
              <w:spacing w:after="0"/>
              <w:rPr>
                <w:sz w:val="20"/>
                <w:szCs w:val="20"/>
                <w:color w:val="auto"/>
              </w:rPr>
            </w:pPr>
            <w:r>
              <w:rPr>
                <w:rFonts w:ascii="Courier New" w:cs="Courier New" w:eastAsia="Courier New" w:hAnsi="Courier New"/>
                <w:sz w:val="15"/>
                <w:szCs w:val="15"/>
                <w:color w:val="auto"/>
              </w:rPr>
              <w:t>Operating expense</w:t>
            </w:r>
          </w:p>
        </w:tc>
        <w:tc>
          <w:tcPr>
            <w:tcW w:w="3380" w:type="dxa"/>
            <w:vAlign w:val="bottom"/>
          </w:tcPr>
          <w:p>
            <w:pPr>
              <w:ind w:left="140"/>
              <w:spacing w:after="0"/>
              <w:rPr>
                <w:sz w:val="20"/>
                <w:szCs w:val="20"/>
                <w:color w:val="auto"/>
              </w:rPr>
            </w:pPr>
            <w:r>
              <w:rPr>
                <w:rFonts w:ascii="Courier New" w:cs="Courier New" w:eastAsia="Courier New" w:hAnsi="Courier New"/>
                <w:sz w:val="15"/>
                <w:szCs w:val="15"/>
                <w:color w:val="auto"/>
              </w:rPr>
              <w:t>/  total income(6)</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40.0%</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63.9%</w:t>
            </w: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38.5%</w:t>
            </w:r>
          </w:p>
        </w:tc>
        <w:tc>
          <w:tcPr>
            <w:tcW w:w="12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38.8%</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37.9%</w:t>
            </w:r>
          </w:p>
        </w:tc>
      </w:tr>
      <w:tr>
        <w:trPr>
          <w:trHeight w:val="171"/>
        </w:trPr>
        <w:tc>
          <w:tcPr>
            <w:tcW w:w="1720" w:type="dxa"/>
            <w:vAlign w:val="bottom"/>
          </w:tcPr>
          <w:p>
            <w:pPr>
              <w:ind w:left="160"/>
              <w:spacing w:after="0"/>
              <w:rPr>
                <w:sz w:val="20"/>
                <w:szCs w:val="20"/>
                <w:color w:val="auto"/>
              </w:rPr>
            </w:pPr>
            <w:r>
              <w:rPr>
                <w:rFonts w:ascii="Courier New" w:cs="Courier New" w:eastAsia="Courier New" w:hAnsi="Courier New"/>
                <w:sz w:val="15"/>
                <w:szCs w:val="15"/>
                <w:color w:val="auto"/>
              </w:rPr>
              <w:t>Operating expense</w:t>
            </w:r>
          </w:p>
        </w:tc>
        <w:tc>
          <w:tcPr>
            <w:tcW w:w="3380" w:type="dxa"/>
            <w:vAlign w:val="bottom"/>
          </w:tcPr>
          <w:p>
            <w:pPr>
              <w:ind w:left="40"/>
              <w:spacing w:after="0"/>
              <w:rPr>
                <w:sz w:val="20"/>
                <w:szCs w:val="20"/>
                <w:color w:val="auto"/>
              </w:rPr>
            </w:pPr>
            <w:r>
              <w:rPr>
                <w:rFonts w:ascii="Courier New" w:cs="Courier New" w:eastAsia="Courier New" w:hAnsi="Courier New"/>
                <w:sz w:val="15"/>
                <w:szCs w:val="15"/>
                <w:color w:val="auto"/>
              </w:rPr>
              <w:t>/ average total assets(4)</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1.5%</w:t>
            </w: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1.2%</w:t>
            </w:r>
          </w:p>
        </w:tc>
        <w:tc>
          <w:tcPr>
            <w:tcW w:w="12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1.5%</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171"/>
        </w:trPr>
        <w:tc>
          <w:tcPr>
            <w:tcW w:w="1720" w:type="dxa"/>
            <w:vAlign w:val="bottom"/>
          </w:tcPr>
          <w:p>
            <w:pPr>
              <w:ind w:left="160"/>
              <w:spacing w:after="0"/>
              <w:rPr>
                <w:sz w:val="20"/>
                <w:szCs w:val="20"/>
                <w:color w:val="auto"/>
              </w:rPr>
            </w:pPr>
            <w:r>
              <w:rPr>
                <w:rFonts w:ascii="Courier New" w:cs="Courier New" w:eastAsia="Courier New" w:hAnsi="Courier New"/>
                <w:sz w:val="15"/>
                <w:szCs w:val="15"/>
                <w:color w:val="auto"/>
              </w:rPr>
              <w:t>Operating expense</w:t>
            </w:r>
          </w:p>
        </w:tc>
        <w:tc>
          <w:tcPr>
            <w:tcW w:w="3380" w:type="dxa"/>
            <w:vAlign w:val="bottom"/>
          </w:tcPr>
          <w:p>
            <w:pPr>
              <w:ind w:left="40"/>
              <w:spacing w:after="0"/>
              <w:rPr>
                <w:sz w:val="20"/>
                <w:szCs w:val="20"/>
                <w:color w:val="auto"/>
              </w:rPr>
            </w:pPr>
            <w:r>
              <w:rPr>
                <w:rFonts w:ascii="Courier New" w:cs="Courier New" w:eastAsia="Courier New" w:hAnsi="Courier New"/>
                <w:sz w:val="15"/>
                <w:szCs w:val="15"/>
                <w:color w:val="auto"/>
              </w:rPr>
              <w:t>/ average total assets +</w:t>
            </w: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1"/>
        </w:trPr>
        <w:tc>
          <w:tcPr>
            <w:tcW w:w="1720" w:type="dxa"/>
            <w:vAlign w:val="bottom"/>
          </w:tcPr>
          <w:p>
            <w:pPr>
              <w:spacing w:after="0"/>
              <w:rPr>
                <w:sz w:val="14"/>
                <w:szCs w:val="14"/>
                <w:color w:val="auto"/>
              </w:rPr>
            </w:pPr>
          </w:p>
        </w:tc>
        <w:tc>
          <w:tcPr>
            <w:tcW w:w="3380" w:type="dxa"/>
            <w:vAlign w:val="bottom"/>
          </w:tcPr>
          <w:p>
            <w:pPr>
              <w:ind w:left="1120"/>
              <w:spacing w:after="0"/>
              <w:rPr>
                <w:sz w:val="20"/>
                <w:szCs w:val="20"/>
                <w:color w:val="auto"/>
              </w:rPr>
            </w:pPr>
            <w:r>
              <w:rPr>
                <w:rFonts w:ascii="Courier New" w:cs="Courier New" w:eastAsia="Courier New" w:hAnsi="Courier New"/>
                <w:sz w:val="15"/>
                <w:szCs w:val="15"/>
                <w:color w:val="auto"/>
                <w:w w:val="99"/>
              </w:rPr>
              <w:t>funds under management(4)</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0.9%</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0.9%</w:t>
            </w: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0.7%</w:t>
            </w:r>
          </w:p>
        </w:tc>
        <w:tc>
          <w:tcPr>
            <w:tcW w:w="12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0.8%</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351" w:lineRule="exact"/>
        <w:rPr>
          <w:sz w:val="20"/>
          <w:szCs w:val="20"/>
          <w:color w:val="auto"/>
        </w:rPr>
      </w:pPr>
    </w:p>
    <w:p>
      <w:pPr>
        <w:ind w:left="449" w:hanging="449"/>
        <w:spacing w:after="0"/>
        <w:tabs>
          <w:tab w:leader="none" w:pos="449"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realized gains in securities.</w:t>
      </w:r>
    </w:p>
    <w:p>
      <w:pPr>
        <w:spacing w:after="0" w:line="3" w:lineRule="exact"/>
        <w:rPr>
          <w:rFonts w:ascii="Courier New" w:cs="Courier New" w:eastAsia="Courier New" w:hAnsi="Courier New"/>
          <w:sz w:val="15"/>
          <w:szCs w:val="15"/>
          <w:color w:val="auto"/>
        </w:rPr>
      </w:pPr>
    </w:p>
    <w:p>
      <w:pPr>
        <w:ind w:left="449" w:right="4620" w:hanging="449"/>
        <w:spacing w:after="0" w:line="238" w:lineRule="auto"/>
        <w:tabs>
          <w:tab w:leader="none" w:pos="449"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Averages are determined as the average of period-beginning and period-ending balances.</w:t>
      </w:r>
    </w:p>
    <w:p>
      <w:pPr>
        <w:spacing w:after="0" w:line="1" w:lineRule="exact"/>
        <w:rPr>
          <w:rFonts w:ascii="Courier New" w:cs="Courier New" w:eastAsia="Courier New" w:hAnsi="Courier New"/>
          <w:sz w:val="15"/>
          <w:szCs w:val="15"/>
          <w:color w:val="auto"/>
        </w:rPr>
      </w:pPr>
    </w:p>
    <w:p>
      <w:pPr>
        <w:ind w:left="449" w:hanging="449"/>
        <w:spacing w:after="0"/>
        <w:tabs>
          <w:tab w:leader="none" w:pos="449"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Averages determined from monthly balances.</w:t>
      </w:r>
    </w:p>
    <w:p>
      <w:pPr>
        <w:ind w:left="449" w:hanging="449"/>
        <w:spacing w:after="0"/>
        <w:tabs>
          <w:tab w:leader="none" w:pos="449"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Annualized.</w:t>
      </w:r>
    </w:p>
    <w:p>
      <w:pPr>
        <w:spacing w:after="0" w:line="3" w:lineRule="exact"/>
        <w:rPr>
          <w:rFonts w:ascii="Courier New" w:cs="Courier New" w:eastAsia="Courier New" w:hAnsi="Courier New"/>
          <w:sz w:val="15"/>
          <w:szCs w:val="15"/>
          <w:color w:val="auto"/>
        </w:rPr>
      </w:pPr>
    </w:p>
    <w:p>
      <w:pPr>
        <w:ind w:left="449" w:right="4100" w:hanging="449"/>
        <w:spacing w:after="0" w:line="238" w:lineRule="auto"/>
        <w:tabs>
          <w:tab w:leader="none" w:pos="449"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Without considering dividend income and dividend earning assets. (6) Without considering provisions for investments.</w:t>
      </w:r>
    </w:p>
    <w:p>
      <w:pPr>
        <w:spacing w:after="0" w:line="343"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569"/>
          </w:cols>
          <w:pgMar w:left="231" w:top="1140" w:right="1099" w:bottom="1440" w:gutter="0" w:footer="0" w:header="0"/>
        </w:sectPr>
      </w:pPr>
    </w:p>
    <w:bookmarkStart w:id="35" w:name="page36"/>
    <w:bookmarkEnd w:id="35"/>
    <w:p>
      <w:pPr>
        <w:jc w:val="center"/>
        <w:ind w:right="3791"/>
        <w:spacing w:after="0"/>
        <w:rPr>
          <w:sz w:val="20"/>
          <w:szCs w:val="20"/>
          <w:color w:val="auto"/>
        </w:rPr>
      </w:pPr>
      <w:r>
        <w:rPr>
          <w:rFonts w:ascii="Courier New" w:cs="Courier New" w:eastAsia="Courier New" w:hAnsi="Courier New"/>
          <w:sz w:val="15"/>
          <w:szCs w:val="15"/>
          <w:color w:val="auto"/>
        </w:rPr>
        <w:t>EL PACIFICO-PERUANO SUIZA AND SUBSIDIARIES</w:t>
      </w:r>
    </w:p>
    <w:p>
      <w:pPr>
        <w:spacing w:after="0" w:line="1" w:lineRule="exact"/>
        <w:rPr>
          <w:sz w:val="20"/>
          <w:szCs w:val="20"/>
          <w:color w:val="auto"/>
        </w:rPr>
      </w:pPr>
    </w:p>
    <w:p>
      <w:pPr>
        <w:jc w:val="center"/>
        <w:ind w:right="3711"/>
        <w:spacing w:after="0"/>
        <w:rPr>
          <w:sz w:val="20"/>
          <w:szCs w:val="20"/>
          <w:color w:val="auto"/>
        </w:rPr>
      </w:pPr>
      <w:r>
        <w:rPr>
          <w:rFonts w:ascii="Courier New" w:cs="Courier New" w:eastAsia="Courier New" w:hAnsi="Courier New"/>
          <w:sz w:val="15"/>
          <w:szCs w:val="15"/>
          <w:color w:val="auto"/>
        </w:rPr>
        <w:t>Table 8</w:t>
      </w:r>
    </w:p>
    <w:p>
      <w:pPr>
        <w:spacing w:after="0" w:line="1" w:lineRule="exact"/>
        <w:rPr>
          <w:sz w:val="20"/>
          <w:szCs w:val="20"/>
          <w:color w:val="auto"/>
        </w:rPr>
      </w:pPr>
    </w:p>
    <w:p>
      <w:pPr>
        <w:jc w:val="center"/>
        <w:ind w:right="3711"/>
        <w:spacing w:after="0"/>
        <w:rPr>
          <w:sz w:val="20"/>
          <w:szCs w:val="20"/>
          <w:color w:val="auto"/>
        </w:rPr>
      </w:pPr>
      <w:r>
        <w:rPr>
          <w:rFonts w:ascii="Courier New" w:cs="Courier New" w:eastAsia="Courier New" w:hAnsi="Courier New"/>
          <w:sz w:val="15"/>
          <w:szCs w:val="15"/>
          <w:color w:val="auto"/>
        </w:rPr>
        <w:t>SELECTED FINANCIAL DATA</w:t>
      </w:r>
    </w:p>
    <w:p>
      <w:pPr>
        <w:spacing w:after="0" w:line="1" w:lineRule="exact"/>
        <w:rPr>
          <w:sz w:val="20"/>
          <w:szCs w:val="20"/>
          <w:color w:val="auto"/>
        </w:rPr>
      </w:pPr>
    </w:p>
    <w:p>
      <w:pPr>
        <w:jc w:val="center"/>
        <w:ind w:right="3711"/>
        <w:spacing w:after="0"/>
        <w:rPr>
          <w:sz w:val="20"/>
          <w:szCs w:val="20"/>
          <w:color w:val="auto"/>
        </w:rPr>
      </w:pPr>
      <w:r>
        <w:rPr>
          <w:rFonts w:ascii="Courier New" w:cs="Courier New" w:eastAsia="Courier New" w:hAnsi="Courier New"/>
          <w:sz w:val="15"/>
          <w:szCs w:val="15"/>
          <w:color w:val="auto"/>
        </w:rPr>
        <w:t>(Constant Nuevos Soles as of December 31, 2002, and</w:t>
      </w:r>
    </w:p>
    <w:p>
      <w:pPr>
        <w:spacing w:after="0" w:line="1" w:lineRule="exact"/>
        <w:rPr>
          <w:sz w:val="20"/>
          <w:szCs w:val="20"/>
          <w:color w:val="auto"/>
        </w:rPr>
      </w:pPr>
    </w:p>
    <w:p>
      <w:pPr>
        <w:jc w:val="center"/>
        <w:ind w:right="3711"/>
        <w:spacing w:after="0"/>
        <w:rPr>
          <w:sz w:val="20"/>
          <w:szCs w:val="20"/>
          <w:color w:val="auto"/>
        </w:rPr>
      </w:pPr>
      <w:r>
        <w:rPr>
          <w:rFonts w:ascii="Courier New" w:cs="Courier New" w:eastAsia="Courier New" w:hAnsi="Courier New"/>
          <w:sz w:val="15"/>
          <w:szCs w:val="15"/>
          <w:color w:val="auto"/>
        </w:rPr>
        <w:t>U.S. Dollars in thousands, except net income per share)</w:t>
      </w:r>
    </w:p>
    <w:p>
      <w:pPr>
        <w:spacing w:after="0" w:line="342" w:lineRule="exact"/>
        <w:rPr>
          <w:sz w:val="20"/>
          <w:szCs w:val="20"/>
          <w:color w:val="auto"/>
        </w:rPr>
      </w:pPr>
    </w:p>
    <w:p>
      <w:pPr>
        <w:ind w:left="3909"/>
        <w:spacing w:after="0"/>
        <w:tabs>
          <w:tab w:leader="none" w:pos="7609" w:val="left"/>
        </w:tabs>
        <w:rPr>
          <w:sz w:val="20"/>
          <w:szCs w:val="20"/>
          <w:color w:val="auto"/>
        </w:rPr>
      </w:pPr>
      <w:r>
        <w:rPr>
          <w:rFonts w:ascii="Courier New" w:cs="Courier New" w:eastAsia="Courier New" w:hAnsi="Courier New"/>
          <w:sz w:val="15"/>
          <w:szCs w:val="15"/>
          <w:color w:val="auto"/>
        </w:rPr>
        <w:t>As of and for the three month</w:t>
      </w:r>
      <w:r>
        <w:rPr>
          <w:sz w:val="20"/>
          <w:szCs w:val="20"/>
          <w:color w:val="auto"/>
        </w:rPr>
        <w:tab/>
      </w:r>
      <w:r>
        <w:rPr>
          <w:rFonts w:ascii="Courier New" w:cs="Courier New" w:eastAsia="Courier New" w:hAnsi="Courier New"/>
          <w:sz w:val="14"/>
          <w:szCs w:val="14"/>
          <w:color w:val="auto"/>
        </w:rPr>
        <w:t>As of and for the twelve month</w:t>
      </w:r>
    </w:p>
    <w:p>
      <w:pPr>
        <w:spacing w:after="0" w:line="1" w:lineRule="exact"/>
        <w:rPr>
          <w:sz w:val="20"/>
          <w:szCs w:val="20"/>
          <w:color w:val="auto"/>
        </w:rPr>
      </w:pPr>
    </w:p>
    <w:p>
      <w:pPr>
        <w:ind w:left="4609"/>
        <w:spacing w:after="0"/>
        <w:tabs>
          <w:tab w:leader="none" w:pos="8409" w:val="left"/>
        </w:tabs>
        <w:rPr>
          <w:sz w:val="20"/>
          <w:szCs w:val="20"/>
          <w:color w:val="auto"/>
        </w:rPr>
      </w:pPr>
      <w:r>
        <w:rPr>
          <w:rFonts w:ascii="Courier New" w:cs="Courier New" w:eastAsia="Courier New" w:hAnsi="Courier New"/>
          <w:sz w:val="15"/>
          <w:szCs w:val="15"/>
          <w:color w:val="auto"/>
        </w:rPr>
        <w:t>period ended</w:t>
      </w:r>
      <w:r>
        <w:rPr>
          <w:sz w:val="20"/>
          <w:szCs w:val="20"/>
          <w:color w:val="auto"/>
        </w:rPr>
        <w:tab/>
      </w:r>
      <w:r>
        <w:rPr>
          <w:rFonts w:ascii="Courier New" w:cs="Courier New" w:eastAsia="Courier New" w:hAnsi="Courier New"/>
          <w:sz w:val="14"/>
          <w:szCs w:val="14"/>
          <w:color w:val="auto"/>
        </w:rPr>
        <w:t>period ended</w:t>
      </w:r>
    </w:p>
    <w:p>
      <w:pPr>
        <w:spacing w:after="0" w:line="1" w:lineRule="exact"/>
        <w:rPr>
          <w:sz w:val="20"/>
          <w:szCs w:val="20"/>
          <w:color w:val="auto"/>
        </w:rPr>
      </w:pPr>
    </w:p>
    <w:p>
      <w:pPr>
        <w:ind w:left="310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289"/>
        <w:spacing w:after="0"/>
        <w:tabs>
          <w:tab w:leader="none" w:pos="4329" w:val="left"/>
          <w:tab w:leader="none" w:pos="5489" w:val="left"/>
          <w:tab w:leader="none" w:pos="6449" w:val="left"/>
          <w:tab w:leader="none" w:pos="7529" w:val="left"/>
          <w:tab w:leader="none" w:pos="8589" w:val="left"/>
          <w:tab w:leader="none" w:pos="9749" w:val="left"/>
        </w:tabs>
        <w:rPr>
          <w:sz w:val="20"/>
          <w:szCs w:val="20"/>
          <w:color w:val="auto"/>
        </w:rPr>
      </w:pPr>
      <w:r>
        <w:rPr>
          <w:rFonts w:ascii="Courier New" w:cs="Courier New" w:eastAsia="Courier New" w:hAnsi="Courier New"/>
          <w:sz w:val="15"/>
          <w:szCs w:val="15"/>
          <w:color w:val="auto"/>
        </w:rPr>
        <w:t>31.12.01</w:t>
      </w:r>
      <w:r>
        <w:rPr>
          <w:sz w:val="20"/>
          <w:szCs w:val="20"/>
          <w:color w:val="auto"/>
        </w:rPr>
        <w:tab/>
      </w:r>
      <w:r>
        <w:rPr>
          <w:rFonts w:ascii="Courier New" w:cs="Courier New" w:eastAsia="Courier New" w:hAnsi="Courier New"/>
          <w:sz w:val="15"/>
          <w:szCs w:val="15"/>
          <w:color w:val="auto"/>
        </w:rPr>
        <w:t>30.09.02</w:t>
      </w:r>
      <w:r>
        <w:rPr>
          <w:sz w:val="20"/>
          <w:szCs w:val="20"/>
          <w:color w:val="auto"/>
        </w:rPr>
        <w:tab/>
      </w:r>
      <w:r>
        <w:rPr>
          <w:rFonts w:ascii="Courier New" w:cs="Courier New" w:eastAsia="Courier New" w:hAnsi="Courier New"/>
          <w:sz w:val="15"/>
          <w:szCs w:val="15"/>
          <w:color w:val="auto"/>
        </w:rPr>
        <w:t>31.12.02</w:t>
        <w:tab/>
        <w:t>31.12.02</w:t>
      </w:r>
      <w:r>
        <w:rPr>
          <w:sz w:val="20"/>
          <w:szCs w:val="20"/>
          <w:color w:val="auto"/>
        </w:rPr>
        <w:tab/>
      </w:r>
      <w:r>
        <w:rPr>
          <w:rFonts w:ascii="Courier New" w:cs="Courier New" w:eastAsia="Courier New" w:hAnsi="Courier New"/>
          <w:sz w:val="15"/>
          <w:szCs w:val="15"/>
          <w:color w:val="auto"/>
        </w:rPr>
        <w:t>31.12.01</w:t>
      </w:r>
      <w:r>
        <w:rPr>
          <w:sz w:val="20"/>
          <w:szCs w:val="20"/>
          <w:color w:val="auto"/>
        </w:rPr>
        <w:tab/>
      </w:r>
      <w:r>
        <w:rPr>
          <w:rFonts w:ascii="Courier New" w:cs="Courier New" w:eastAsia="Courier New" w:hAnsi="Courier New"/>
          <w:sz w:val="15"/>
          <w:szCs w:val="15"/>
          <w:color w:val="auto"/>
        </w:rPr>
        <w:t>31.12.02</w:t>
      </w:r>
      <w:r>
        <w:rPr>
          <w:sz w:val="20"/>
          <w:szCs w:val="20"/>
          <w:color w:val="auto"/>
        </w:rPr>
        <w:tab/>
      </w:r>
      <w:r>
        <w:rPr>
          <w:rFonts w:ascii="Courier New" w:cs="Courier New" w:eastAsia="Courier New" w:hAnsi="Courier New"/>
          <w:sz w:val="14"/>
          <w:szCs w:val="14"/>
          <w:color w:val="auto"/>
        </w:rPr>
        <w:t>31.12.02</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320" w:type="dxa"/>
            <w:vAlign w:val="bottom"/>
          </w:tcPr>
          <w:p>
            <w:pPr>
              <w:spacing w:after="0"/>
              <w:rPr>
                <w:sz w:val="20"/>
                <w:szCs w:val="20"/>
                <w:color w:val="auto"/>
              </w:rPr>
            </w:pPr>
            <w:r>
              <w:rPr>
                <w:rFonts w:ascii="Courier New" w:cs="Courier New" w:eastAsia="Courier New" w:hAnsi="Courier New"/>
                <w:sz w:val="15"/>
                <w:szCs w:val="15"/>
                <w:color w:val="auto"/>
              </w:rPr>
              <w:t>Results</w:t>
            </w: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4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US$000(1)</w:t>
            </w: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US$000(1)</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1"/>
        </w:trPr>
        <w:tc>
          <w:tcPr>
            <w:tcW w:w="3320" w:type="dxa"/>
            <w:vAlign w:val="bottom"/>
          </w:tcPr>
          <w:p>
            <w:pPr>
              <w:ind w:left="160"/>
              <w:spacing w:after="0"/>
              <w:rPr>
                <w:sz w:val="20"/>
                <w:szCs w:val="20"/>
                <w:color w:val="auto"/>
              </w:rPr>
            </w:pPr>
            <w:r>
              <w:rPr>
                <w:rFonts w:ascii="Courier New" w:cs="Courier New" w:eastAsia="Courier New" w:hAnsi="Courier New"/>
                <w:sz w:val="15"/>
                <w:szCs w:val="15"/>
                <w:color w:val="auto"/>
              </w:rPr>
              <w:t>Total gross Premiums</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191,852</w:t>
            </w:r>
          </w:p>
        </w:tc>
        <w:tc>
          <w:tcPr>
            <w:tcW w:w="11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231,889</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197,293</w:t>
            </w:r>
          </w:p>
        </w:tc>
        <w:tc>
          <w:tcPr>
            <w:tcW w:w="9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$56,145</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736,367</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859,061</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$244,468</w:t>
            </w:r>
          </w:p>
        </w:tc>
      </w:tr>
      <w:tr>
        <w:trPr>
          <w:trHeight w:val="171"/>
        </w:trPr>
        <w:tc>
          <w:tcPr>
            <w:tcW w:w="3320" w:type="dxa"/>
            <w:vAlign w:val="bottom"/>
          </w:tcPr>
          <w:p>
            <w:pPr>
              <w:ind w:left="160"/>
              <w:spacing w:after="0"/>
              <w:rPr>
                <w:sz w:val="20"/>
                <w:szCs w:val="20"/>
                <w:color w:val="auto"/>
              </w:rPr>
            </w:pPr>
            <w:r>
              <w:rPr>
                <w:rFonts w:ascii="Courier New" w:cs="Courier New" w:eastAsia="Courier New" w:hAnsi="Courier New"/>
                <w:sz w:val="15"/>
                <w:szCs w:val="15"/>
                <w:color w:val="auto"/>
              </w:rPr>
              <w:t>Net Premiums Earned</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109,002</w:t>
            </w:r>
          </w:p>
        </w:tc>
        <w:tc>
          <w:tcPr>
            <w:tcW w:w="11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128,579</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120,728</w:t>
            </w:r>
          </w:p>
        </w:tc>
        <w:tc>
          <w:tcPr>
            <w:tcW w:w="9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$34,356</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428,903</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483,023</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$137,457</w:t>
            </w:r>
          </w:p>
        </w:tc>
      </w:tr>
      <w:tr>
        <w:trPr>
          <w:trHeight w:val="171"/>
        </w:trPr>
        <w:tc>
          <w:tcPr>
            <w:tcW w:w="3320" w:type="dxa"/>
            <w:vAlign w:val="bottom"/>
          </w:tcPr>
          <w:p>
            <w:pPr>
              <w:ind w:left="160"/>
              <w:spacing w:after="0"/>
              <w:rPr>
                <w:sz w:val="20"/>
                <w:szCs w:val="20"/>
                <w:color w:val="auto"/>
              </w:rPr>
            </w:pPr>
            <w:r>
              <w:rPr>
                <w:rFonts w:ascii="Courier New" w:cs="Courier New" w:eastAsia="Courier New" w:hAnsi="Courier New"/>
                <w:sz w:val="15"/>
                <w:szCs w:val="15"/>
                <w:color w:val="auto"/>
              </w:rPr>
              <w:t>Change in Reserves</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29,704</w:t>
            </w:r>
          </w:p>
        </w:tc>
        <w:tc>
          <w:tcPr>
            <w:tcW w:w="11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26,473</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28,573</w:t>
            </w:r>
          </w:p>
        </w:tc>
        <w:tc>
          <w:tcPr>
            <w:tcW w:w="9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$8,131</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119,091</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118,069</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$33,600</w:t>
            </w:r>
          </w:p>
        </w:tc>
      </w:tr>
      <w:tr>
        <w:trPr>
          <w:trHeight w:val="171"/>
        </w:trPr>
        <w:tc>
          <w:tcPr>
            <w:tcW w:w="3320" w:type="dxa"/>
            <w:vAlign w:val="bottom"/>
          </w:tcPr>
          <w:p>
            <w:pPr>
              <w:ind w:left="160"/>
              <w:spacing w:after="0"/>
              <w:rPr>
                <w:sz w:val="20"/>
                <w:szCs w:val="20"/>
                <w:color w:val="auto"/>
              </w:rPr>
            </w:pPr>
            <w:r>
              <w:rPr>
                <w:rFonts w:ascii="Courier New" w:cs="Courier New" w:eastAsia="Courier New" w:hAnsi="Courier New"/>
                <w:sz w:val="15"/>
                <w:szCs w:val="15"/>
                <w:color w:val="auto"/>
              </w:rPr>
              <w:t>Net Underwriting Results</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18,790</w:t>
            </w:r>
          </w:p>
        </w:tc>
        <w:tc>
          <w:tcPr>
            <w:tcW w:w="11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21,615</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13,761</w:t>
            </w:r>
          </w:p>
        </w:tc>
        <w:tc>
          <w:tcPr>
            <w:tcW w:w="9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$3,916</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36,540</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72,256</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$20,562</w:t>
            </w:r>
          </w:p>
        </w:tc>
      </w:tr>
      <w:tr>
        <w:trPr>
          <w:trHeight w:val="171"/>
        </w:trPr>
        <w:tc>
          <w:tcPr>
            <w:tcW w:w="3320" w:type="dxa"/>
            <w:vAlign w:val="bottom"/>
          </w:tcPr>
          <w:p>
            <w:pPr>
              <w:ind w:left="160"/>
              <w:spacing w:after="0"/>
              <w:rPr>
                <w:sz w:val="20"/>
                <w:szCs w:val="20"/>
                <w:color w:val="auto"/>
              </w:rPr>
            </w:pPr>
            <w:r>
              <w:rPr>
                <w:rFonts w:ascii="Courier New" w:cs="Courier New" w:eastAsia="Courier New" w:hAnsi="Courier New"/>
                <w:sz w:val="15"/>
                <w:szCs w:val="15"/>
                <w:color w:val="auto"/>
              </w:rPr>
              <w:t>Net Financial Income</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256,909</w:t>
            </w:r>
          </w:p>
        </w:tc>
        <w:tc>
          <w:tcPr>
            <w:tcW w:w="11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19,767</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22,139</w:t>
            </w:r>
          </w:p>
        </w:tc>
        <w:tc>
          <w:tcPr>
            <w:tcW w:w="9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$6,300</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308,374</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87,089</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$24,783</w:t>
            </w:r>
          </w:p>
        </w:tc>
      </w:tr>
      <w:tr>
        <w:trPr>
          <w:trHeight w:val="171"/>
        </w:trPr>
        <w:tc>
          <w:tcPr>
            <w:tcW w:w="3320" w:type="dxa"/>
            <w:vAlign w:val="bottom"/>
          </w:tcPr>
          <w:p>
            <w:pPr>
              <w:ind w:left="160"/>
              <w:spacing w:after="0"/>
              <w:rPr>
                <w:sz w:val="20"/>
                <w:szCs w:val="20"/>
                <w:color w:val="auto"/>
              </w:rPr>
            </w:pPr>
            <w:r>
              <w:rPr>
                <w:rFonts w:ascii="Courier New" w:cs="Courier New" w:eastAsia="Courier New" w:hAnsi="Courier New"/>
                <w:sz w:val="15"/>
                <w:szCs w:val="15"/>
                <w:color w:val="auto"/>
              </w:rPr>
              <w:t>General Expenses</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30,618</w:t>
            </w:r>
          </w:p>
        </w:tc>
        <w:tc>
          <w:tcPr>
            <w:tcW w:w="11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24,977</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30,668</w:t>
            </w:r>
          </w:p>
        </w:tc>
        <w:tc>
          <w:tcPr>
            <w:tcW w:w="9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$8,727</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100,678</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109,426</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$31,140</w:t>
            </w:r>
          </w:p>
        </w:tc>
      </w:tr>
      <w:tr>
        <w:trPr>
          <w:trHeight w:val="171"/>
        </w:trPr>
        <w:tc>
          <w:tcPr>
            <w:tcW w:w="3320" w:type="dxa"/>
            <w:vAlign w:val="bottom"/>
          </w:tcPr>
          <w:p>
            <w:pPr>
              <w:ind w:left="160"/>
              <w:spacing w:after="0"/>
              <w:rPr>
                <w:sz w:val="20"/>
                <w:szCs w:val="20"/>
                <w:color w:val="auto"/>
              </w:rPr>
            </w:pPr>
            <w:r>
              <w:rPr>
                <w:rFonts w:ascii="Courier New" w:cs="Courier New" w:eastAsia="Courier New" w:hAnsi="Courier New"/>
                <w:sz w:val="15"/>
                <w:szCs w:val="15"/>
                <w:color w:val="auto"/>
              </w:rPr>
              <w:t>Net Income</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211,254</w:t>
            </w:r>
          </w:p>
        </w:tc>
        <w:tc>
          <w:tcPr>
            <w:tcW w:w="11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12,289</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1,011</w:t>
            </w:r>
          </w:p>
        </w:tc>
        <w:tc>
          <w:tcPr>
            <w:tcW w:w="9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$288</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214,139</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35,547</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$10,116</w:t>
            </w:r>
          </w:p>
        </w:tc>
      </w:tr>
      <w:tr>
        <w:trPr>
          <w:trHeight w:val="171"/>
        </w:trPr>
        <w:tc>
          <w:tcPr>
            <w:tcW w:w="3320" w:type="dxa"/>
            <w:vAlign w:val="bottom"/>
          </w:tcPr>
          <w:p>
            <w:pPr>
              <w:ind w:left="160"/>
              <w:spacing w:after="0"/>
              <w:rPr>
                <w:sz w:val="20"/>
                <w:szCs w:val="20"/>
                <w:color w:val="auto"/>
              </w:rPr>
            </w:pPr>
            <w:r>
              <w:rPr>
                <w:rFonts w:ascii="Courier New" w:cs="Courier New" w:eastAsia="Courier New" w:hAnsi="Courier New"/>
                <w:sz w:val="15"/>
                <w:szCs w:val="15"/>
                <w:color w:val="auto"/>
              </w:rPr>
              <w:t>Net Income per share (S/.)(2)</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9.062</w:t>
            </w:r>
          </w:p>
        </w:tc>
        <w:tc>
          <w:tcPr>
            <w:tcW w:w="11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0.527</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0.043</w:t>
            </w:r>
          </w:p>
        </w:tc>
        <w:tc>
          <w:tcPr>
            <w:tcW w:w="9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$0.012</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9.185</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1.525</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$0.434</w:t>
            </w:r>
          </w:p>
        </w:tc>
      </w:tr>
      <w:tr>
        <w:trPr>
          <w:trHeight w:val="341"/>
        </w:trPr>
        <w:tc>
          <w:tcPr>
            <w:tcW w:w="3320" w:type="dxa"/>
            <w:vAlign w:val="bottom"/>
          </w:tcPr>
          <w:p>
            <w:pPr>
              <w:spacing w:after="0"/>
              <w:rPr>
                <w:sz w:val="20"/>
                <w:szCs w:val="20"/>
                <w:color w:val="auto"/>
              </w:rPr>
            </w:pPr>
            <w:r>
              <w:rPr>
                <w:rFonts w:ascii="Courier New" w:cs="Courier New" w:eastAsia="Courier New" w:hAnsi="Courier New"/>
                <w:sz w:val="15"/>
                <w:szCs w:val="15"/>
                <w:color w:val="auto"/>
              </w:rPr>
              <w:t>Balance Sheets  (end of period)</w:t>
            </w:r>
          </w:p>
        </w:tc>
        <w:tc>
          <w:tcPr>
            <w:tcW w:w="10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41"/>
        </w:trPr>
        <w:tc>
          <w:tcPr>
            <w:tcW w:w="3320" w:type="dxa"/>
            <w:vAlign w:val="bottom"/>
          </w:tcPr>
          <w:p>
            <w:pPr>
              <w:ind w:left="160"/>
              <w:spacing w:after="0"/>
              <w:rPr>
                <w:sz w:val="20"/>
                <w:szCs w:val="20"/>
                <w:color w:val="auto"/>
              </w:rPr>
            </w:pPr>
            <w:r>
              <w:rPr>
                <w:rFonts w:ascii="Courier New" w:cs="Courier New" w:eastAsia="Courier New" w:hAnsi="Courier New"/>
                <w:sz w:val="15"/>
                <w:szCs w:val="15"/>
                <w:color w:val="auto"/>
              </w:rPr>
              <w:t>Total Assets</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1,365,361</w:t>
            </w:r>
          </w:p>
        </w:tc>
        <w:tc>
          <w:tcPr>
            <w:tcW w:w="11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1,460,133</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1,416,778</w:t>
            </w:r>
          </w:p>
        </w:tc>
        <w:tc>
          <w:tcPr>
            <w:tcW w:w="9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1,365,361</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1,416,778</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$403,181</w:t>
            </w:r>
          </w:p>
        </w:tc>
      </w:tr>
      <w:tr>
        <w:trPr>
          <w:trHeight w:val="171"/>
        </w:trPr>
        <w:tc>
          <w:tcPr>
            <w:tcW w:w="43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Investments in Secur. and Real estate 826,968</w:t>
            </w:r>
          </w:p>
        </w:tc>
        <w:tc>
          <w:tcPr>
            <w:tcW w:w="11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985,476</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1,024,318</w:t>
            </w:r>
          </w:p>
        </w:tc>
        <w:tc>
          <w:tcPr>
            <w:tcW w:w="9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826,968</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1,024,318</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$291,496</w:t>
            </w:r>
          </w:p>
        </w:tc>
      </w:tr>
      <w:tr>
        <w:trPr>
          <w:trHeight w:val="171"/>
        </w:trPr>
        <w:tc>
          <w:tcPr>
            <w:tcW w:w="3320" w:type="dxa"/>
            <w:vAlign w:val="bottom"/>
          </w:tcPr>
          <w:p>
            <w:pPr>
              <w:ind w:left="160"/>
              <w:spacing w:after="0"/>
              <w:rPr>
                <w:sz w:val="20"/>
                <w:szCs w:val="20"/>
                <w:color w:val="auto"/>
              </w:rPr>
            </w:pPr>
            <w:r>
              <w:rPr>
                <w:rFonts w:ascii="Courier New" w:cs="Courier New" w:eastAsia="Courier New" w:hAnsi="Courier New"/>
                <w:sz w:val="15"/>
                <w:szCs w:val="15"/>
                <w:color w:val="auto"/>
              </w:rPr>
              <w:t>Technical Reserves</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705,351</w:t>
            </w:r>
          </w:p>
        </w:tc>
        <w:tc>
          <w:tcPr>
            <w:tcW w:w="11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861,186</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894,068</w:t>
            </w:r>
          </w:p>
        </w:tc>
        <w:tc>
          <w:tcPr>
            <w:tcW w:w="9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705,351</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894,068</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$254,430</w:t>
            </w:r>
          </w:p>
        </w:tc>
      </w:tr>
      <w:tr>
        <w:trPr>
          <w:trHeight w:val="171"/>
        </w:trPr>
        <w:tc>
          <w:tcPr>
            <w:tcW w:w="3320" w:type="dxa"/>
            <w:vAlign w:val="bottom"/>
          </w:tcPr>
          <w:p>
            <w:pPr>
              <w:ind w:left="160"/>
              <w:spacing w:after="0"/>
              <w:rPr>
                <w:sz w:val="20"/>
                <w:szCs w:val="20"/>
                <w:color w:val="auto"/>
              </w:rPr>
            </w:pPr>
            <w:r>
              <w:rPr>
                <w:rFonts w:ascii="Courier New" w:cs="Courier New" w:eastAsia="Courier New" w:hAnsi="Courier New"/>
                <w:sz w:val="15"/>
                <w:szCs w:val="15"/>
                <w:color w:val="auto"/>
              </w:rPr>
              <w:t>Net Equity</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478,425</w:t>
            </w:r>
          </w:p>
        </w:tc>
        <w:tc>
          <w:tcPr>
            <w:tcW w:w="11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352,644</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334,510</w:t>
            </w:r>
          </w:p>
        </w:tc>
        <w:tc>
          <w:tcPr>
            <w:tcW w:w="9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$95,194</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478,425</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334,510</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$95,194</w:t>
            </w:r>
          </w:p>
        </w:tc>
      </w:tr>
      <w:tr>
        <w:trPr>
          <w:trHeight w:val="341"/>
        </w:trPr>
        <w:tc>
          <w:tcPr>
            <w:tcW w:w="3320" w:type="dxa"/>
            <w:vAlign w:val="bottom"/>
          </w:tcPr>
          <w:p>
            <w:pPr>
              <w:spacing w:after="0"/>
              <w:rPr>
                <w:sz w:val="20"/>
                <w:szCs w:val="20"/>
                <w:color w:val="auto"/>
              </w:rPr>
            </w:pPr>
            <w:r>
              <w:rPr>
                <w:rFonts w:ascii="Courier New" w:cs="Courier New" w:eastAsia="Courier New" w:hAnsi="Courier New"/>
                <w:sz w:val="15"/>
                <w:szCs w:val="15"/>
                <w:color w:val="auto"/>
              </w:rPr>
              <w:t>Ratios</w:t>
            </w:r>
          </w:p>
        </w:tc>
        <w:tc>
          <w:tcPr>
            <w:tcW w:w="10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41"/>
        </w:trPr>
        <w:tc>
          <w:tcPr>
            <w:tcW w:w="3320" w:type="dxa"/>
            <w:vAlign w:val="bottom"/>
          </w:tcPr>
          <w:p>
            <w:pPr>
              <w:ind w:left="160"/>
              <w:spacing w:after="0"/>
              <w:rPr>
                <w:sz w:val="20"/>
                <w:szCs w:val="20"/>
                <w:color w:val="auto"/>
              </w:rPr>
            </w:pPr>
            <w:r>
              <w:rPr>
                <w:rFonts w:ascii="Courier New" w:cs="Courier New" w:eastAsia="Courier New" w:hAnsi="Courier New"/>
                <w:sz w:val="15"/>
                <w:szCs w:val="15"/>
                <w:color w:val="auto"/>
              </w:rPr>
              <w:t>Net underwriting results</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9.8%</w:t>
            </w:r>
          </w:p>
        </w:tc>
        <w:tc>
          <w:tcPr>
            <w:tcW w:w="11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9.3%</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7.0%</w:t>
            </w:r>
          </w:p>
        </w:tc>
        <w:tc>
          <w:tcPr>
            <w:tcW w:w="9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7.0%</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5.0%</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8.4%</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8.4%</w:t>
            </w:r>
          </w:p>
        </w:tc>
      </w:tr>
      <w:tr>
        <w:trPr>
          <w:trHeight w:val="171"/>
        </w:trPr>
        <w:tc>
          <w:tcPr>
            <w:tcW w:w="3320" w:type="dxa"/>
            <w:vAlign w:val="bottom"/>
          </w:tcPr>
          <w:p>
            <w:pPr>
              <w:ind w:left="160"/>
              <w:spacing w:after="0"/>
              <w:rPr>
                <w:sz w:val="20"/>
                <w:szCs w:val="20"/>
                <w:color w:val="auto"/>
              </w:rPr>
            </w:pPr>
            <w:r>
              <w:rPr>
                <w:rFonts w:ascii="Courier New" w:cs="Courier New" w:eastAsia="Courier New" w:hAnsi="Courier New"/>
                <w:sz w:val="15"/>
                <w:szCs w:val="15"/>
                <w:color w:val="auto"/>
              </w:rPr>
              <w:t>Loss ratio</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48.4%</w:t>
            </w:r>
          </w:p>
        </w:tc>
        <w:tc>
          <w:tcPr>
            <w:tcW w:w="11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44.5%</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47.3%</w:t>
            </w:r>
          </w:p>
        </w:tc>
        <w:tc>
          <w:tcPr>
            <w:tcW w:w="9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47.3%</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60.5%</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44.6%</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44.6%</w:t>
            </w:r>
          </w:p>
        </w:tc>
      </w:tr>
      <w:tr>
        <w:trPr>
          <w:trHeight w:val="171"/>
        </w:trPr>
        <w:tc>
          <w:tcPr>
            <w:tcW w:w="3320" w:type="dxa"/>
            <w:vAlign w:val="bottom"/>
          </w:tcPr>
          <w:p>
            <w:pPr>
              <w:ind w:left="160"/>
              <w:spacing w:after="0"/>
              <w:rPr>
                <w:sz w:val="20"/>
                <w:szCs w:val="20"/>
                <w:color w:val="auto"/>
              </w:rPr>
            </w:pPr>
            <w:r>
              <w:rPr>
                <w:rFonts w:ascii="Courier New" w:cs="Courier New" w:eastAsia="Courier New" w:hAnsi="Courier New"/>
                <w:sz w:val="15"/>
                <w:szCs w:val="15"/>
                <w:color w:val="auto"/>
              </w:rPr>
              <w:t>Return on avge. equity (3)(4)</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471.4%</w:t>
            </w:r>
          </w:p>
        </w:tc>
        <w:tc>
          <w:tcPr>
            <w:tcW w:w="11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15.0%</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w:t>
            </w:r>
          </w:p>
        </w:tc>
        <w:tc>
          <w:tcPr>
            <w:tcW w:w="9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1.2%</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55.7%</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8.7%</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8.7%</w:t>
            </w:r>
          </w:p>
        </w:tc>
      </w:tr>
      <w:tr>
        <w:trPr>
          <w:trHeight w:val="171"/>
        </w:trPr>
        <w:tc>
          <w:tcPr>
            <w:tcW w:w="3320" w:type="dxa"/>
            <w:vAlign w:val="bottom"/>
          </w:tcPr>
          <w:p>
            <w:pPr>
              <w:ind w:left="160"/>
              <w:spacing w:after="0"/>
              <w:rPr>
                <w:sz w:val="20"/>
                <w:szCs w:val="20"/>
                <w:color w:val="auto"/>
              </w:rPr>
            </w:pPr>
            <w:r>
              <w:rPr>
                <w:rFonts w:ascii="Courier New" w:cs="Courier New" w:eastAsia="Courier New" w:hAnsi="Courier New"/>
                <w:sz w:val="15"/>
                <w:szCs w:val="15"/>
                <w:color w:val="auto"/>
              </w:rPr>
              <w:t>Return on total premiums</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110.1%</w:t>
            </w:r>
          </w:p>
        </w:tc>
        <w:tc>
          <w:tcPr>
            <w:tcW w:w="11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5.3%</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0.5%</w:t>
            </w:r>
          </w:p>
        </w:tc>
        <w:tc>
          <w:tcPr>
            <w:tcW w:w="9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0.5%</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29.1%</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4.1%</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4.1%</w:t>
            </w:r>
          </w:p>
        </w:tc>
      </w:tr>
      <w:tr>
        <w:trPr>
          <w:trHeight w:val="171"/>
        </w:trPr>
        <w:tc>
          <w:tcPr>
            <w:tcW w:w="43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Shareholders' Equity  /  Total Assets   35.0%</w:t>
            </w:r>
          </w:p>
        </w:tc>
        <w:tc>
          <w:tcPr>
            <w:tcW w:w="11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24.2%</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23.4%</w:t>
            </w:r>
          </w:p>
        </w:tc>
        <w:tc>
          <w:tcPr>
            <w:tcW w:w="9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23.4%</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35.0%</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23.4%</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23.4%</w:t>
            </w:r>
          </w:p>
        </w:tc>
      </w:tr>
      <w:tr>
        <w:trPr>
          <w:trHeight w:val="171"/>
        </w:trPr>
        <w:tc>
          <w:tcPr>
            <w:tcW w:w="3320" w:type="dxa"/>
            <w:vAlign w:val="bottom"/>
          </w:tcPr>
          <w:p>
            <w:pPr>
              <w:ind w:left="160"/>
              <w:spacing w:after="0"/>
              <w:rPr>
                <w:sz w:val="20"/>
                <w:szCs w:val="20"/>
                <w:color w:val="auto"/>
              </w:rPr>
            </w:pPr>
            <w:r>
              <w:rPr>
                <w:rFonts w:ascii="Courier New" w:cs="Courier New" w:eastAsia="Courier New" w:hAnsi="Courier New"/>
                <w:sz w:val="15"/>
                <w:szCs w:val="15"/>
                <w:color w:val="auto"/>
              </w:rPr>
              <w:t>Increase in Risk Reserves</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21.4%</w:t>
            </w:r>
          </w:p>
        </w:tc>
        <w:tc>
          <w:tcPr>
            <w:tcW w:w="11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17.1%</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19.1%</w:t>
            </w:r>
          </w:p>
        </w:tc>
        <w:tc>
          <w:tcPr>
            <w:tcW w:w="9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19.1%</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21.7%</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19.6%</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19.6%</w:t>
            </w:r>
          </w:p>
        </w:tc>
      </w:tr>
      <w:tr>
        <w:trPr>
          <w:trHeight w:val="171"/>
        </w:trPr>
        <w:tc>
          <w:tcPr>
            <w:tcW w:w="3320" w:type="dxa"/>
            <w:vAlign w:val="bottom"/>
          </w:tcPr>
          <w:p>
            <w:pPr>
              <w:ind w:left="160"/>
              <w:spacing w:after="0"/>
              <w:rPr>
                <w:sz w:val="20"/>
                <w:szCs w:val="20"/>
                <w:color w:val="auto"/>
              </w:rPr>
            </w:pPr>
            <w:r>
              <w:rPr>
                <w:rFonts w:ascii="Courier New" w:cs="Courier New" w:eastAsia="Courier New" w:hAnsi="Courier New"/>
                <w:sz w:val="15"/>
                <w:szCs w:val="15"/>
                <w:color w:val="auto"/>
              </w:rPr>
              <w:t>Combined Ratio</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107.1%</w:t>
            </w:r>
          </w:p>
        </w:tc>
        <w:tc>
          <w:tcPr>
            <w:tcW w:w="11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97.8%</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108.1%</w:t>
            </w:r>
          </w:p>
        </w:tc>
        <w:tc>
          <w:tcPr>
            <w:tcW w:w="9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108.1%</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113.0%</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102.8%</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102.8%</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320" w:type="dxa"/>
            <w:vAlign w:val="bottom"/>
          </w:tcPr>
          <w:p>
            <w:pPr>
              <w:ind w:left="340"/>
              <w:spacing w:after="0"/>
              <w:rPr>
                <w:sz w:val="20"/>
                <w:szCs w:val="20"/>
                <w:color w:val="auto"/>
              </w:rPr>
            </w:pPr>
            <w:r>
              <w:rPr>
                <w:rFonts w:ascii="Courier New" w:cs="Courier New" w:eastAsia="Courier New" w:hAnsi="Courier New"/>
                <w:sz w:val="15"/>
                <w:szCs w:val="15"/>
                <w:color w:val="auto"/>
              </w:rPr>
              <w:t>- Net Claims / Net Premiums</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70.6%</w:t>
            </w:r>
          </w:p>
        </w:tc>
        <w:tc>
          <w:tcPr>
            <w:tcW w:w="11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71.3%</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73.2%</w:t>
            </w:r>
          </w:p>
        </w:tc>
        <w:tc>
          <w:tcPr>
            <w:tcW w:w="9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73.2%</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81.6%</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73.0%</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73.0%</w:t>
            </w:r>
          </w:p>
        </w:tc>
      </w:tr>
      <w:tr>
        <w:trPr>
          <w:trHeight w:val="171"/>
        </w:trPr>
        <w:tc>
          <w:tcPr>
            <w:tcW w:w="3320" w:type="dxa"/>
            <w:vAlign w:val="bottom"/>
          </w:tcPr>
          <w:p>
            <w:pPr>
              <w:ind w:left="340"/>
              <w:spacing w:after="0"/>
              <w:rPr>
                <w:sz w:val="20"/>
                <w:szCs w:val="20"/>
                <w:color w:val="auto"/>
              </w:rPr>
            </w:pPr>
            <w:r>
              <w:rPr>
                <w:rFonts w:ascii="Courier New" w:cs="Courier New" w:eastAsia="Courier New" w:hAnsi="Courier New"/>
                <w:sz w:val="15"/>
                <w:szCs w:val="15"/>
                <w:color w:val="auto"/>
              </w:rPr>
              <w:t>- Op. Exp.+Comiss./Net Premiums</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36.5%</w:t>
            </w:r>
          </w:p>
        </w:tc>
        <w:tc>
          <w:tcPr>
            <w:tcW w:w="11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26.5%</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34.9%</w:t>
            </w:r>
          </w:p>
        </w:tc>
        <w:tc>
          <w:tcPr>
            <w:tcW w:w="9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34.9%</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31.4%</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29.8%</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29.8%</w:t>
            </w:r>
          </w:p>
        </w:tc>
      </w:tr>
      <w:tr>
        <w:trPr>
          <w:trHeight w:val="171"/>
        </w:trPr>
        <w:tc>
          <w:tcPr>
            <w:tcW w:w="3320" w:type="dxa"/>
            <w:vAlign w:val="bottom"/>
          </w:tcPr>
          <w:p>
            <w:pPr>
              <w:ind w:left="160"/>
              <w:spacing w:after="0"/>
              <w:rPr>
                <w:sz w:val="20"/>
                <w:szCs w:val="20"/>
                <w:color w:val="auto"/>
              </w:rPr>
            </w:pPr>
            <w:r>
              <w:rPr>
                <w:rFonts w:ascii="Courier New" w:cs="Courier New" w:eastAsia="Courier New" w:hAnsi="Courier New"/>
                <w:sz w:val="15"/>
                <w:szCs w:val="15"/>
                <w:color w:val="auto"/>
              </w:rPr>
              <w:t>Operating expense/Net Premiums</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28.1%</w:t>
            </w:r>
          </w:p>
        </w:tc>
        <w:tc>
          <w:tcPr>
            <w:tcW w:w="11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19.4%</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25.4%</w:t>
            </w:r>
          </w:p>
        </w:tc>
        <w:tc>
          <w:tcPr>
            <w:tcW w:w="9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25.4%</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23.5%</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22.7%</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22.7%</w:t>
            </w:r>
          </w:p>
        </w:tc>
      </w:tr>
      <w:tr>
        <w:trPr>
          <w:trHeight w:val="171"/>
        </w:trPr>
        <w:tc>
          <w:tcPr>
            <w:tcW w:w="3320" w:type="dxa"/>
            <w:vAlign w:val="bottom"/>
          </w:tcPr>
          <w:p>
            <w:pPr>
              <w:ind w:left="160"/>
              <w:spacing w:after="0"/>
              <w:rPr>
                <w:sz w:val="20"/>
                <w:szCs w:val="20"/>
                <w:color w:val="auto"/>
              </w:rPr>
            </w:pPr>
            <w:r>
              <w:rPr>
                <w:rFonts w:ascii="Courier New" w:cs="Courier New" w:eastAsia="Courier New" w:hAnsi="Courier New"/>
                <w:sz w:val="15"/>
                <w:szCs w:val="15"/>
                <w:color w:val="auto"/>
                <w:w w:val="99"/>
              </w:rPr>
              <w:t>Oper. expense / Avge. assets (3)(4)</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10.1%</w:t>
            </w:r>
          </w:p>
        </w:tc>
        <w:tc>
          <w:tcPr>
            <w:tcW w:w="11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7.3%</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8.8%</w:t>
            </w:r>
          </w:p>
        </w:tc>
        <w:tc>
          <w:tcPr>
            <w:tcW w:w="9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8.8%</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8.5%</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7.8%</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7.8%</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p>
      <w:pPr>
        <w:ind w:left="449" w:hanging="449"/>
        <w:spacing w:after="0"/>
        <w:tabs>
          <w:tab w:leader="none" w:pos="449"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Translated at S/.3.514 per US$1.00.</w:t>
      </w:r>
    </w:p>
    <w:p>
      <w:pPr>
        <w:ind w:left="449" w:hanging="449"/>
        <w:spacing w:after="0"/>
        <w:tabs>
          <w:tab w:leader="none" w:pos="449"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23.3 million shares in all periods.</w:t>
      </w:r>
    </w:p>
    <w:p>
      <w:pPr>
        <w:spacing w:after="0" w:line="3" w:lineRule="exact"/>
        <w:rPr>
          <w:rFonts w:ascii="Courier New" w:cs="Courier New" w:eastAsia="Courier New" w:hAnsi="Courier New"/>
          <w:sz w:val="15"/>
          <w:szCs w:val="15"/>
          <w:color w:val="auto"/>
        </w:rPr>
      </w:pPr>
    </w:p>
    <w:p>
      <w:pPr>
        <w:ind w:left="449" w:right="4960" w:hanging="449"/>
        <w:spacing w:after="0" w:line="238" w:lineRule="auto"/>
        <w:tabs>
          <w:tab w:leader="none" w:pos="449"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Averages are determined as the average of period-beginning and period-ending balances.</w:t>
      </w:r>
    </w:p>
    <w:p>
      <w:pPr>
        <w:spacing w:after="0" w:line="1" w:lineRule="exact"/>
        <w:rPr>
          <w:rFonts w:ascii="Courier New" w:cs="Courier New" w:eastAsia="Courier New" w:hAnsi="Courier New"/>
          <w:sz w:val="15"/>
          <w:szCs w:val="15"/>
          <w:color w:val="auto"/>
        </w:rPr>
      </w:pPr>
    </w:p>
    <w:p>
      <w:pPr>
        <w:ind w:left="449" w:hanging="449"/>
        <w:spacing w:after="0"/>
        <w:tabs>
          <w:tab w:leader="none" w:pos="449"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909"/>
          </w:cols>
          <w:pgMar w:left="231" w:top="1311" w:right="759" w:bottom="1440" w:gutter="0" w:footer="0" w:header="0"/>
        </w:sectPr>
      </w:pPr>
    </w:p>
    <w:bookmarkStart w:id="36" w:name="page37"/>
    <w:bookmarkEnd w:id="3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
      <w:numFmt w:val="bullet"/>
      <w:start w:val="1"/>
    </w:lvl>
    <w:lvl w:ilvl="1">
      <w:lvlJc w:val="left"/>
      <w:lvlText w:val="%2."/>
      <w:numFmt w:val="decimal"/>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1)"/>
      <w:numFmt w:val="decimal"/>
      <w:start w:val="1"/>
    </w:lvl>
  </w:abstractNum>
  <w:abstractNum w:abstractNumId="18">
    <w:nsid w:val="54E49EB4"/>
    <w:multiLevelType w:val="hybridMultilevel"/>
    <w:lvl w:ilvl="0">
      <w:lvlJc w:val="left"/>
      <w:lvlText w:val="(%1)"/>
      <w:numFmt w:val="decimal"/>
      <w:start w:val="1"/>
    </w:lvl>
  </w:abstractNum>
  <w:abstractNum w:abstractNumId="19">
    <w:nsid w:val="71F32454"/>
    <w:multiLevelType w:val="hybridMultilevel"/>
    <w:lvl w:ilvl="0">
      <w:lvlJc w:val="left"/>
      <w:lvlText w:val="(%1)"/>
      <w:numFmt w:val="decimal"/>
      <w:start w:val="1"/>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1)"/>
      <w:numFmt w:val="decimal"/>
      <w:start w:val="1"/>
    </w:lvl>
  </w:abstractNum>
  <w:abstractNum w:abstractNumId="22">
    <w:nsid w:val="2901D82"/>
    <w:multiLevelType w:val="hybridMultilevel"/>
    <w:lvl w:ilvl="0">
      <w:lvlJc w:val="left"/>
      <w:lvlText w:val="(%1)"/>
      <w:numFmt w:val="decimal"/>
      <w:start w:val="1"/>
    </w:lvl>
  </w:abstractNum>
  <w:abstractNum w:abstractNumId="23">
    <w:nsid w:val="3A95F874"/>
    <w:multiLevelType w:val="hybridMultilevel"/>
    <w:lvl w:ilvl="0">
      <w:lvlJc w:val="left"/>
      <w:lvlText w:val="(%1)"/>
      <w:numFmt w:val="decimal"/>
      <w:start w:val="1"/>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
      <w:numFmt w:val="bullet"/>
      <w:start w:val="1"/>
    </w:lvl>
  </w:abstractNum>
  <w:abstractNum w:abstractNumId="26">
    <w:nsid w:val="7C3DBD3D"/>
    <w:multiLevelType w:val="hybridMultilevel"/>
    <w:lvl w:ilvl="0">
      <w:lvlJc w:val="left"/>
      <w:lvlText w:val="-"/>
      <w:numFmt w:val="bullet"/>
      <w:start w:val="1"/>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1)"/>
      <w:numFmt w:val="decimal"/>
      <w:start w:val="1"/>
    </w:lvl>
  </w:abstractNum>
  <w:abstractNum w:abstractNumId="29">
    <w:nsid w:val="22221A70"/>
    <w:multiLevelType w:val="hybridMultilevel"/>
    <w:lvl w:ilvl="0">
      <w:lvlJc w:val="left"/>
      <w:lvlText w:val="-"/>
      <w:numFmt w:val="bullet"/>
      <w:start w:val="1"/>
    </w:lvl>
  </w:abstractNum>
  <w:abstractNum w:abstractNumId="30">
    <w:nsid w:val="4516DDE9"/>
    <w:multiLevelType w:val="hybridMultilevel"/>
    <w:lvl w:ilvl="0">
      <w:lvlJc w:val="left"/>
      <w:lvlText w:val="(%1)"/>
      <w:numFmt w:val="decimal"/>
      <w:start w:val="1"/>
    </w:lvl>
  </w:abstractNum>
  <w:abstractNum w:abstractNumId="31">
    <w:nsid w:val="3006C83E"/>
    <w:multiLevelType w:val="hybridMultilevel"/>
    <w:lvl w:ilvl="0">
      <w:lvlJc w:val="left"/>
      <w:lvlText w:val="(%1)"/>
      <w:numFmt w:val="decimal"/>
      <w:start w:val="1"/>
    </w:lvl>
  </w:abstractNum>
  <w:abstractNum w:abstractNumId="32">
    <w:nsid w:val="614FD4A1"/>
    <w:multiLevelType w:val="hybridMultilevel"/>
    <w:lvl w:ilvl="0">
      <w:lvlJc w:val="left"/>
      <w:lvlText w:val="(%1)"/>
      <w:numFmt w:val="decimal"/>
      <w:start w:val="1"/>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2019-12-14T06:46:31Z</dcterms:created>
  <dcterms:modified xsi:type="dcterms:W3CDTF">2019-12-14T06:46:31Z</dcterms:modified>
</cp:coreProperties>
</file>