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Arial" w:cs="Arial" w:eastAsia="Arial" w:hAnsi="Arial"/>
          <w:sz w:val="22"/>
          <w:szCs w:val="22"/>
          <w:b w:val="1"/>
          <w:bCs w:val="1"/>
          <w:color w:val="auto"/>
        </w:rPr>
        <w:t>SECURITIES AND EXCHANGE COMMISSION</w:t>
      </w:r>
    </w:p>
    <w:p>
      <w:pPr>
        <w:spacing w:after="0" w:line="19"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-286385</wp:posOffset>
            </wp:positionH>
            <wp:positionV relativeFrom="paragraph">
              <wp:posOffset>210820</wp:posOffset>
            </wp:positionV>
            <wp:extent cx="72637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9" w:lineRule="exact"/>
        <w:rPr>
          <w:sz w:val="24"/>
          <w:szCs w:val="24"/>
          <w:color w:val="auto"/>
        </w:rPr>
      </w:pPr>
    </w:p>
    <w:p>
      <w:pPr>
        <w:jc w:val="center"/>
        <w:ind w:right="80"/>
        <w:spacing w:after="0"/>
        <w:rPr>
          <w:sz w:val="20"/>
          <w:szCs w:val="20"/>
          <w:color w:val="auto"/>
        </w:rPr>
      </w:pPr>
      <w:r>
        <w:rPr>
          <w:rFonts w:ascii="Arial" w:cs="Arial" w:eastAsia="Arial" w:hAnsi="Arial"/>
          <w:sz w:val="22"/>
          <w:szCs w:val="22"/>
          <w:b w:val="1"/>
          <w:bCs w:val="1"/>
          <w:color w:val="auto"/>
        </w:rPr>
        <w:t>FORM 6-K</w:t>
      </w:r>
    </w:p>
    <w:p>
      <w:pPr>
        <w:spacing w:after="0" w:line="246"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Pursuant to Rule 13a-16 or 15d-16 of the</w:t>
      </w:r>
    </w:p>
    <w:p>
      <w:pPr>
        <w:spacing w:after="0" w:line="9"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Securities Exchange Act of 1934</w:t>
      </w:r>
    </w:p>
    <w:p>
      <w:pPr>
        <w:spacing w:after="0" w:line="234"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For the month of February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-286385</wp:posOffset>
            </wp:positionH>
            <wp:positionV relativeFrom="paragraph">
              <wp:posOffset>240665</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6" w:lineRule="exact"/>
        <w:rPr>
          <w:sz w:val="24"/>
          <w:szCs w:val="24"/>
          <w:color w:val="auto"/>
        </w:rPr>
      </w:pPr>
    </w:p>
    <w:p>
      <w:pPr>
        <w:jc w:val="center"/>
        <w:ind w:right="100"/>
        <w:spacing w:after="0"/>
        <w:rPr>
          <w:sz w:val="20"/>
          <w:szCs w:val="20"/>
          <w:color w:val="auto"/>
        </w:rPr>
      </w:pPr>
      <w:r>
        <w:rPr>
          <w:rFonts w:ascii="Arial" w:cs="Arial" w:eastAsia="Arial" w:hAnsi="Arial"/>
          <w:sz w:val="22"/>
          <w:szCs w:val="22"/>
          <w:b w:val="1"/>
          <w:bCs w:val="1"/>
          <w:color w:val="auto"/>
        </w:rPr>
        <w:t>CREDICORP LTD.</w:t>
      </w:r>
    </w:p>
    <w:p>
      <w:pPr>
        <w:spacing w:after="0" w:line="19"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(Exact name of registrant as specified in its charter)</w:t>
      </w:r>
    </w:p>
    <w:p>
      <w:pPr>
        <w:spacing w:after="0" w:line="232"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Clarendon House</w:t>
      </w:r>
    </w:p>
    <w:p>
      <w:pPr>
        <w:spacing w:after="0" w:line="27"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Church Street</w:t>
      </w:r>
    </w:p>
    <w:p>
      <w:pPr>
        <w:spacing w:after="0" w:line="9"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Hamilton HM 11 Bermuda</w:t>
      </w:r>
    </w:p>
    <w:p>
      <w:pPr>
        <w:spacing w:after="0" w:line="9"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(Address of principal executive office)</w:t>
      </w:r>
    </w:p>
    <w:p>
      <w:pPr>
        <w:spacing w:after="0" w:line="238" w:lineRule="exact"/>
        <w:rPr>
          <w:sz w:val="24"/>
          <w:szCs w:val="24"/>
          <w:color w:val="auto"/>
        </w:rPr>
      </w:pPr>
    </w:p>
    <w:p>
      <w:pPr>
        <w:jc w:val="center"/>
        <w:ind w:right="180"/>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52"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Form 20-F x Form 40-F o</w:t>
      </w:r>
    </w:p>
    <w:p>
      <w:pPr>
        <w:spacing w:after="0" w:line="252" w:lineRule="exact"/>
        <w:rPr>
          <w:sz w:val="24"/>
          <w:szCs w:val="24"/>
          <w:color w:val="auto"/>
        </w:rPr>
      </w:pPr>
    </w:p>
    <w:p>
      <w:pPr>
        <w:jc w:val="center"/>
        <w:spacing w:after="0" w:line="277"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97"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Yes o No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-288290</wp:posOffset>
            </wp:positionH>
            <wp:positionV relativeFrom="paragraph">
              <wp:posOffset>235585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700" w:top="220" w:right="599" w:bottom="1440" w:gutter="0" w:footer="0" w:header="0"/>
        </w:sectPr>
      </w:pPr>
    </w:p>
    <w:bookmarkStart w:id="1" w:name="page2"/>
    <w:bookmarkEnd w:id="1"/>
    <w:p>
      <w:pPr>
        <w:spacing w:after="0" w:line="3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183515</wp:posOffset>
            </wp:positionH>
            <wp:positionV relativeFrom="page">
              <wp:posOffset>397510</wp:posOffset>
            </wp:positionV>
            <wp:extent cx="1689735" cy="76841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1689735" cy="7684135"/>
                    </a:xfrm>
                    <a:prstGeom prst="rect">
                      <a:avLst/>
                    </a:prstGeom>
                    <a:noFill/>
                  </pic:spPr>
                </pic:pic>
              </a:graphicData>
            </a:graphic>
          </wp:anchor>
        </w:drawing>
        <w:drawing>
          <wp:anchor simplePos="0" relativeHeight="251657728" behindDoc="1" locked="0" layoutInCell="0" allowOverlap="1">
            <wp:simplePos x="0" y="0"/>
            <wp:positionH relativeFrom="page">
              <wp:posOffset>5200015</wp:posOffset>
            </wp:positionH>
            <wp:positionV relativeFrom="page">
              <wp:posOffset>397510</wp:posOffset>
            </wp:positionV>
            <wp:extent cx="2204085" cy="6000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2204085" cy="600075"/>
                    </a:xfrm>
                    <a:prstGeom prst="rect">
                      <a:avLst/>
                    </a:prstGeom>
                    <a:noFill/>
                  </pic:spPr>
                </pic:pic>
              </a:graphicData>
            </a:graphic>
          </wp:anchor>
        </w:drawing>
      </w:r>
    </w:p>
    <w:p>
      <w:pPr>
        <w:ind w:left="2580"/>
        <w:spacing w:after="0"/>
        <w:rPr>
          <w:sz w:val="20"/>
          <w:szCs w:val="20"/>
          <w:color w:val="auto"/>
        </w:rPr>
      </w:pPr>
      <w:r>
        <w:rPr>
          <w:rFonts w:ascii="Arial" w:cs="Arial" w:eastAsia="Arial" w:hAnsi="Arial"/>
          <w:sz w:val="18"/>
          <w:szCs w:val="18"/>
          <w:b w:val="1"/>
          <w:bCs w:val="1"/>
          <w:color w:val="auto"/>
        </w:rPr>
        <w:t>CREDICORP Ltd. reports Fourth Quarter and Year End 2009 Earnings</w:t>
      </w:r>
    </w:p>
    <w:p>
      <w:pPr>
        <w:spacing w:after="0" w:line="225" w:lineRule="exact"/>
        <w:rPr>
          <w:sz w:val="20"/>
          <w:szCs w:val="20"/>
          <w:color w:val="auto"/>
        </w:rPr>
      </w:pPr>
    </w:p>
    <w:p>
      <w:pPr>
        <w:jc w:val="both"/>
        <w:ind w:left="2580"/>
        <w:spacing w:after="0" w:line="266" w:lineRule="auto"/>
        <w:rPr>
          <w:sz w:val="20"/>
          <w:szCs w:val="20"/>
          <w:color w:val="auto"/>
        </w:rPr>
      </w:pPr>
      <w:r>
        <w:rPr>
          <w:rFonts w:ascii="Arial" w:cs="Arial" w:eastAsia="Arial" w:hAnsi="Arial"/>
          <w:sz w:val="18"/>
          <w:szCs w:val="18"/>
          <w:b w:val="1"/>
          <w:bCs w:val="1"/>
          <w:color w:val="auto"/>
        </w:rPr>
        <w:t xml:space="preserve">Lima, Peru, February 4, 2009 - </w:t>
      </w:r>
      <w:r>
        <w:rPr>
          <w:rFonts w:ascii="Arial" w:cs="Arial" w:eastAsia="Arial" w:hAnsi="Arial"/>
          <w:sz w:val="18"/>
          <w:szCs w:val="18"/>
          <w:color w:val="auto"/>
        </w:rPr>
        <w:t>Credicorp (NYSE:BAP) announced today its unaudited results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fourth quarter of 2009. These results are reported on a consolidated basis in accordance with IFRS in nominal U.S. Dollars.</w:t>
      </w:r>
    </w:p>
    <w:p>
      <w:pPr>
        <w:spacing w:after="0" w:line="176" w:lineRule="exact"/>
        <w:rPr>
          <w:sz w:val="20"/>
          <w:szCs w:val="20"/>
          <w:color w:val="auto"/>
        </w:rPr>
      </w:pPr>
    </w:p>
    <w:p>
      <w:pPr>
        <w:ind w:left="5800"/>
        <w:spacing w:after="0"/>
        <w:rPr>
          <w:sz w:val="20"/>
          <w:szCs w:val="20"/>
          <w:color w:val="auto"/>
        </w:rPr>
      </w:pPr>
      <w:r>
        <w:rPr>
          <w:rFonts w:ascii="Arial" w:cs="Arial" w:eastAsia="Arial" w:hAnsi="Arial"/>
          <w:sz w:val="18"/>
          <w:szCs w:val="18"/>
          <w:b w:val="1"/>
          <w:bCs w:val="1"/>
          <w:color w:val="auto"/>
        </w:rPr>
        <w:t>HIGHLIGHTS</w:t>
      </w:r>
    </w:p>
    <w:p>
      <w:pPr>
        <w:spacing w:after="0" w:line="229" w:lineRule="exact"/>
        <w:rPr>
          <w:sz w:val="20"/>
          <w:szCs w:val="20"/>
          <w:color w:val="auto"/>
        </w:rPr>
      </w:pPr>
    </w:p>
    <w:p>
      <w:pPr>
        <w:jc w:val="both"/>
        <w:ind w:left="3040" w:hanging="464"/>
        <w:spacing w:after="0" w:line="254" w:lineRule="auto"/>
        <w:tabs>
          <w:tab w:leader="none" w:pos="3040" w:val="left"/>
        </w:tabs>
        <w:numPr>
          <w:ilvl w:val="0"/>
          <w:numId w:val="1"/>
        </w:numPr>
        <w:rPr>
          <w:rFonts w:ascii="Arial" w:cs="Arial" w:eastAsia="Arial" w:hAnsi="Arial"/>
          <w:sz w:val="18"/>
          <w:szCs w:val="18"/>
          <w:color w:val="auto"/>
        </w:rPr>
      </w:pPr>
      <w:r>
        <w:rPr>
          <w:rFonts w:ascii="Arial" w:cs="Arial" w:eastAsia="Arial" w:hAnsi="Arial"/>
          <w:sz w:val="18"/>
          <w:szCs w:val="18"/>
          <w:color w:val="auto"/>
        </w:rPr>
        <w:t>Credicorp reported net earnings of US$ 122.3 million for 4Q09, in line with 3Q09 results, totaling earnings for the year 2009 of US$ 469.8 million, which is a substantial 31.3% increase from last year. This resulted in improved ROAA of 2.22% (vs. 1.72% in 08) and a 24.1% ROAE (vs. 22.3% in 08).</w:t>
      </w:r>
    </w:p>
    <w:p>
      <w:pPr>
        <w:spacing w:after="0" w:line="2" w:lineRule="exact"/>
        <w:rPr>
          <w:rFonts w:ascii="Arial" w:cs="Arial" w:eastAsia="Arial" w:hAnsi="Arial"/>
          <w:sz w:val="18"/>
          <w:szCs w:val="18"/>
          <w:color w:val="auto"/>
        </w:rPr>
      </w:pPr>
    </w:p>
    <w:p>
      <w:pPr>
        <w:jc w:val="both"/>
        <w:ind w:left="3040" w:hanging="464"/>
        <w:spacing w:after="0" w:line="265" w:lineRule="auto"/>
        <w:tabs>
          <w:tab w:leader="none" w:pos="3040" w:val="left"/>
        </w:tabs>
        <w:numPr>
          <w:ilvl w:val="0"/>
          <w:numId w:val="1"/>
        </w:numPr>
        <w:rPr>
          <w:rFonts w:ascii="Arial" w:cs="Arial" w:eastAsia="Arial" w:hAnsi="Arial"/>
          <w:sz w:val="17"/>
          <w:szCs w:val="17"/>
          <w:color w:val="auto"/>
        </w:rPr>
      </w:pPr>
      <w:r>
        <w:rPr>
          <w:rFonts w:ascii="Arial" w:cs="Arial" w:eastAsia="Arial" w:hAnsi="Arial"/>
          <w:sz w:val="17"/>
          <w:szCs w:val="17"/>
          <w:color w:val="auto"/>
        </w:rPr>
        <w:t>Following a strong contraction in lending activity in 1Q09 and sluggish demand for financing throughout the year, a turnaround was finally recorded in 4Q09, particularly in the local currency denominated wholesale portfolio, leading to QoQ total loan growth of 8.6%. Thus, total loan book growth for the year reached an important 9.9%, which represents in real terms (net of revaluation effect on our soles loan book) growth of approximately 7.4%.</w:t>
      </w:r>
    </w:p>
    <w:p>
      <w:pPr>
        <w:spacing w:after="0" w:line="1" w:lineRule="exact"/>
        <w:rPr>
          <w:rFonts w:ascii="Arial" w:cs="Arial" w:eastAsia="Arial" w:hAnsi="Arial"/>
          <w:sz w:val="17"/>
          <w:szCs w:val="17"/>
          <w:color w:val="auto"/>
        </w:rPr>
      </w:pPr>
    </w:p>
    <w:p>
      <w:pPr>
        <w:jc w:val="both"/>
        <w:ind w:left="3040" w:hanging="464"/>
        <w:spacing w:after="0" w:line="250" w:lineRule="auto"/>
        <w:tabs>
          <w:tab w:leader="none" w:pos="304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 addition, NII recovered in line with the loan portfolio and grew 10.9% QoQ as NIM also flipped back to 5.1% for the quarter. This contributed to growth of NII for the year of 8.4%, which was also the result of sound funding strategies and a good defensive policy on margins. NIM for the year reflected a stable evolution with a slight upward trend reaching 4.8% vs. 4.6% the previous year.</w:t>
      </w:r>
    </w:p>
    <w:p>
      <w:pPr>
        <w:spacing w:after="0" w:line="2" w:lineRule="exact"/>
        <w:rPr>
          <w:rFonts w:ascii="Arial" w:cs="Arial" w:eastAsia="Arial" w:hAnsi="Arial"/>
          <w:sz w:val="18"/>
          <w:szCs w:val="18"/>
          <w:color w:val="auto"/>
        </w:rPr>
      </w:pPr>
    </w:p>
    <w:p>
      <w:pPr>
        <w:jc w:val="both"/>
        <w:ind w:left="3040" w:hanging="464"/>
        <w:spacing w:after="0" w:line="265" w:lineRule="auto"/>
        <w:tabs>
          <w:tab w:leader="none" w:pos="3040" w:val="left"/>
        </w:tabs>
        <w:numPr>
          <w:ilvl w:val="0"/>
          <w:numId w:val="1"/>
        </w:numPr>
        <w:rPr>
          <w:rFonts w:ascii="Arial" w:cs="Arial" w:eastAsia="Arial" w:hAnsi="Arial"/>
          <w:sz w:val="17"/>
          <w:szCs w:val="17"/>
          <w:color w:val="auto"/>
        </w:rPr>
      </w:pPr>
      <w:r>
        <w:rPr>
          <w:rFonts w:ascii="Arial" w:cs="Arial" w:eastAsia="Arial" w:hAnsi="Arial"/>
          <w:sz w:val="17"/>
          <w:szCs w:val="17"/>
          <w:color w:val="auto"/>
        </w:rPr>
        <w:t>A further 14% increase in fee income compensated for lower income from FX transactions and gains from the sale of securities this 4Q and led to an 8.1% QoQ increase in total non-financial income. For the year, the significant gains on the sale of securities in the 1H09 plus a solid 10% fee income expansion resulted in robust 16.6% growth for this income line in 2009.</w:t>
      </w:r>
    </w:p>
    <w:p>
      <w:pPr>
        <w:jc w:val="both"/>
        <w:ind w:left="3040" w:hanging="464"/>
        <w:spacing w:after="0" w:line="250" w:lineRule="auto"/>
        <w:tabs>
          <w:tab w:leader="none" w:pos="304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PDL ratio peaked in 4Q09 reaching 1.59% as a result of the economic slowdown, though provisions for loan losses remained at a relatively high level to ensure a comfortable coverage ratio, which remains above 190%.</w:t>
      </w:r>
    </w:p>
    <w:p>
      <w:pPr>
        <w:spacing w:after="0" w:line="1" w:lineRule="exact"/>
        <w:rPr>
          <w:rFonts w:ascii="Arial" w:cs="Arial" w:eastAsia="Arial" w:hAnsi="Arial"/>
          <w:sz w:val="18"/>
          <w:szCs w:val="18"/>
          <w:color w:val="auto"/>
        </w:rPr>
      </w:pPr>
    </w:p>
    <w:p>
      <w:pPr>
        <w:jc w:val="both"/>
        <w:ind w:left="3040" w:hanging="464"/>
        <w:spacing w:after="0" w:line="250" w:lineRule="auto"/>
        <w:tabs>
          <w:tab w:leader="none" w:pos="30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continuing good performance of the insurance business, which reported a 25% QoQ increase in premiums net of claims to reach US$ 45 million for the quarter, reflect the low casualty rate that has characterized this year.</w:t>
      </w:r>
    </w:p>
    <w:p>
      <w:pPr>
        <w:spacing w:after="0" w:line="1" w:lineRule="exact"/>
        <w:rPr>
          <w:rFonts w:ascii="Arial" w:cs="Arial" w:eastAsia="Arial" w:hAnsi="Arial"/>
          <w:sz w:val="18"/>
          <w:szCs w:val="18"/>
          <w:color w:val="auto"/>
        </w:rPr>
      </w:pPr>
    </w:p>
    <w:p>
      <w:pPr>
        <w:jc w:val="both"/>
        <w:ind w:left="3040" w:hanging="464"/>
        <w:spacing w:after="0" w:line="250" w:lineRule="auto"/>
        <w:tabs>
          <w:tab w:leader="none" w:pos="3040" w:val="left"/>
        </w:tabs>
        <w:numPr>
          <w:ilvl w:val="0"/>
          <w:numId w:val="1"/>
        </w:numPr>
        <w:rPr>
          <w:rFonts w:ascii="Arial" w:cs="Arial" w:eastAsia="Arial" w:hAnsi="Arial"/>
          <w:sz w:val="18"/>
          <w:szCs w:val="18"/>
          <w:color w:val="auto"/>
        </w:rPr>
      </w:pPr>
      <w:r>
        <w:rPr>
          <w:rFonts w:ascii="Arial" w:cs="Arial" w:eastAsia="Arial" w:hAnsi="Arial"/>
          <w:sz w:val="18"/>
          <w:szCs w:val="18"/>
          <w:color w:val="auto"/>
        </w:rPr>
        <w:t>Operating costs reflect the typical year-end increase and grew almost 23% QoQ. However, yearly growth of 10.9%, which includes the impact of the revaluation of the local currency in which most of the administrative and personnel cost are denominated, was in line with expectations. However, given the lower than expected income growth, the efficiency ratio deteriorated from 41.7% for 2008 to 42.1% in 2009.</w:t>
      </w:r>
    </w:p>
    <w:p>
      <w:pPr>
        <w:spacing w:after="0" w:line="2" w:lineRule="exact"/>
        <w:rPr>
          <w:rFonts w:ascii="Arial" w:cs="Arial" w:eastAsia="Arial" w:hAnsi="Arial"/>
          <w:sz w:val="18"/>
          <w:szCs w:val="18"/>
          <w:color w:val="auto"/>
        </w:rPr>
      </w:pPr>
    </w:p>
    <w:p>
      <w:pPr>
        <w:jc w:val="both"/>
        <w:ind w:left="3040" w:hanging="464"/>
        <w:spacing w:after="0" w:line="250" w:lineRule="auto"/>
        <w:tabs>
          <w:tab w:leader="none" w:pos="3040" w:val="left"/>
        </w:tabs>
        <w:numPr>
          <w:ilvl w:val="0"/>
          <w:numId w:val="1"/>
        </w:numPr>
        <w:rPr>
          <w:rFonts w:ascii="Arial" w:cs="Arial" w:eastAsia="Arial" w:hAnsi="Arial"/>
          <w:sz w:val="18"/>
          <w:szCs w:val="18"/>
          <w:color w:val="auto"/>
        </w:rPr>
      </w:pPr>
      <w:r>
        <w:rPr>
          <w:rFonts w:ascii="Arial" w:cs="Arial" w:eastAsia="Arial" w:hAnsi="Arial"/>
          <w:sz w:val="18"/>
          <w:szCs w:val="18"/>
          <w:color w:val="auto"/>
        </w:rPr>
        <w:t>BCP’s operating results also reflected the 4Q recovery of lending activity, and despite still high provisions and operating costs, reported an increased 4Q contribution to Credicorp of US$ 104.5 million for 4Q09. Nevertheless, these high levels of provisions resulting from the economic slowdown and the high expense base after the recent network expansion, and exacerbated by the local currency revaluation, led to a bottom line contribution to Credicorp 5% lower for 2009 vs. 2008 of US$ 388.5 million.</w:t>
      </w:r>
    </w:p>
    <w:p>
      <w:pPr>
        <w:spacing w:after="0" w:line="2" w:lineRule="exact"/>
        <w:rPr>
          <w:rFonts w:ascii="Arial" w:cs="Arial" w:eastAsia="Arial" w:hAnsi="Arial"/>
          <w:sz w:val="18"/>
          <w:szCs w:val="18"/>
          <w:color w:val="auto"/>
        </w:rPr>
      </w:pPr>
    </w:p>
    <w:p>
      <w:pPr>
        <w:jc w:val="both"/>
        <w:ind w:left="3040" w:hanging="464"/>
        <w:spacing w:after="0" w:line="250" w:lineRule="auto"/>
        <w:tabs>
          <w:tab w:leader="none" w:pos="3040" w:val="left"/>
        </w:tabs>
        <w:numPr>
          <w:ilvl w:val="0"/>
          <w:numId w:val="1"/>
        </w:numPr>
        <w:rPr>
          <w:rFonts w:ascii="Arial" w:cs="Arial" w:eastAsia="Arial" w:hAnsi="Arial"/>
          <w:sz w:val="18"/>
          <w:szCs w:val="18"/>
          <w:color w:val="auto"/>
        </w:rPr>
      </w:pPr>
      <w:r>
        <w:rPr>
          <w:rFonts w:ascii="Arial" w:cs="Arial" w:eastAsia="Arial" w:hAnsi="Arial"/>
          <w:sz w:val="18"/>
          <w:szCs w:val="18"/>
          <w:color w:val="auto"/>
        </w:rPr>
        <w:t>BCP Bolivia performed well this 4Q09 reporting an 11% higher contribution of US$ 9.5 million for the Q. Its total contribution for 2009 however dropped 33% reaching close to US$ 29 million as a result of the economic and political environment and some regulatory intervention in the markets in which it operates.</w:t>
      </w:r>
    </w:p>
    <w:p>
      <w:pPr>
        <w:spacing w:after="0" w:line="1" w:lineRule="exact"/>
        <w:rPr>
          <w:rFonts w:ascii="Arial" w:cs="Arial" w:eastAsia="Arial" w:hAnsi="Arial"/>
          <w:sz w:val="18"/>
          <w:szCs w:val="18"/>
          <w:color w:val="auto"/>
        </w:rPr>
      </w:pPr>
    </w:p>
    <w:p>
      <w:pPr>
        <w:jc w:val="both"/>
        <w:ind w:left="3040" w:hanging="464"/>
        <w:spacing w:after="0" w:line="250" w:lineRule="auto"/>
        <w:tabs>
          <w:tab w:leader="none" w:pos="3040" w:val="left"/>
        </w:tabs>
        <w:numPr>
          <w:ilvl w:val="0"/>
          <w:numId w:val="1"/>
        </w:numPr>
        <w:rPr>
          <w:rFonts w:ascii="Arial" w:cs="Arial" w:eastAsia="Arial" w:hAnsi="Arial"/>
          <w:sz w:val="18"/>
          <w:szCs w:val="18"/>
          <w:color w:val="auto"/>
        </w:rPr>
      </w:pPr>
      <w:r>
        <w:rPr>
          <w:rFonts w:ascii="Arial" w:cs="Arial" w:eastAsia="Arial" w:hAnsi="Arial"/>
          <w:sz w:val="18"/>
          <w:szCs w:val="18"/>
          <w:color w:val="auto"/>
        </w:rPr>
        <w:t>ASHC’s reported further improvement in results this 4Q with a record Q earnings contribution of US$ 14.9 million, up from US$ 8.4 million in 3Q09. This result reveals a very clear recovery in both interest income and fee income from its AuM business, as well as lower provisions and some realized gains as the markets recover. Altogether, ASHC has had a record year with a contribution to Credicorp of close to US$ 30 million.</w:t>
      </w:r>
    </w:p>
    <w:p>
      <w:pPr>
        <w:spacing w:after="0" w:line="2" w:lineRule="exact"/>
        <w:rPr>
          <w:rFonts w:ascii="Arial" w:cs="Arial" w:eastAsia="Arial" w:hAnsi="Arial"/>
          <w:sz w:val="18"/>
          <w:szCs w:val="18"/>
          <w:color w:val="auto"/>
        </w:rPr>
      </w:pPr>
    </w:p>
    <w:p>
      <w:pPr>
        <w:jc w:val="both"/>
        <w:ind w:left="3040" w:hanging="464"/>
        <w:spacing w:after="0" w:line="250" w:lineRule="auto"/>
        <w:tabs>
          <w:tab w:leader="none" w:pos="30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PPS continued performing better than expected after implementing its new business strategy and reported significant gains of US$ 12.4 million, up from the US$ 10.1 million contribution for 3Q09. This continued improvement is not only the result of stronger premium income and significantly lower claims, which led to a combined ratio of only 90.6%, but also important gains from market recoveries. PPS is also a star contributor this year with a total of US$ 37.4 million compared to a loss of US$ 15.9 million in 2008.</w:t>
      </w:r>
    </w:p>
    <w:p>
      <w:pPr>
        <w:spacing w:after="0" w:line="2" w:lineRule="exact"/>
        <w:rPr>
          <w:rFonts w:ascii="Arial" w:cs="Arial" w:eastAsia="Arial" w:hAnsi="Arial"/>
          <w:sz w:val="18"/>
          <w:szCs w:val="18"/>
          <w:color w:val="auto"/>
        </w:rPr>
      </w:pPr>
    </w:p>
    <w:p>
      <w:pPr>
        <w:jc w:val="both"/>
        <w:ind w:left="3040" w:hanging="464"/>
        <w:spacing w:after="0" w:line="277" w:lineRule="auto"/>
        <w:tabs>
          <w:tab w:leader="none" w:pos="3040" w:val="left"/>
        </w:tabs>
        <w:numPr>
          <w:ilvl w:val="0"/>
          <w:numId w:val="1"/>
        </w:numPr>
        <w:rPr>
          <w:rFonts w:ascii="Arial" w:cs="Arial" w:eastAsia="Arial" w:hAnsi="Arial"/>
          <w:sz w:val="17"/>
          <w:szCs w:val="17"/>
          <w:color w:val="auto"/>
        </w:rPr>
      </w:pPr>
      <w:r>
        <w:rPr>
          <w:rFonts w:ascii="Arial" w:cs="Arial" w:eastAsia="Arial" w:hAnsi="Arial"/>
          <w:sz w:val="17"/>
          <w:szCs w:val="17"/>
          <w:color w:val="auto"/>
        </w:rPr>
        <w:t>Prima AFP reported an increase YoY in income through higher fees and growth in its collections base. Its contribution reached US$ 4.2 million for the Q and led to a contribution for the year 86% higher at US$ 20.1 million, up from US$ 11.2 million last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391160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440" w:right="239" w:bottom="1440" w:gutter="0" w:footer="0" w:header="0"/>
        </w:sectPr>
      </w:pPr>
    </w:p>
    <w:bookmarkStart w:id="2" w:name="page3"/>
    <w:bookmarkEnd w:id="2"/>
    <w:p>
      <w:pPr>
        <w:jc w:val="both"/>
        <w:ind w:left="464" w:hanging="464"/>
        <w:spacing w:after="0" w:line="264" w:lineRule="auto"/>
        <w:tabs>
          <w:tab w:leader="none" w:pos="464" w:val="left"/>
        </w:tabs>
        <w:numPr>
          <w:ilvl w:val="0"/>
          <w:numId w:val="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6254750</wp:posOffset>
            </wp:positionH>
            <wp:positionV relativeFrom="page">
              <wp:posOffset>337820</wp:posOffset>
            </wp:positionV>
            <wp:extent cx="1149350" cy="3175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149350" cy="317500"/>
                    </a:xfrm>
                    <a:prstGeom prst="rect">
                      <a:avLst/>
                    </a:prstGeom>
                    <a:noFill/>
                  </pic:spPr>
                </pic:pic>
              </a:graphicData>
            </a:graphic>
          </wp:anchor>
        </w:drawing>
        <w:t>The remarkably good results of all of Credicorp’s non-banking businesses have therefore been crucial for the excellent bottom line results reported by Credicorp. This year’s results finally reflect the potential contribution of all the businesses within the group since all have reached important profitability.</w:t>
      </w:r>
    </w:p>
    <w:p>
      <w:pPr>
        <w:spacing w:after="0" w:line="35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-730250</wp:posOffset>
            </wp:positionH>
            <wp:positionV relativeFrom="paragraph">
              <wp:posOffset>81280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64"/>
          </w:cols>
          <w:pgMar w:left="1396" w:top="1260"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6254750</wp:posOffset>
            </wp:positionH>
            <wp:positionV relativeFrom="page">
              <wp:posOffset>337820</wp:posOffset>
            </wp:positionV>
            <wp:extent cx="1149350" cy="3175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149350" cy="317500"/>
                    </a:xfrm>
                    <a:prstGeom prst="rect">
                      <a:avLst/>
                    </a:prstGeom>
                    <a:noFill/>
                  </pic:spPr>
                </pic:pic>
              </a:graphicData>
            </a:graphic>
          </wp:anchor>
        </w:drawing>
        <w:t>I. Credicorp Ltd.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Credicorp reported net earnings of US$ 122.3 million for 4Q09, in line with 3Q09 results, totaling earnings for the year 2009 of US$ 469.8 million, which is a substantial 31.3% increase from last year. This resulted in improved ROAA of 2.22% (vs. 1.72% in 2008) and a 24.1% ROAE (vs. 22.3% in 2008) for the year and represents EPS of 5.89 US Dollars.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results achieved this year are especially remarkable for two reasons:</w:t>
      </w:r>
    </w:p>
    <w:p>
      <w:pPr>
        <w:spacing w:after="0" w:line="252" w:lineRule="exact"/>
        <w:rPr>
          <w:sz w:val="20"/>
          <w:szCs w:val="20"/>
          <w:color w:val="auto"/>
        </w:rPr>
      </w:pPr>
    </w:p>
    <w:p>
      <w:pPr>
        <w:ind w:left="340" w:hanging="8"/>
        <w:spacing w:after="0" w:line="277" w:lineRule="auto"/>
        <w:tabs>
          <w:tab w:leader="none" w:pos="684"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difficult economic environment that led to a significant contraction of economic activity reflected by the drop in GDP from almost 10% in 2008 to about 1% within the year, making our growth numbers even more significant, and</w:t>
      </w:r>
    </w:p>
    <w:p>
      <w:pPr>
        <w:spacing w:after="0" w:line="197" w:lineRule="exact"/>
        <w:rPr>
          <w:rFonts w:ascii="Arial" w:cs="Arial" w:eastAsia="Arial" w:hAnsi="Arial"/>
          <w:sz w:val="18"/>
          <w:szCs w:val="18"/>
          <w:color w:val="auto"/>
        </w:rPr>
      </w:pPr>
    </w:p>
    <w:p>
      <w:pPr>
        <w:ind w:left="340" w:hanging="8"/>
        <w:spacing w:after="0" w:line="277" w:lineRule="auto"/>
        <w:tabs>
          <w:tab w:leader="none" w:pos="937"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important improvement in the business fundamentals of all of Credicorp’s subsidiaries, with all of them achieving good profitability levels this year 2009 and supporting the overall performance of the group.</w:t>
      </w:r>
    </w:p>
    <w:p>
      <w:pPr>
        <w:spacing w:after="0" w:line="19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fact, following the strong contraction in lending activity in 1Q09, and sluggish demand for financing throughout the year, a turnaround was finally recorded in 4Q09, particularly in the local currency denominated wholesale portfolio, leading to a QoQ total loan growth of 8.6%. Thus, total loan book growth for the year reached an important 9.9%, which represents in real terms (net of revaluation effect on our soles loan book) growth of approximately 7.4%. This evolution is also reflected by the US Dollars/Nuevos Soles proportion of our portfolio, which moved from 67.5/32.5 to 60/40 during the year.</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Furthermore, interest income for Q4 grew in line with this recovered lending activity and a good defensive policy on margins, while interest expenses continued to drop following the sound funding strategies applied throughout the year . Therefore, NII grew a strong 10.9% for the Q and led to the 8.4% expansion of NII for the year 2009. Despite competitive pressures and the historically low level of interest rates, NIM for the year reflected a stable evolution with a slight upward trend reaching 4.8% vs. 4.6% the previous year.</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Portfolio quality remained solid as our PDL ratio peaked in 4Q09 reaching a lower than expected 1.59%. Provisions for loan losses were nevertheless still kept relatively high to accommodate the inclusion of Financiera Edyficar, which required an additional US$ 5.8 million in provisions to align its coverage ratio with the group’s policy and ensure a comfortable coverage ratio for the group, which remains above 190%.</w:t>
      </w:r>
    </w:p>
    <w:p>
      <w:pPr>
        <w:spacing w:after="0" w:line="20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Fee income performed well and increased this 4Q by an additional 14%, compensating for lower income from FX transactions and gains from the sale of securities and leading to an 8.1% QoQ increase in total non-financial income. For the year, the significant gains on the sale of securities in the 1H09 plus a solid 10% fee income expansion resulted in robust 16.6% growth for this income line in 2009.</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Premiums net of claims generated by our insurance business reported a 25% QoQ increase, reaching US$ 45 million for the quarter. This is a reflection of the company’s continuing good performance following the long restructuring process of the last three years and the low casualty rate that has characterized this year. The importance of the recovery in this business for the overall results of Credicorp becomes more obvious when looking at the year end results of this line, which grew 165% from US$52 million to US$ 138 million.</w:t>
      </w:r>
    </w:p>
    <w:p>
      <w:pPr>
        <w:spacing w:after="0" w:line="363" w:lineRule="exact"/>
        <w:rPr>
          <w:sz w:val="20"/>
          <w:szCs w:val="20"/>
          <w:color w:val="auto"/>
        </w:rPr>
      </w:pPr>
    </w:p>
    <w:p>
      <w:pPr>
        <w:ind w:left="11340"/>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110490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6" w:right="239" w:bottom="1440" w:gutter="0" w:footer="0" w:header="0"/>
        </w:sectPr>
      </w:pPr>
    </w:p>
    <w:bookmarkStart w:id="4" w:name="page5"/>
    <w:bookmarkEnd w:id="4"/>
    <w:p>
      <w:pPr>
        <w:jc w:val="both"/>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6254750</wp:posOffset>
            </wp:positionH>
            <wp:positionV relativeFrom="page">
              <wp:posOffset>337820</wp:posOffset>
            </wp:positionV>
            <wp:extent cx="1149350" cy="3175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149350" cy="317500"/>
                    </a:xfrm>
                    <a:prstGeom prst="rect">
                      <a:avLst/>
                    </a:prstGeom>
                    <a:noFill/>
                  </pic:spPr>
                </pic:pic>
              </a:graphicData>
            </a:graphic>
          </wp:anchor>
        </w:drawing>
        <w:t>Operating costs reflect the typical year-end increase and grew almost 23% QoQ. However, yearly growth of 10.9%, which includes the impact of the revaluation of the local currency in which most of the administrative and personnel cost are denominated, was in line with expectations. However, given the lower than expected income growth, the efficiency ratio deteriorated from 41.7% for 2008 to 42.1% in 2009.</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3200" w:type="dxa"/>
            <w:vAlign w:val="bottom"/>
            <w:gridSpan w:val="2"/>
          </w:tcPr>
          <w:p>
            <w:pPr>
              <w:spacing w:after="0"/>
              <w:rPr>
                <w:sz w:val="20"/>
                <w:szCs w:val="20"/>
                <w:color w:val="auto"/>
              </w:rPr>
            </w:pPr>
            <w:r>
              <w:rPr>
                <w:rFonts w:ascii="Arial" w:cs="Arial" w:eastAsia="Arial" w:hAnsi="Arial"/>
                <w:sz w:val="13"/>
                <w:szCs w:val="13"/>
                <w:b w:val="1"/>
                <w:bCs w:val="1"/>
                <w:color w:val="auto"/>
              </w:rPr>
              <w:t>Credicorp Ltd.</w:t>
            </w: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3"/>
                <w:szCs w:val="13"/>
                <w:b w:val="1"/>
                <w:bCs w:val="1"/>
                <w:color w:val="auto"/>
              </w:rPr>
              <w:t>Quarter</w:t>
            </w: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40" w:type="dxa"/>
            <w:vAlign w:val="bottom"/>
            <w:gridSpan w:val="4"/>
          </w:tcPr>
          <w:p>
            <w:pPr>
              <w:jc w:val="right"/>
              <w:ind w:right="860"/>
              <w:spacing w:after="0"/>
              <w:rPr>
                <w:sz w:val="20"/>
                <w:szCs w:val="20"/>
                <w:color w:val="auto"/>
              </w:rPr>
            </w:pPr>
            <w:r>
              <w:rPr>
                <w:rFonts w:ascii="Arial" w:cs="Arial" w:eastAsia="Arial" w:hAnsi="Arial"/>
                <w:sz w:val="13"/>
                <w:szCs w:val="13"/>
                <w:b w:val="1"/>
                <w:bCs w:val="1"/>
                <w:color w:val="auto"/>
              </w:rPr>
              <w:t>Change %</w:t>
            </w:r>
          </w:p>
        </w:tc>
        <w:tc>
          <w:tcPr>
            <w:tcW w:w="1200" w:type="dxa"/>
            <w:vAlign w:val="bottom"/>
            <w:gridSpan w:val="3"/>
          </w:tcPr>
          <w:p>
            <w:pPr>
              <w:ind w:left="600"/>
              <w:spacing w:after="0"/>
              <w:rPr>
                <w:sz w:val="20"/>
                <w:szCs w:val="20"/>
                <w:color w:val="auto"/>
              </w:rPr>
            </w:pPr>
            <w:r>
              <w:rPr>
                <w:rFonts w:ascii="Arial" w:cs="Arial" w:eastAsia="Arial" w:hAnsi="Arial"/>
                <w:sz w:val="13"/>
                <w:szCs w:val="13"/>
                <w:b w:val="1"/>
                <w:bCs w:val="1"/>
                <w:color w:val="auto"/>
                <w:w w:val="82"/>
              </w:rPr>
              <w:t>Year ended</w:t>
            </w: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gridSpan w:val="2"/>
          </w:tcPr>
          <w:p>
            <w:pPr>
              <w:ind w:left="100"/>
              <w:spacing w:after="0"/>
              <w:rPr>
                <w:sz w:val="20"/>
                <w:szCs w:val="20"/>
                <w:color w:val="auto"/>
              </w:rPr>
            </w:pPr>
            <w:r>
              <w:rPr>
                <w:rFonts w:ascii="Arial" w:cs="Arial" w:eastAsia="Arial" w:hAnsi="Arial"/>
                <w:sz w:val="13"/>
                <w:szCs w:val="13"/>
                <w:b w:val="1"/>
                <w:bCs w:val="1"/>
                <w:color w:val="auto"/>
              </w:rPr>
              <w:t>Change %</w:t>
            </w:r>
          </w:p>
        </w:tc>
        <w:tc>
          <w:tcPr>
            <w:tcW w:w="0" w:type="dxa"/>
            <w:vAlign w:val="bottom"/>
          </w:tcPr>
          <w:p>
            <w:pPr>
              <w:spacing w:after="0"/>
              <w:rPr>
                <w:sz w:val="1"/>
                <w:szCs w:val="1"/>
                <w:color w:val="auto"/>
              </w:rPr>
            </w:pPr>
          </w:p>
        </w:tc>
      </w:tr>
      <w:tr>
        <w:trPr>
          <w:trHeight w:val="135"/>
        </w:trPr>
        <w:tc>
          <w:tcPr>
            <w:tcW w:w="3200" w:type="dxa"/>
            <w:vAlign w:val="bottom"/>
            <w:tcBorders>
              <w:top w:val="single" w:sz="8" w:color="auto"/>
            </w:tcBorders>
            <w:gridSpan w:val="2"/>
          </w:tcPr>
          <w:p>
            <w:pPr>
              <w:spacing w:after="0" w:line="135" w:lineRule="exact"/>
              <w:rPr>
                <w:sz w:val="20"/>
                <w:szCs w:val="20"/>
                <w:color w:val="auto"/>
              </w:rPr>
            </w:pPr>
            <w:r>
              <w:rPr>
                <w:rFonts w:ascii="Arial" w:cs="Arial" w:eastAsia="Arial" w:hAnsi="Arial"/>
                <w:sz w:val="13"/>
                <w:szCs w:val="13"/>
                <w:color w:val="auto"/>
              </w:rPr>
              <w:t>US$ thousands</w:t>
            </w:r>
          </w:p>
        </w:tc>
        <w:tc>
          <w:tcPr>
            <w:tcW w:w="140" w:type="dxa"/>
            <w:vAlign w:val="bottom"/>
          </w:tcPr>
          <w:p>
            <w:pPr>
              <w:spacing w:after="0"/>
              <w:rPr>
                <w:sz w:val="11"/>
                <w:szCs w:val="11"/>
                <w:color w:val="auto"/>
              </w:rPr>
            </w:pPr>
          </w:p>
        </w:tc>
        <w:tc>
          <w:tcPr>
            <w:tcW w:w="1040" w:type="dxa"/>
            <w:vAlign w:val="bottom"/>
            <w:tcBorders>
              <w:top w:val="single" w:sz="8" w:color="auto"/>
            </w:tcBorders>
            <w:gridSpan w:val="2"/>
          </w:tcPr>
          <w:p>
            <w:pPr>
              <w:jc w:val="right"/>
              <w:ind w:right="500"/>
              <w:spacing w:after="0" w:line="135" w:lineRule="exact"/>
              <w:rPr>
                <w:sz w:val="20"/>
                <w:szCs w:val="20"/>
                <w:color w:val="auto"/>
              </w:rPr>
            </w:pPr>
            <w:r>
              <w:rPr>
                <w:rFonts w:ascii="Arial" w:cs="Arial" w:eastAsia="Arial" w:hAnsi="Arial"/>
                <w:sz w:val="13"/>
                <w:szCs w:val="13"/>
                <w:b w:val="1"/>
                <w:bCs w:val="1"/>
                <w:color w:val="auto"/>
              </w:rPr>
              <w:t>4Q09</w:t>
            </w:r>
          </w:p>
        </w:tc>
        <w:tc>
          <w:tcPr>
            <w:tcW w:w="1060" w:type="dxa"/>
            <w:vAlign w:val="bottom"/>
            <w:tcBorders>
              <w:top w:val="single" w:sz="8" w:color="auto"/>
            </w:tcBorders>
            <w:gridSpan w:val="2"/>
          </w:tcPr>
          <w:p>
            <w:pPr>
              <w:jc w:val="right"/>
              <w:ind w:right="500"/>
              <w:spacing w:after="0" w:line="135" w:lineRule="exact"/>
              <w:rPr>
                <w:sz w:val="20"/>
                <w:szCs w:val="20"/>
                <w:color w:val="auto"/>
              </w:rPr>
            </w:pPr>
            <w:r>
              <w:rPr>
                <w:rFonts w:ascii="Arial" w:cs="Arial" w:eastAsia="Arial" w:hAnsi="Arial"/>
                <w:sz w:val="13"/>
                <w:szCs w:val="13"/>
                <w:b w:val="1"/>
                <w:bCs w:val="1"/>
                <w:color w:val="auto"/>
              </w:rPr>
              <w:t>3Q09</w:t>
            </w:r>
          </w:p>
        </w:tc>
        <w:tc>
          <w:tcPr>
            <w:tcW w:w="800" w:type="dxa"/>
            <w:vAlign w:val="bottom"/>
            <w:tcBorders>
              <w:top w:val="single" w:sz="8" w:color="auto"/>
            </w:tcBorders>
          </w:tcPr>
          <w:p>
            <w:pPr>
              <w:jc w:val="right"/>
              <w:ind w:right="197"/>
              <w:spacing w:after="0" w:line="135" w:lineRule="exact"/>
              <w:rPr>
                <w:sz w:val="20"/>
                <w:szCs w:val="20"/>
                <w:color w:val="auto"/>
              </w:rPr>
            </w:pPr>
            <w:r>
              <w:rPr>
                <w:rFonts w:ascii="Arial" w:cs="Arial" w:eastAsia="Arial" w:hAnsi="Arial"/>
                <w:sz w:val="13"/>
                <w:szCs w:val="13"/>
                <w:b w:val="1"/>
                <w:bCs w:val="1"/>
                <w:color w:val="auto"/>
              </w:rPr>
              <w:t>4Q08</w:t>
            </w:r>
          </w:p>
        </w:tc>
        <w:tc>
          <w:tcPr>
            <w:tcW w:w="220" w:type="dxa"/>
            <w:vAlign w:val="bottom"/>
          </w:tcPr>
          <w:p>
            <w:pPr>
              <w:spacing w:after="0"/>
              <w:rPr>
                <w:sz w:val="11"/>
                <w:szCs w:val="11"/>
                <w:color w:val="auto"/>
              </w:rPr>
            </w:pPr>
          </w:p>
        </w:tc>
        <w:tc>
          <w:tcPr>
            <w:tcW w:w="1020" w:type="dxa"/>
            <w:vAlign w:val="bottom"/>
            <w:tcBorders>
              <w:top w:val="single" w:sz="8" w:color="auto"/>
            </w:tcBorders>
            <w:gridSpan w:val="2"/>
          </w:tcPr>
          <w:p>
            <w:pPr>
              <w:jc w:val="right"/>
              <w:ind w:right="340"/>
              <w:spacing w:after="0" w:line="135" w:lineRule="exact"/>
              <w:rPr>
                <w:sz w:val="20"/>
                <w:szCs w:val="20"/>
                <w:color w:val="auto"/>
              </w:rPr>
            </w:pPr>
            <w:r>
              <w:rPr>
                <w:rFonts w:ascii="Arial" w:cs="Arial" w:eastAsia="Arial" w:hAnsi="Arial"/>
                <w:sz w:val="13"/>
                <w:szCs w:val="13"/>
                <w:b w:val="1"/>
                <w:bCs w:val="1"/>
                <w:color w:val="auto"/>
                <w:w w:val="98"/>
              </w:rPr>
              <w:t>4Q09/4Q08</w:t>
            </w:r>
          </w:p>
        </w:tc>
        <w:tc>
          <w:tcPr>
            <w:tcW w:w="780" w:type="dxa"/>
            <w:vAlign w:val="bottom"/>
            <w:tcBorders>
              <w:top w:val="single" w:sz="8" w:color="auto"/>
            </w:tcBorders>
          </w:tcPr>
          <w:p>
            <w:pPr>
              <w:jc w:val="right"/>
              <w:ind w:right="17"/>
              <w:spacing w:after="0" w:line="135" w:lineRule="exact"/>
              <w:rPr>
                <w:sz w:val="20"/>
                <w:szCs w:val="20"/>
                <w:color w:val="auto"/>
              </w:rPr>
            </w:pPr>
            <w:r>
              <w:rPr>
                <w:rFonts w:ascii="Arial" w:cs="Arial" w:eastAsia="Arial" w:hAnsi="Arial"/>
                <w:sz w:val="13"/>
                <w:szCs w:val="13"/>
                <w:b w:val="1"/>
                <w:bCs w:val="1"/>
                <w:color w:val="auto"/>
              </w:rPr>
              <w:t>4Q09/3Q09</w:t>
            </w:r>
          </w:p>
        </w:tc>
        <w:tc>
          <w:tcPr>
            <w:tcW w:w="240" w:type="dxa"/>
            <w:vAlign w:val="bottom"/>
          </w:tcPr>
          <w:p>
            <w:pPr>
              <w:spacing w:after="0"/>
              <w:rPr>
                <w:sz w:val="11"/>
                <w:szCs w:val="11"/>
                <w:color w:val="auto"/>
              </w:rPr>
            </w:pPr>
          </w:p>
        </w:tc>
        <w:tc>
          <w:tcPr>
            <w:tcW w:w="780" w:type="dxa"/>
            <w:vAlign w:val="bottom"/>
            <w:tcBorders>
              <w:top w:val="single" w:sz="8" w:color="auto"/>
            </w:tcBorders>
          </w:tcPr>
          <w:p>
            <w:pPr>
              <w:jc w:val="right"/>
              <w:ind w:right="197"/>
              <w:spacing w:after="0" w:line="135" w:lineRule="exact"/>
              <w:rPr>
                <w:sz w:val="20"/>
                <w:szCs w:val="20"/>
                <w:color w:val="auto"/>
              </w:rPr>
            </w:pPr>
            <w:r>
              <w:rPr>
                <w:rFonts w:ascii="Arial" w:cs="Arial" w:eastAsia="Arial" w:hAnsi="Arial"/>
                <w:sz w:val="13"/>
                <w:szCs w:val="13"/>
                <w:b w:val="1"/>
                <w:bCs w:val="1"/>
                <w:color w:val="auto"/>
              </w:rPr>
              <w:t>2009</w:t>
            </w:r>
          </w:p>
        </w:tc>
        <w:tc>
          <w:tcPr>
            <w:tcW w:w="2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ind w:right="197"/>
              <w:spacing w:after="0" w:line="135" w:lineRule="exact"/>
              <w:rPr>
                <w:sz w:val="20"/>
                <w:szCs w:val="20"/>
                <w:color w:val="auto"/>
              </w:rPr>
            </w:pPr>
            <w:r>
              <w:rPr>
                <w:rFonts w:ascii="Arial" w:cs="Arial" w:eastAsia="Arial" w:hAnsi="Arial"/>
                <w:sz w:val="13"/>
                <w:szCs w:val="13"/>
                <w:b w:val="1"/>
                <w:bCs w:val="1"/>
                <w:color w:val="auto"/>
              </w:rPr>
              <w:t>2008</w:t>
            </w:r>
          </w:p>
        </w:tc>
        <w:tc>
          <w:tcPr>
            <w:tcW w:w="220" w:type="dxa"/>
            <w:vAlign w:val="bottom"/>
          </w:tcPr>
          <w:p>
            <w:pPr>
              <w:spacing w:after="0"/>
              <w:rPr>
                <w:sz w:val="11"/>
                <w:szCs w:val="11"/>
                <w:color w:val="auto"/>
              </w:rPr>
            </w:pPr>
          </w:p>
        </w:tc>
        <w:tc>
          <w:tcPr>
            <w:tcW w:w="780" w:type="dxa"/>
            <w:vAlign w:val="bottom"/>
            <w:tcBorders>
              <w:top w:val="single" w:sz="8" w:color="auto"/>
            </w:tcBorders>
          </w:tcPr>
          <w:p>
            <w:pPr>
              <w:ind w:left="120"/>
              <w:spacing w:after="0" w:line="135" w:lineRule="exact"/>
              <w:rPr>
                <w:sz w:val="20"/>
                <w:szCs w:val="20"/>
                <w:color w:val="auto"/>
              </w:rPr>
            </w:pPr>
            <w:r>
              <w:rPr>
                <w:rFonts w:ascii="Arial" w:cs="Arial" w:eastAsia="Arial" w:hAnsi="Arial"/>
                <w:sz w:val="13"/>
                <w:szCs w:val="13"/>
                <w:b w:val="1"/>
                <w:bCs w:val="1"/>
                <w:color w:val="auto"/>
              </w:rPr>
              <w:t>2009/2008</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1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vMerge w:val="continue"/>
          </w:tcPr>
          <w:p>
            <w:pPr>
              <w:spacing w:after="0"/>
              <w:rPr>
                <w:sz w:val="11"/>
                <w:szCs w:val="11"/>
                <w:color w:val="auto"/>
              </w:rPr>
            </w:pPr>
          </w:p>
        </w:tc>
        <w:tc>
          <w:tcPr>
            <w:tcW w:w="318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Net Interest income</w:t>
            </w:r>
          </w:p>
        </w:tc>
        <w:tc>
          <w:tcPr>
            <w:tcW w:w="140" w:type="dxa"/>
            <w:vAlign w:val="bottom"/>
            <w:shd w:val="clear" w:color="auto" w:fill="CCFFCC"/>
          </w:tcPr>
          <w:p>
            <w:pPr>
              <w:spacing w:after="0"/>
              <w:rPr>
                <w:sz w:val="11"/>
                <w:szCs w:val="11"/>
                <w:color w:val="auto"/>
              </w:rPr>
            </w:pPr>
          </w:p>
        </w:tc>
        <w:tc>
          <w:tcPr>
            <w:tcW w:w="104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237,963</w:t>
            </w:r>
          </w:p>
        </w:tc>
        <w:tc>
          <w:tcPr>
            <w:tcW w:w="106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214,547</w:t>
            </w:r>
          </w:p>
        </w:tc>
        <w:tc>
          <w:tcPr>
            <w:tcW w:w="102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214,230</w:t>
            </w:r>
          </w:p>
        </w:tc>
        <w:tc>
          <w:tcPr>
            <w:tcW w:w="10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11.1%</w:t>
            </w:r>
          </w:p>
        </w:tc>
        <w:tc>
          <w:tcPr>
            <w:tcW w:w="10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10.9%</w:t>
            </w:r>
          </w:p>
        </w:tc>
        <w:tc>
          <w:tcPr>
            <w:tcW w:w="10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891,918</w:t>
            </w:r>
          </w:p>
        </w:tc>
        <w:tc>
          <w:tcPr>
            <w:tcW w:w="200" w:type="dxa"/>
            <w:vAlign w:val="bottom"/>
            <w:shd w:val="clear" w:color="auto" w:fill="CCFFCC"/>
          </w:tcPr>
          <w:p>
            <w:pPr>
              <w:spacing w:after="0"/>
              <w:rPr>
                <w:sz w:val="11"/>
                <w:szCs w:val="11"/>
                <w:color w:val="auto"/>
              </w:rPr>
            </w:pPr>
          </w:p>
        </w:tc>
        <w:tc>
          <w:tcPr>
            <w:tcW w:w="8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822,922</w:t>
            </w:r>
          </w:p>
        </w:tc>
        <w:tc>
          <w:tcPr>
            <w:tcW w:w="920" w:type="dxa"/>
            <w:vAlign w:val="bottom"/>
            <w:gridSpan w:val="2"/>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8.4%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80" w:type="dxa"/>
            <w:vAlign w:val="bottom"/>
          </w:tcPr>
          <w:p>
            <w:pPr>
              <w:spacing w:after="0" w:line="135" w:lineRule="exact"/>
              <w:rPr>
                <w:sz w:val="20"/>
                <w:szCs w:val="20"/>
                <w:color w:val="auto"/>
              </w:rPr>
            </w:pPr>
            <w:r>
              <w:rPr>
                <w:rFonts w:ascii="Arial" w:cs="Arial" w:eastAsia="Arial" w:hAnsi="Arial"/>
                <w:sz w:val="13"/>
                <w:szCs w:val="13"/>
                <w:color w:val="auto"/>
              </w:rPr>
              <w:t>Total provisions, net of recoveries</w:t>
            </w:r>
          </w:p>
        </w:tc>
        <w:tc>
          <w:tcPr>
            <w:tcW w:w="1180" w:type="dxa"/>
            <w:vAlign w:val="bottom"/>
            <w:gridSpan w:val="3"/>
          </w:tcPr>
          <w:p>
            <w:pPr>
              <w:jc w:val="right"/>
              <w:ind w:right="200"/>
              <w:spacing w:after="0" w:line="135" w:lineRule="exact"/>
              <w:rPr>
                <w:sz w:val="20"/>
                <w:szCs w:val="20"/>
                <w:color w:val="auto"/>
              </w:rPr>
            </w:pPr>
            <w:r>
              <w:rPr>
                <w:rFonts w:ascii="Arial" w:cs="Arial" w:eastAsia="Arial" w:hAnsi="Arial"/>
                <w:sz w:val="13"/>
                <w:szCs w:val="13"/>
                <w:color w:val="auto"/>
              </w:rPr>
              <w:t>(44,044)</w:t>
            </w:r>
          </w:p>
        </w:tc>
        <w:tc>
          <w:tcPr>
            <w:tcW w:w="10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(38,216)</w:t>
            </w:r>
          </w:p>
        </w:tc>
        <w:tc>
          <w:tcPr>
            <w:tcW w:w="10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(5,621)</w:t>
            </w:r>
          </w:p>
        </w:tc>
        <w:tc>
          <w:tcPr>
            <w:tcW w:w="10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683.6%</w:t>
            </w:r>
          </w:p>
        </w:tc>
        <w:tc>
          <w:tcPr>
            <w:tcW w:w="10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15.3%</w:t>
            </w:r>
          </w:p>
        </w:tc>
        <w:tc>
          <w:tcPr>
            <w:tcW w:w="10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(163,392)</w:t>
            </w:r>
          </w:p>
        </w:tc>
        <w:tc>
          <w:tcPr>
            <w:tcW w:w="200" w:type="dxa"/>
            <w:vAlign w:val="bottom"/>
          </w:tcPr>
          <w:p>
            <w:pPr>
              <w:spacing w:after="0"/>
              <w:rPr>
                <w:sz w:val="11"/>
                <w:szCs w:val="11"/>
                <w:color w:val="auto"/>
              </w:rPr>
            </w:pPr>
          </w:p>
        </w:tc>
        <w:tc>
          <w:tcPr>
            <w:tcW w:w="8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(47,760)</w:t>
            </w:r>
          </w:p>
        </w:tc>
        <w:tc>
          <w:tcPr>
            <w:tcW w:w="92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242.1%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8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Non financial income</w:t>
            </w:r>
          </w:p>
        </w:tc>
        <w:tc>
          <w:tcPr>
            <w:tcW w:w="1180" w:type="dxa"/>
            <w:vAlign w:val="bottom"/>
            <w:gridSpan w:val="3"/>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176,785</w:t>
            </w:r>
          </w:p>
        </w:tc>
        <w:tc>
          <w:tcPr>
            <w:tcW w:w="106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163,541</w:t>
            </w:r>
          </w:p>
        </w:tc>
        <w:tc>
          <w:tcPr>
            <w:tcW w:w="102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159,387</w:t>
            </w:r>
          </w:p>
        </w:tc>
        <w:tc>
          <w:tcPr>
            <w:tcW w:w="10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10.9%</w:t>
            </w:r>
          </w:p>
        </w:tc>
        <w:tc>
          <w:tcPr>
            <w:tcW w:w="10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8.1%</w:t>
            </w:r>
          </w:p>
        </w:tc>
        <w:tc>
          <w:tcPr>
            <w:tcW w:w="10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690,691</w:t>
            </w:r>
          </w:p>
        </w:tc>
        <w:tc>
          <w:tcPr>
            <w:tcW w:w="200" w:type="dxa"/>
            <w:vAlign w:val="bottom"/>
            <w:shd w:val="clear" w:color="auto" w:fill="CCFFCC"/>
          </w:tcPr>
          <w:p>
            <w:pPr>
              <w:spacing w:after="0"/>
              <w:rPr>
                <w:sz w:val="11"/>
                <w:szCs w:val="11"/>
                <w:color w:val="auto"/>
              </w:rPr>
            </w:pPr>
          </w:p>
        </w:tc>
        <w:tc>
          <w:tcPr>
            <w:tcW w:w="8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592,481</w:t>
            </w:r>
          </w:p>
        </w:tc>
        <w:tc>
          <w:tcPr>
            <w:tcW w:w="920" w:type="dxa"/>
            <w:vAlign w:val="bottom"/>
            <w:gridSpan w:val="2"/>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16.6%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80" w:type="dxa"/>
            <w:vAlign w:val="bottom"/>
          </w:tcPr>
          <w:p>
            <w:pPr>
              <w:spacing w:after="0" w:line="135" w:lineRule="exact"/>
              <w:rPr>
                <w:sz w:val="20"/>
                <w:szCs w:val="20"/>
                <w:color w:val="auto"/>
              </w:rPr>
            </w:pPr>
            <w:r>
              <w:rPr>
                <w:rFonts w:ascii="Arial" w:cs="Arial" w:eastAsia="Arial" w:hAnsi="Arial"/>
                <w:sz w:val="13"/>
                <w:szCs w:val="13"/>
                <w:color w:val="auto"/>
              </w:rPr>
              <w:t>Insurance premiums and claims</w:t>
            </w:r>
          </w:p>
        </w:tc>
        <w:tc>
          <w:tcPr>
            <w:tcW w:w="1180" w:type="dxa"/>
            <w:vAlign w:val="bottom"/>
            <w:gridSpan w:val="3"/>
          </w:tcPr>
          <w:p>
            <w:pPr>
              <w:jc w:val="right"/>
              <w:ind w:right="240"/>
              <w:spacing w:after="0" w:line="135" w:lineRule="exact"/>
              <w:rPr>
                <w:sz w:val="20"/>
                <w:szCs w:val="20"/>
                <w:color w:val="auto"/>
              </w:rPr>
            </w:pPr>
            <w:r>
              <w:rPr>
                <w:rFonts w:ascii="Arial" w:cs="Arial" w:eastAsia="Arial" w:hAnsi="Arial"/>
                <w:sz w:val="13"/>
                <w:szCs w:val="13"/>
                <w:color w:val="auto"/>
              </w:rPr>
              <w:t>45,029</w:t>
            </w:r>
          </w:p>
        </w:tc>
        <w:tc>
          <w:tcPr>
            <w:tcW w:w="10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36,018</w:t>
            </w:r>
          </w:p>
        </w:tc>
        <w:tc>
          <w:tcPr>
            <w:tcW w:w="10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20,284</w:t>
            </w:r>
          </w:p>
        </w:tc>
        <w:tc>
          <w:tcPr>
            <w:tcW w:w="10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122.0%</w:t>
            </w:r>
          </w:p>
        </w:tc>
        <w:tc>
          <w:tcPr>
            <w:tcW w:w="10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25.0%</w:t>
            </w:r>
          </w:p>
        </w:tc>
        <w:tc>
          <w:tcPr>
            <w:tcW w:w="10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138,225</w:t>
            </w:r>
          </w:p>
        </w:tc>
        <w:tc>
          <w:tcPr>
            <w:tcW w:w="200" w:type="dxa"/>
            <w:vAlign w:val="bottom"/>
          </w:tcPr>
          <w:p>
            <w:pPr>
              <w:spacing w:after="0"/>
              <w:rPr>
                <w:sz w:val="11"/>
                <w:szCs w:val="11"/>
                <w:color w:val="auto"/>
              </w:rPr>
            </w:pPr>
          </w:p>
        </w:tc>
        <w:tc>
          <w:tcPr>
            <w:tcW w:w="8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51,992</w:t>
            </w:r>
          </w:p>
        </w:tc>
        <w:tc>
          <w:tcPr>
            <w:tcW w:w="92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165.9%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8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Operating expenses</w:t>
            </w:r>
          </w:p>
        </w:tc>
        <w:tc>
          <w:tcPr>
            <w:tcW w:w="1180" w:type="dxa"/>
            <w:vAlign w:val="bottom"/>
            <w:gridSpan w:val="3"/>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(260,064)</w:t>
            </w:r>
          </w:p>
        </w:tc>
        <w:tc>
          <w:tcPr>
            <w:tcW w:w="106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(211,568)</w:t>
            </w:r>
          </w:p>
        </w:tc>
        <w:tc>
          <w:tcPr>
            <w:tcW w:w="102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(220,261)</w:t>
            </w:r>
          </w:p>
        </w:tc>
        <w:tc>
          <w:tcPr>
            <w:tcW w:w="10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18.1%</w:t>
            </w:r>
          </w:p>
        </w:tc>
        <w:tc>
          <w:tcPr>
            <w:tcW w:w="10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22.9%</w:t>
            </w:r>
          </w:p>
        </w:tc>
        <w:tc>
          <w:tcPr>
            <w:tcW w:w="100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(898,639)</w:t>
            </w:r>
          </w:p>
        </w:tc>
        <w:tc>
          <w:tcPr>
            <w:tcW w:w="200" w:type="dxa"/>
            <w:vAlign w:val="bottom"/>
            <w:shd w:val="clear" w:color="auto" w:fill="CCFFCC"/>
          </w:tcPr>
          <w:p>
            <w:pPr>
              <w:spacing w:after="0"/>
              <w:rPr>
                <w:sz w:val="11"/>
                <w:szCs w:val="11"/>
                <w:color w:val="auto"/>
              </w:rPr>
            </w:pPr>
          </w:p>
        </w:tc>
        <w:tc>
          <w:tcPr>
            <w:tcW w:w="80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(810,540)</w:t>
            </w:r>
          </w:p>
        </w:tc>
        <w:tc>
          <w:tcPr>
            <w:tcW w:w="920" w:type="dxa"/>
            <w:vAlign w:val="bottom"/>
            <w:gridSpan w:val="2"/>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10.9%</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180" w:type="dxa"/>
            <w:vAlign w:val="bottom"/>
          </w:tcPr>
          <w:p>
            <w:pPr>
              <w:spacing w:after="0" w:line="117" w:lineRule="exact"/>
              <w:rPr>
                <w:sz w:val="20"/>
                <w:szCs w:val="20"/>
                <w:color w:val="auto"/>
              </w:rPr>
            </w:pPr>
            <w:r>
              <w:rPr>
                <w:rFonts w:ascii="Arial" w:cs="Arial" w:eastAsia="Arial" w:hAnsi="Arial"/>
                <w:sz w:val="13"/>
                <w:szCs w:val="13"/>
                <w:b w:val="1"/>
                <w:bCs w:val="1"/>
                <w:color w:val="auto"/>
                <w:w w:val="94"/>
              </w:rPr>
              <w:t>Income before non-recuring items, translation results,</w:t>
            </w: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200" w:type="dxa"/>
            <w:vAlign w:val="bottom"/>
            <w:gridSpan w:val="2"/>
          </w:tcPr>
          <w:p>
            <w:pPr>
              <w:spacing w:after="0"/>
              <w:rPr>
                <w:sz w:val="20"/>
                <w:szCs w:val="20"/>
                <w:color w:val="auto"/>
              </w:rPr>
            </w:pPr>
            <w:r>
              <w:rPr>
                <w:rFonts w:ascii="Arial" w:cs="Arial" w:eastAsia="Arial" w:hAnsi="Arial"/>
                <w:sz w:val="13"/>
                <w:szCs w:val="13"/>
                <w:b w:val="1"/>
                <w:bCs w:val="1"/>
                <w:color w:val="auto"/>
              </w:rPr>
              <w:t>employees' profit sharing and income taxes</w:t>
            </w:r>
          </w:p>
        </w:tc>
        <w:tc>
          <w:tcPr>
            <w:tcW w:w="1180" w:type="dxa"/>
            <w:vAlign w:val="bottom"/>
            <w:gridSpan w:val="3"/>
          </w:tcPr>
          <w:p>
            <w:pPr>
              <w:jc w:val="right"/>
              <w:ind w:right="240"/>
              <w:spacing w:after="0"/>
              <w:rPr>
                <w:sz w:val="20"/>
                <w:szCs w:val="20"/>
                <w:color w:val="auto"/>
              </w:rPr>
            </w:pPr>
            <w:r>
              <w:rPr>
                <w:rFonts w:ascii="Arial" w:cs="Arial" w:eastAsia="Arial" w:hAnsi="Arial"/>
                <w:sz w:val="13"/>
                <w:szCs w:val="13"/>
                <w:b w:val="1"/>
                <w:bCs w:val="1"/>
                <w:color w:val="auto"/>
              </w:rPr>
              <w:t>155,669</w:t>
            </w:r>
          </w:p>
        </w:tc>
        <w:tc>
          <w:tcPr>
            <w:tcW w:w="106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164,322</w:t>
            </w:r>
          </w:p>
        </w:tc>
        <w:tc>
          <w:tcPr>
            <w:tcW w:w="102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168,018</w:t>
            </w:r>
          </w:p>
        </w:tc>
        <w:tc>
          <w:tcPr>
            <w:tcW w:w="102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-7.3%</w:t>
            </w:r>
          </w:p>
        </w:tc>
        <w:tc>
          <w:tcPr>
            <w:tcW w:w="102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-5.3%</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658,802</w:t>
            </w:r>
          </w:p>
        </w:tc>
        <w:tc>
          <w:tcPr>
            <w:tcW w:w="200" w:type="dxa"/>
            <w:vAlign w:val="bottom"/>
          </w:tcPr>
          <w:p>
            <w:pPr>
              <w:spacing w:after="0"/>
              <w:rPr>
                <w:sz w:val="13"/>
                <w:szCs w:val="1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609,096</w:t>
            </w:r>
          </w:p>
        </w:tc>
        <w:tc>
          <w:tcPr>
            <w:tcW w:w="920" w:type="dxa"/>
            <w:vAlign w:val="bottom"/>
            <w:gridSpan w:val="2"/>
          </w:tcPr>
          <w:p>
            <w:pPr>
              <w:jc w:val="right"/>
              <w:spacing w:after="0"/>
              <w:rPr>
                <w:sz w:val="20"/>
                <w:szCs w:val="20"/>
                <w:color w:val="auto"/>
              </w:rPr>
            </w:pPr>
            <w:r>
              <w:rPr>
                <w:rFonts w:ascii="Arial" w:cs="Arial" w:eastAsia="Arial" w:hAnsi="Arial"/>
                <w:sz w:val="13"/>
                <w:szCs w:val="13"/>
                <w:b w:val="1"/>
                <w:bCs w:val="1"/>
                <w:color w:val="auto"/>
              </w:rPr>
              <w:t>8.2%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8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Translation results</w:t>
            </w:r>
          </w:p>
        </w:tc>
        <w:tc>
          <w:tcPr>
            <w:tcW w:w="1180" w:type="dxa"/>
            <w:vAlign w:val="bottom"/>
            <w:gridSpan w:val="3"/>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1,075</w:t>
            </w:r>
          </w:p>
        </w:tc>
        <w:tc>
          <w:tcPr>
            <w:tcW w:w="106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12,046</w:t>
            </w:r>
          </w:p>
        </w:tc>
        <w:tc>
          <w:tcPr>
            <w:tcW w:w="102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(31,813)</w:t>
            </w:r>
          </w:p>
        </w:tc>
        <w:tc>
          <w:tcPr>
            <w:tcW w:w="10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103.4%</w:t>
            </w:r>
          </w:p>
        </w:tc>
        <w:tc>
          <w:tcPr>
            <w:tcW w:w="10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-91.1%</w:t>
            </w:r>
          </w:p>
        </w:tc>
        <w:tc>
          <w:tcPr>
            <w:tcW w:w="10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12,371</w:t>
            </w:r>
          </w:p>
        </w:tc>
        <w:tc>
          <w:tcPr>
            <w:tcW w:w="200" w:type="dxa"/>
            <w:vAlign w:val="bottom"/>
            <w:shd w:val="clear" w:color="auto" w:fill="CCFFCC"/>
          </w:tcPr>
          <w:p>
            <w:pPr>
              <w:spacing w:after="0"/>
              <w:rPr>
                <w:sz w:val="11"/>
                <w:szCs w:val="11"/>
                <w:color w:val="auto"/>
              </w:rPr>
            </w:pPr>
          </w:p>
        </w:tc>
        <w:tc>
          <w:tcPr>
            <w:tcW w:w="80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(17,650)</w:t>
            </w:r>
          </w:p>
        </w:tc>
        <w:tc>
          <w:tcPr>
            <w:tcW w:w="920" w:type="dxa"/>
            <w:vAlign w:val="bottom"/>
            <w:gridSpan w:val="2"/>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170.1%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80" w:type="dxa"/>
            <w:vAlign w:val="bottom"/>
          </w:tcPr>
          <w:p>
            <w:pPr>
              <w:spacing w:after="0" w:line="135" w:lineRule="exact"/>
              <w:rPr>
                <w:sz w:val="20"/>
                <w:szCs w:val="20"/>
                <w:color w:val="auto"/>
              </w:rPr>
            </w:pPr>
            <w:r>
              <w:rPr>
                <w:rFonts w:ascii="Arial" w:cs="Arial" w:eastAsia="Arial" w:hAnsi="Arial"/>
                <w:sz w:val="13"/>
                <w:szCs w:val="13"/>
                <w:color w:val="auto"/>
              </w:rPr>
              <w:t>Impairment</w:t>
            </w:r>
          </w:p>
        </w:tc>
        <w:tc>
          <w:tcPr>
            <w:tcW w:w="1180" w:type="dxa"/>
            <w:vAlign w:val="bottom"/>
            <w:gridSpan w:val="3"/>
          </w:tcPr>
          <w:p>
            <w:pPr>
              <w:jc w:val="right"/>
              <w:ind w:right="200"/>
              <w:spacing w:after="0" w:line="135" w:lineRule="exact"/>
              <w:rPr>
                <w:sz w:val="20"/>
                <w:szCs w:val="20"/>
                <w:color w:val="auto"/>
              </w:rPr>
            </w:pPr>
            <w:r>
              <w:rPr>
                <w:rFonts w:ascii="Arial" w:cs="Arial" w:eastAsia="Arial" w:hAnsi="Arial"/>
                <w:sz w:val="13"/>
                <w:szCs w:val="13"/>
                <w:color w:val="auto"/>
              </w:rPr>
              <w:t>(2,661)</w:t>
            </w:r>
          </w:p>
        </w:tc>
        <w:tc>
          <w:tcPr>
            <w:tcW w:w="10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(945)</w:t>
            </w:r>
          </w:p>
        </w:tc>
        <w:tc>
          <w:tcPr>
            <w:tcW w:w="10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(40,856)</w:t>
            </w:r>
          </w:p>
        </w:tc>
        <w:tc>
          <w:tcPr>
            <w:tcW w:w="10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-93.5%</w:t>
            </w:r>
          </w:p>
        </w:tc>
        <w:tc>
          <w:tcPr>
            <w:tcW w:w="10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181.6%</w:t>
            </w:r>
          </w:p>
        </w:tc>
        <w:tc>
          <w:tcPr>
            <w:tcW w:w="10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(9,825)</w:t>
            </w:r>
          </w:p>
        </w:tc>
        <w:tc>
          <w:tcPr>
            <w:tcW w:w="200" w:type="dxa"/>
            <w:vAlign w:val="bottom"/>
          </w:tcPr>
          <w:p>
            <w:pPr>
              <w:spacing w:after="0"/>
              <w:rPr>
                <w:sz w:val="11"/>
                <w:szCs w:val="11"/>
                <w:color w:val="auto"/>
              </w:rPr>
            </w:pPr>
          </w:p>
        </w:tc>
        <w:tc>
          <w:tcPr>
            <w:tcW w:w="8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(50,274)</w:t>
            </w:r>
          </w:p>
        </w:tc>
        <w:tc>
          <w:tcPr>
            <w:tcW w:w="92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-80.5%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8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w w:val="93"/>
              </w:rPr>
              <w:t>Provision Atlantic Blue Chip Fund and propietary exposure</w:t>
            </w:r>
          </w:p>
        </w:tc>
        <w:tc>
          <w:tcPr>
            <w:tcW w:w="140" w:type="dxa"/>
            <w:vAlign w:val="bottom"/>
            <w:shd w:val="clear" w:color="auto" w:fill="CCFFCC"/>
          </w:tcPr>
          <w:p>
            <w:pPr>
              <w:spacing w:after="0"/>
              <w:rPr>
                <w:sz w:val="11"/>
                <w:szCs w:val="11"/>
                <w:color w:val="auto"/>
              </w:rPr>
            </w:pPr>
          </w:p>
        </w:tc>
        <w:tc>
          <w:tcPr>
            <w:tcW w:w="80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82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102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(43,489)</w:t>
            </w:r>
          </w:p>
        </w:tc>
        <w:tc>
          <w:tcPr>
            <w:tcW w:w="10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-100.0%</w:t>
            </w:r>
          </w:p>
        </w:tc>
        <w:tc>
          <w:tcPr>
            <w:tcW w:w="10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0.0%</w:t>
            </w:r>
          </w:p>
        </w:tc>
        <w:tc>
          <w:tcPr>
            <w:tcW w:w="78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80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(43,489)</w:t>
            </w:r>
          </w:p>
        </w:tc>
        <w:tc>
          <w:tcPr>
            <w:tcW w:w="920" w:type="dxa"/>
            <w:vAlign w:val="bottom"/>
            <w:gridSpan w:val="2"/>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-100.0%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80" w:type="dxa"/>
            <w:vAlign w:val="bottom"/>
          </w:tcPr>
          <w:p>
            <w:pPr>
              <w:spacing w:after="0" w:line="135" w:lineRule="exact"/>
              <w:rPr>
                <w:sz w:val="20"/>
                <w:szCs w:val="20"/>
                <w:color w:val="auto"/>
              </w:rPr>
            </w:pPr>
            <w:r>
              <w:rPr>
                <w:rFonts w:ascii="Arial" w:cs="Arial" w:eastAsia="Arial" w:hAnsi="Arial"/>
                <w:sz w:val="13"/>
                <w:szCs w:val="13"/>
                <w:color w:val="auto"/>
              </w:rPr>
              <w:t>Employees' profit sharing and income taxes</w:t>
            </w:r>
          </w:p>
        </w:tc>
        <w:tc>
          <w:tcPr>
            <w:tcW w:w="1180" w:type="dxa"/>
            <w:vAlign w:val="bottom"/>
            <w:gridSpan w:val="3"/>
          </w:tcPr>
          <w:p>
            <w:pPr>
              <w:jc w:val="right"/>
              <w:ind w:right="200"/>
              <w:spacing w:after="0" w:line="135" w:lineRule="exact"/>
              <w:rPr>
                <w:sz w:val="20"/>
                <w:szCs w:val="20"/>
                <w:color w:val="auto"/>
              </w:rPr>
            </w:pPr>
            <w:r>
              <w:rPr>
                <w:rFonts w:ascii="Arial" w:cs="Arial" w:eastAsia="Arial" w:hAnsi="Arial"/>
                <w:sz w:val="13"/>
                <w:szCs w:val="13"/>
                <w:color w:val="auto"/>
              </w:rPr>
              <w:t>(21,112)</w:t>
            </w:r>
          </w:p>
        </w:tc>
        <w:tc>
          <w:tcPr>
            <w:tcW w:w="10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(45,285)</w:t>
            </w:r>
          </w:p>
        </w:tc>
        <w:tc>
          <w:tcPr>
            <w:tcW w:w="10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(33,771)</w:t>
            </w:r>
          </w:p>
        </w:tc>
        <w:tc>
          <w:tcPr>
            <w:tcW w:w="10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-37.5%</w:t>
            </w:r>
          </w:p>
        </w:tc>
        <w:tc>
          <w:tcPr>
            <w:tcW w:w="10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-53.4%</w:t>
            </w:r>
          </w:p>
        </w:tc>
        <w:tc>
          <w:tcPr>
            <w:tcW w:w="10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(156,913)</w:t>
            </w:r>
          </w:p>
        </w:tc>
        <w:tc>
          <w:tcPr>
            <w:tcW w:w="200" w:type="dxa"/>
            <w:vAlign w:val="bottom"/>
          </w:tcPr>
          <w:p>
            <w:pPr>
              <w:spacing w:after="0"/>
              <w:rPr>
                <w:sz w:val="11"/>
                <w:szCs w:val="11"/>
                <w:color w:val="auto"/>
              </w:rPr>
            </w:pPr>
          </w:p>
        </w:tc>
        <w:tc>
          <w:tcPr>
            <w:tcW w:w="8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(124,352)</w:t>
            </w:r>
          </w:p>
        </w:tc>
        <w:tc>
          <w:tcPr>
            <w:tcW w:w="92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26.2%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80" w:type="dxa"/>
            <w:vAlign w:val="bottom"/>
            <w:shd w:val="clear" w:color="auto" w:fill="CCFFCC"/>
          </w:tcPr>
          <w:p>
            <w:pPr>
              <w:spacing w:after="0" w:line="135" w:lineRule="exact"/>
              <w:rPr>
                <w:sz w:val="20"/>
                <w:szCs w:val="20"/>
                <w:color w:val="auto"/>
              </w:rPr>
            </w:pPr>
            <w:r>
              <w:rPr>
                <w:rFonts w:ascii="Arial" w:cs="Arial" w:eastAsia="Arial" w:hAnsi="Arial"/>
                <w:sz w:val="13"/>
                <w:szCs w:val="13"/>
                <w:b w:val="1"/>
                <w:bCs w:val="1"/>
                <w:color w:val="auto"/>
              </w:rPr>
              <w:t>Net income</w:t>
            </w:r>
          </w:p>
        </w:tc>
        <w:tc>
          <w:tcPr>
            <w:tcW w:w="1180" w:type="dxa"/>
            <w:vAlign w:val="bottom"/>
            <w:gridSpan w:val="3"/>
            <w:shd w:val="clear" w:color="auto" w:fill="CCFFCC"/>
          </w:tcPr>
          <w:p>
            <w:pPr>
              <w:jc w:val="right"/>
              <w:ind w:right="240"/>
              <w:spacing w:after="0" w:line="135" w:lineRule="exact"/>
              <w:rPr>
                <w:sz w:val="20"/>
                <w:szCs w:val="20"/>
                <w:color w:val="auto"/>
              </w:rPr>
            </w:pPr>
            <w:r>
              <w:rPr>
                <w:rFonts w:ascii="Arial" w:cs="Arial" w:eastAsia="Arial" w:hAnsi="Arial"/>
                <w:sz w:val="13"/>
                <w:szCs w:val="13"/>
                <w:b w:val="1"/>
                <w:bCs w:val="1"/>
                <w:color w:val="auto"/>
              </w:rPr>
              <w:t>132,971</w:t>
            </w:r>
          </w:p>
        </w:tc>
        <w:tc>
          <w:tcPr>
            <w:tcW w:w="106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b w:val="1"/>
                <w:bCs w:val="1"/>
                <w:color w:val="auto"/>
              </w:rPr>
              <w:t>130,139</w:t>
            </w:r>
          </w:p>
        </w:tc>
        <w:tc>
          <w:tcPr>
            <w:tcW w:w="102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b w:val="1"/>
                <w:bCs w:val="1"/>
                <w:color w:val="auto"/>
              </w:rPr>
              <w:t>18,089</w:t>
            </w:r>
          </w:p>
        </w:tc>
        <w:tc>
          <w:tcPr>
            <w:tcW w:w="102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b w:val="1"/>
                <w:bCs w:val="1"/>
                <w:color w:val="auto"/>
              </w:rPr>
              <w:t>635.1%</w:t>
            </w:r>
          </w:p>
        </w:tc>
        <w:tc>
          <w:tcPr>
            <w:tcW w:w="102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b w:val="1"/>
                <w:bCs w:val="1"/>
                <w:color w:val="auto"/>
              </w:rPr>
              <w:t>2.2%</w:t>
            </w:r>
          </w:p>
        </w:tc>
        <w:tc>
          <w:tcPr>
            <w:tcW w:w="10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b w:val="1"/>
                <w:bCs w:val="1"/>
                <w:color w:val="auto"/>
              </w:rPr>
              <w:t>504,435</w:t>
            </w:r>
          </w:p>
        </w:tc>
        <w:tc>
          <w:tcPr>
            <w:tcW w:w="200" w:type="dxa"/>
            <w:vAlign w:val="bottom"/>
            <w:shd w:val="clear" w:color="auto" w:fill="CCFFCC"/>
          </w:tcPr>
          <w:p>
            <w:pPr>
              <w:spacing w:after="0"/>
              <w:rPr>
                <w:sz w:val="11"/>
                <w:szCs w:val="11"/>
                <w:color w:val="auto"/>
              </w:rPr>
            </w:pPr>
          </w:p>
        </w:tc>
        <w:tc>
          <w:tcPr>
            <w:tcW w:w="8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b w:val="1"/>
                <w:bCs w:val="1"/>
                <w:color w:val="auto"/>
              </w:rPr>
              <w:t>373,331</w:t>
            </w:r>
          </w:p>
        </w:tc>
        <w:tc>
          <w:tcPr>
            <w:tcW w:w="920" w:type="dxa"/>
            <w:vAlign w:val="bottom"/>
            <w:gridSpan w:val="2"/>
            <w:shd w:val="clear" w:color="auto" w:fill="CCFFCC"/>
          </w:tcPr>
          <w:p>
            <w:pPr>
              <w:jc w:val="right"/>
              <w:spacing w:after="0" w:line="135" w:lineRule="exact"/>
              <w:rPr>
                <w:sz w:val="20"/>
                <w:szCs w:val="20"/>
                <w:color w:val="auto"/>
              </w:rPr>
            </w:pPr>
            <w:r>
              <w:rPr>
                <w:rFonts w:ascii="Arial" w:cs="Arial" w:eastAsia="Arial" w:hAnsi="Arial"/>
                <w:sz w:val="13"/>
                <w:szCs w:val="13"/>
                <w:b w:val="1"/>
                <w:bCs w:val="1"/>
                <w:color w:val="auto"/>
              </w:rPr>
              <w:t>35.1%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80" w:type="dxa"/>
            <w:vAlign w:val="bottom"/>
          </w:tcPr>
          <w:p>
            <w:pPr>
              <w:spacing w:after="0" w:line="135" w:lineRule="exact"/>
              <w:rPr>
                <w:sz w:val="20"/>
                <w:szCs w:val="20"/>
                <w:color w:val="auto"/>
              </w:rPr>
            </w:pPr>
            <w:r>
              <w:rPr>
                <w:rFonts w:ascii="Arial" w:cs="Arial" w:eastAsia="Arial" w:hAnsi="Arial"/>
                <w:sz w:val="13"/>
                <w:szCs w:val="13"/>
                <w:color w:val="auto"/>
              </w:rPr>
              <w:t>Minority Interest</w:t>
            </w:r>
          </w:p>
        </w:tc>
        <w:tc>
          <w:tcPr>
            <w:tcW w:w="1180" w:type="dxa"/>
            <w:vAlign w:val="bottom"/>
            <w:gridSpan w:val="3"/>
          </w:tcPr>
          <w:p>
            <w:pPr>
              <w:jc w:val="right"/>
              <w:ind w:right="240"/>
              <w:spacing w:after="0" w:line="135" w:lineRule="exact"/>
              <w:rPr>
                <w:sz w:val="20"/>
                <w:szCs w:val="20"/>
                <w:color w:val="auto"/>
              </w:rPr>
            </w:pPr>
            <w:r>
              <w:rPr>
                <w:rFonts w:ascii="Arial" w:cs="Arial" w:eastAsia="Arial" w:hAnsi="Arial"/>
                <w:sz w:val="13"/>
                <w:szCs w:val="13"/>
                <w:color w:val="auto"/>
              </w:rPr>
              <w:t>10,675</w:t>
            </w:r>
          </w:p>
        </w:tc>
        <w:tc>
          <w:tcPr>
            <w:tcW w:w="10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8,432</w:t>
            </w:r>
          </w:p>
        </w:tc>
        <w:tc>
          <w:tcPr>
            <w:tcW w:w="10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4,597</w:t>
            </w:r>
          </w:p>
        </w:tc>
        <w:tc>
          <w:tcPr>
            <w:tcW w:w="10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132.2%</w:t>
            </w:r>
          </w:p>
        </w:tc>
        <w:tc>
          <w:tcPr>
            <w:tcW w:w="10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26.6%</w:t>
            </w:r>
          </w:p>
        </w:tc>
        <w:tc>
          <w:tcPr>
            <w:tcW w:w="10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34,651</w:t>
            </w:r>
          </w:p>
        </w:tc>
        <w:tc>
          <w:tcPr>
            <w:tcW w:w="200" w:type="dxa"/>
            <w:vAlign w:val="bottom"/>
          </w:tcPr>
          <w:p>
            <w:pPr>
              <w:spacing w:after="0"/>
              <w:rPr>
                <w:sz w:val="11"/>
                <w:szCs w:val="11"/>
                <w:color w:val="auto"/>
              </w:rPr>
            </w:pPr>
          </w:p>
        </w:tc>
        <w:tc>
          <w:tcPr>
            <w:tcW w:w="8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15,575</w:t>
            </w:r>
          </w:p>
        </w:tc>
        <w:tc>
          <w:tcPr>
            <w:tcW w:w="92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122.5%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80" w:type="dxa"/>
            <w:vAlign w:val="bottom"/>
            <w:shd w:val="clear" w:color="auto" w:fill="CCFFCC"/>
          </w:tcPr>
          <w:p>
            <w:pPr>
              <w:spacing w:after="0" w:line="135" w:lineRule="exact"/>
              <w:rPr>
                <w:sz w:val="20"/>
                <w:szCs w:val="20"/>
                <w:color w:val="auto"/>
              </w:rPr>
            </w:pPr>
            <w:r>
              <w:rPr>
                <w:rFonts w:ascii="Arial" w:cs="Arial" w:eastAsia="Arial" w:hAnsi="Arial"/>
                <w:sz w:val="13"/>
                <w:szCs w:val="13"/>
                <w:b w:val="1"/>
                <w:bCs w:val="1"/>
                <w:color w:val="auto"/>
              </w:rPr>
              <w:t>Net income attributed to Credicorp</w:t>
            </w:r>
          </w:p>
        </w:tc>
        <w:tc>
          <w:tcPr>
            <w:tcW w:w="1180" w:type="dxa"/>
            <w:vAlign w:val="bottom"/>
            <w:gridSpan w:val="3"/>
            <w:shd w:val="clear" w:color="auto" w:fill="CCFFCC"/>
          </w:tcPr>
          <w:p>
            <w:pPr>
              <w:jc w:val="right"/>
              <w:ind w:right="240"/>
              <w:spacing w:after="0" w:line="135" w:lineRule="exact"/>
              <w:rPr>
                <w:sz w:val="20"/>
                <w:szCs w:val="20"/>
                <w:color w:val="auto"/>
              </w:rPr>
            </w:pPr>
            <w:r>
              <w:rPr>
                <w:rFonts w:ascii="Arial" w:cs="Arial" w:eastAsia="Arial" w:hAnsi="Arial"/>
                <w:sz w:val="13"/>
                <w:szCs w:val="13"/>
                <w:b w:val="1"/>
                <w:bCs w:val="1"/>
                <w:color w:val="auto"/>
              </w:rPr>
              <w:t>122,296</w:t>
            </w:r>
          </w:p>
        </w:tc>
        <w:tc>
          <w:tcPr>
            <w:tcW w:w="106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b w:val="1"/>
                <w:bCs w:val="1"/>
                <w:color w:val="auto"/>
              </w:rPr>
              <w:t>121,707</w:t>
            </w:r>
          </w:p>
        </w:tc>
        <w:tc>
          <w:tcPr>
            <w:tcW w:w="102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b w:val="1"/>
                <w:bCs w:val="1"/>
                <w:color w:val="auto"/>
              </w:rPr>
              <w:t>13,491</w:t>
            </w:r>
          </w:p>
        </w:tc>
        <w:tc>
          <w:tcPr>
            <w:tcW w:w="102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b w:val="1"/>
                <w:bCs w:val="1"/>
                <w:color w:val="auto"/>
              </w:rPr>
              <w:t>806.5%</w:t>
            </w:r>
          </w:p>
        </w:tc>
        <w:tc>
          <w:tcPr>
            <w:tcW w:w="102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b w:val="1"/>
                <w:bCs w:val="1"/>
                <w:color w:val="auto"/>
              </w:rPr>
              <w:t>0.5%</w:t>
            </w:r>
          </w:p>
        </w:tc>
        <w:tc>
          <w:tcPr>
            <w:tcW w:w="10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b w:val="1"/>
                <w:bCs w:val="1"/>
                <w:color w:val="auto"/>
              </w:rPr>
              <w:t>469,783</w:t>
            </w:r>
          </w:p>
        </w:tc>
        <w:tc>
          <w:tcPr>
            <w:tcW w:w="200" w:type="dxa"/>
            <w:vAlign w:val="bottom"/>
            <w:shd w:val="clear" w:color="auto" w:fill="CCFFCC"/>
          </w:tcPr>
          <w:p>
            <w:pPr>
              <w:spacing w:after="0"/>
              <w:rPr>
                <w:sz w:val="11"/>
                <w:szCs w:val="11"/>
                <w:color w:val="auto"/>
              </w:rPr>
            </w:pPr>
          </w:p>
        </w:tc>
        <w:tc>
          <w:tcPr>
            <w:tcW w:w="8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b w:val="1"/>
                <w:bCs w:val="1"/>
                <w:color w:val="auto"/>
              </w:rPr>
              <w:t>357,756</w:t>
            </w:r>
          </w:p>
        </w:tc>
        <w:tc>
          <w:tcPr>
            <w:tcW w:w="920" w:type="dxa"/>
            <w:vAlign w:val="bottom"/>
            <w:gridSpan w:val="2"/>
            <w:shd w:val="clear" w:color="auto" w:fill="CCFFCC"/>
          </w:tcPr>
          <w:p>
            <w:pPr>
              <w:jc w:val="right"/>
              <w:spacing w:after="0" w:line="135" w:lineRule="exact"/>
              <w:rPr>
                <w:sz w:val="20"/>
                <w:szCs w:val="20"/>
                <w:color w:val="auto"/>
              </w:rPr>
            </w:pPr>
            <w:r>
              <w:rPr>
                <w:rFonts w:ascii="Arial" w:cs="Arial" w:eastAsia="Arial" w:hAnsi="Arial"/>
                <w:sz w:val="13"/>
                <w:szCs w:val="13"/>
                <w:b w:val="1"/>
                <w:bCs w:val="1"/>
                <w:color w:val="auto"/>
              </w:rPr>
              <w:t>31.3%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80" w:type="dxa"/>
            <w:vAlign w:val="bottom"/>
          </w:tcPr>
          <w:p>
            <w:pPr>
              <w:spacing w:after="0" w:line="135" w:lineRule="exact"/>
              <w:rPr>
                <w:sz w:val="20"/>
                <w:szCs w:val="20"/>
                <w:color w:val="auto"/>
              </w:rPr>
            </w:pPr>
            <w:r>
              <w:rPr>
                <w:rFonts w:ascii="Arial" w:cs="Arial" w:eastAsia="Arial" w:hAnsi="Arial"/>
                <w:sz w:val="13"/>
                <w:szCs w:val="13"/>
                <w:color w:val="auto"/>
              </w:rPr>
              <w:t>Net income/share (US$)</w:t>
            </w:r>
          </w:p>
        </w:tc>
        <w:tc>
          <w:tcPr>
            <w:tcW w:w="140" w:type="dxa"/>
            <w:vAlign w:val="bottom"/>
          </w:tcPr>
          <w:p>
            <w:pPr>
              <w:spacing w:after="0"/>
              <w:rPr>
                <w:sz w:val="11"/>
                <w:szCs w:val="11"/>
                <w:color w:val="auto"/>
              </w:rPr>
            </w:pPr>
          </w:p>
        </w:tc>
        <w:tc>
          <w:tcPr>
            <w:tcW w:w="10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1.53</w:t>
            </w:r>
          </w:p>
        </w:tc>
        <w:tc>
          <w:tcPr>
            <w:tcW w:w="10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1.53</w:t>
            </w:r>
          </w:p>
        </w:tc>
        <w:tc>
          <w:tcPr>
            <w:tcW w:w="10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0.17</w:t>
            </w:r>
          </w:p>
        </w:tc>
        <w:tc>
          <w:tcPr>
            <w:tcW w:w="10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806.5%</w:t>
            </w:r>
          </w:p>
        </w:tc>
        <w:tc>
          <w:tcPr>
            <w:tcW w:w="10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0.5%</w:t>
            </w:r>
          </w:p>
        </w:tc>
        <w:tc>
          <w:tcPr>
            <w:tcW w:w="10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5.89</w:t>
            </w:r>
          </w:p>
        </w:tc>
        <w:tc>
          <w:tcPr>
            <w:tcW w:w="200" w:type="dxa"/>
            <w:vAlign w:val="bottom"/>
          </w:tcPr>
          <w:p>
            <w:pPr>
              <w:spacing w:after="0"/>
              <w:rPr>
                <w:sz w:val="11"/>
                <w:szCs w:val="11"/>
                <w:color w:val="auto"/>
              </w:rPr>
            </w:pPr>
          </w:p>
        </w:tc>
        <w:tc>
          <w:tcPr>
            <w:tcW w:w="8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4.49</w:t>
            </w:r>
          </w:p>
        </w:tc>
        <w:tc>
          <w:tcPr>
            <w:tcW w:w="92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31.3%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vMerge w:val="continue"/>
          </w:tcPr>
          <w:p>
            <w:pPr>
              <w:spacing w:after="0"/>
              <w:rPr>
                <w:sz w:val="11"/>
                <w:szCs w:val="11"/>
                <w:color w:val="auto"/>
              </w:rPr>
            </w:pPr>
          </w:p>
        </w:tc>
        <w:tc>
          <w:tcPr>
            <w:tcW w:w="318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Total loans</w:t>
            </w:r>
          </w:p>
        </w:tc>
        <w:tc>
          <w:tcPr>
            <w:tcW w:w="140" w:type="dxa"/>
            <w:vAlign w:val="bottom"/>
            <w:shd w:val="clear" w:color="auto" w:fill="CCFFCC"/>
          </w:tcPr>
          <w:p>
            <w:pPr>
              <w:spacing w:after="0"/>
              <w:rPr>
                <w:sz w:val="11"/>
                <w:szCs w:val="11"/>
                <w:color w:val="auto"/>
              </w:rPr>
            </w:pPr>
          </w:p>
        </w:tc>
        <w:tc>
          <w:tcPr>
            <w:tcW w:w="104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11,594,918</w:t>
            </w:r>
          </w:p>
        </w:tc>
        <w:tc>
          <w:tcPr>
            <w:tcW w:w="106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10,675,462</w:t>
            </w:r>
          </w:p>
        </w:tc>
        <w:tc>
          <w:tcPr>
            <w:tcW w:w="102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10,546,378</w:t>
            </w:r>
          </w:p>
        </w:tc>
        <w:tc>
          <w:tcPr>
            <w:tcW w:w="10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9.9%</w:t>
            </w:r>
          </w:p>
        </w:tc>
        <w:tc>
          <w:tcPr>
            <w:tcW w:w="10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8.6%</w:t>
            </w:r>
          </w:p>
        </w:tc>
        <w:tc>
          <w:tcPr>
            <w:tcW w:w="10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11,594,918</w:t>
            </w:r>
          </w:p>
        </w:tc>
        <w:tc>
          <w:tcPr>
            <w:tcW w:w="200" w:type="dxa"/>
            <w:vAlign w:val="bottom"/>
            <w:shd w:val="clear" w:color="auto" w:fill="CCFFCC"/>
          </w:tcPr>
          <w:p>
            <w:pPr>
              <w:spacing w:after="0"/>
              <w:rPr>
                <w:sz w:val="11"/>
                <w:szCs w:val="11"/>
                <w:color w:val="auto"/>
              </w:rPr>
            </w:pPr>
          </w:p>
        </w:tc>
        <w:tc>
          <w:tcPr>
            <w:tcW w:w="8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w w:val="86"/>
              </w:rPr>
              <w:t>10,546,378</w:t>
            </w:r>
          </w:p>
        </w:tc>
        <w:tc>
          <w:tcPr>
            <w:tcW w:w="920" w:type="dxa"/>
            <w:vAlign w:val="bottom"/>
            <w:gridSpan w:val="2"/>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9.9%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80" w:type="dxa"/>
            <w:vAlign w:val="bottom"/>
          </w:tcPr>
          <w:p>
            <w:pPr>
              <w:spacing w:after="0" w:line="135" w:lineRule="exact"/>
              <w:rPr>
                <w:sz w:val="20"/>
                <w:szCs w:val="20"/>
                <w:color w:val="auto"/>
              </w:rPr>
            </w:pPr>
            <w:r>
              <w:rPr>
                <w:rFonts w:ascii="Arial" w:cs="Arial" w:eastAsia="Arial" w:hAnsi="Arial"/>
                <w:sz w:val="13"/>
                <w:szCs w:val="13"/>
                <w:color w:val="auto"/>
              </w:rPr>
              <w:t>Deposits and Obligations</w:t>
            </w:r>
          </w:p>
        </w:tc>
        <w:tc>
          <w:tcPr>
            <w:tcW w:w="1180" w:type="dxa"/>
            <w:vAlign w:val="bottom"/>
            <w:gridSpan w:val="3"/>
          </w:tcPr>
          <w:p>
            <w:pPr>
              <w:jc w:val="right"/>
              <w:ind w:right="240"/>
              <w:spacing w:after="0" w:line="135" w:lineRule="exact"/>
              <w:rPr>
                <w:sz w:val="20"/>
                <w:szCs w:val="20"/>
                <w:color w:val="auto"/>
              </w:rPr>
            </w:pPr>
            <w:r>
              <w:rPr>
                <w:rFonts w:ascii="Arial" w:cs="Arial" w:eastAsia="Arial" w:hAnsi="Arial"/>
                <w:sz w:val="13"/>
                <w:szCs w:val="13"/>
                <w:color w:val="auto"/>
              </w:rPr>
              <w:t>14,095,983</w:t>
            </w:r>
          </w:p>
        </w:tc>
        <w:tc>
          <w:tcPr>
            <w:tcW w:w="10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13,672,287</w:t>
            </w:r>
          </w:p>
        </w:tc>
        <w:tc>
          <w:tcPr>
            <w:tcW w:w="10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13,779,414</w:t>
            </w:r>
          </w:p>
        </w:tc>
        <w:tc>
          <w:tcPr>
            <w:tcW w:w="10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2.3%</w:t>
            </w:r>
          </w:p>
        </w:tc>
        <w:tc>
          <w:tcPr>
            <w:tcW w:w="10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3.1%</w:t>
            </w:r>
          </w:p>
        </w:tc>
        <w:tc>
          <w:tcPr>
            <w:tcW w:w="10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14,095,983</w:t>
            </w:r>
          </w:p>
        </w:tc>
        <w:tc>
          <w:tcPr>
            <w:tcW w:w="200" w:type="dxa"/>
            <w:vAlign w:val="bottom"/>
          </w:tcPr>
          <w:p>
            <w:pPr>
              <w:spacing w:after="0"/>
              <w:rPr>
                <w:sz w:val="11"/>
                <w:szCs w:val="11"/>
                <w:color w:val="auto"/>
              </w:rPr>
            </w:pPr>
          </w:p>
        </w:tc>
        <w:tc>
          <w:tcPr>
            <w:tcW w:w="8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w w:val="86"/>
              </w:rPr>
              <w:t>13,779,414</w:t>
            </w:r>
          </w:p>
        </w:tc>
        <w:tc>
          <w:tcPr>
            <w:tcW w:w="92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2.3%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8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Net Shareholders' Equity</w:t>
            </w:r>
          </w:p>
        </w:tc>
        <w:tc>
          <w:tcPr>
            <w:tcW w:w="140" w:type="dxa"/>
            <w:vAlign w:val="bottom"/>
            <w:shd w:val="clear" w:color="auto" w:fill="CCFFCC"/>
          </w:tcPr>
          <w:p>
            <w:pPr>
              <w:spacing w:after="0"/>
              <w:rPr>
                <w:sz w:val="11"/>
                <w:szCs w:val="11"/>
                <w:color w:val="auto"/>
              </w:rPr>
            </w:pPr>
          </w:p>
        </w:tc>
        <w:tc>
          <w:tcPr>
            <w:tcW w:w="80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2,310,586</w:t>
            </w:r>
          </w:p>
        </w:tc>
        <w:tc>
          <w:tcPr>
            <w:tcW w:w="240" w:type="dxa"/>
            <w:vAlign w:val="bottom"/>
            <w:shd w:val="clear" w:color="auto" w:fill="CCFFCC"/>
          </w:tcPr>
          <w:p>
            <w:pPr>
              <w:spacing w:after="0"/>
              <w:rPr>
                <w:sz w:val="11"/>
                <w:szCs w:val="11"/>
                <w:color w:val="auto"/>
              </w:rPr>
            </w:pPr>
          </w:p>
        </w:tc>
        <w:tc>
          <w:tcPr>
            <w:tcW w:w="82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2,130,102</w:t>
            </w:r>
          </w:p>
        </w:tc>
        <w:tc>
          <w:tcPr>
            <w:tcW w:w="240" w:type="dxa"/>
            <w:vAlign w:val="bottom"/>
            <w:shd w:val="clear" w:color="auto" w:fill="CCFFCC"/>
          </w:tcPr>
          <w:p>
            <w:pPr>
              <w:spacing w:after="0"/>
              <w:rPr>
                <w:sz w:val="11"/>
                <w:szCs w:val="11"/>
                <w:color w:val="auto"/>
              </w:rPr>
            </w:pPr>
          </w:p>
        </w:tc>
        <w:tc>
          <w:tcPr>
            <w:tcW w:w="80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1,689,394</w:t>
            </w:r>
          </w:p>
        </w:tc>
        <w:tc>
          <w:tcPr>
            <w:tcW w:w="220" w:type="dxa"/>
            <w:vAlign w:val="bottom"/>
            <w:shd w:val="clear" w:color="auto" w:fill="CCFFCC"/>
          </w:tcPr>
          <w:p>
            <w:pPr>
              <w:spacing w:after="0"/>
              <w:rPr>
                <w:sz w:val="11"/>
                <w:szCs w:val="11"/>
                <w:color w:val="auto"/>
              </w:rPr>
            </w:pPr>
          </w:p>
        </w:tc>
        <w:tc>
          <w:tcPr>
            <w:tcW w:w="10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36.8%</w:t>
            </w:r>
          </w:p>
        </w:tc>
        <w:tc>
          <w:tcPr>
            <w:tcW w:w="10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8.5%</w:t>
            </w:r>
          </w:p>
        </w:tc>
        <w:tc>
          <w:tcPr>
            <w:tcW w:w="10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2,310,586</w:t>
            </w:r>
          </w:p>
        </w:tc>
        <w:tc>
          <w:tcPr>
            <w:tcW w:w="200" w:type="dxa"/>
            <w:vAlign w:val="bottom"/>
            <w:shd w:val="clear" w:color="auto" w:fill="CCFFCC"/>
          </w:tcPr>
          <w:p>
            <w:pPr>
              <w:spacing w:after="0"/>
              <w:rPr>
                <w:sz w:val="11"/>
                <w:szCs w:val="11"/>
                <w:color w:val="auto"/>
              </w:rPr>
            </w:pPr>
          </w:p>
        </w:tc>
        <w:tc>
          <w:tcPr>
            <w:tcW w:w="8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w w:val="96"/>
              </w:rPr>
              <w:t>1,689,394</w:t>
            </w:r>
          </w:p>
        </w:tc>
        <w:tc>
          <w:tcPr>
            <w:tcW w:w="920" w:type="dxa"/>
            <w:vAlign w:val="bottom"/>
            <w:gridSpan w:val="2"/>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36.8%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180" w:type="dxa"/>
            <w:vAlign w:val="bottom"/>
            <w:shd w:val="clear" w:color="auto" w:fill="CCFFCC"/>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vMerge w:val="continue"/>
          </w:tcPr>
          <w:p>
            <w:pPr>
              <w:spacing w:after="0"/>
              <w:rPr>
                <w:sz w:val="11"/>
                <w:szCs w:val="11"/>
                <w:color w:val="auto"/>
              </w:rPr>
            </w:pPr>
          </w:p>
        </w:tc>
        <w:tc>
          <w:tcPr>
            <w:tcW w:w="3180" w:type="dxa"/>
            <w:vAlign w:val="bottom"/>
          </w:tcPr>
          <w:p>
            <w:pPr>
              <w:spacing w:after="0" w:line="135" w:lineRule="exact"/>
              <w:rPr>
                <w:sz w:val="20"/>
                <w:szCs w:val="20"/>
                <w:color w:val="auto"/>
              </w:rPr>
            </w:pPr>
            <w:r>
              <w:rPr>
                <w:rFonts w:ascii="Arial" w:cs="Arial" w:eastAsia="Arial" w:hAnsi="Arial"/>
                <w:sz w:val="13"/>
                <w:szCs w:val="13"/>
                <w:color w:val="auto"/>
              </w:rPr>
              <w:t>Net interest margin</w:t>
            </w:r>
          </w:p>
        </w:tc>
        <w:tc>
          <w:tcPr>
            <w:tcW w:w="140" w:type="dxa"/>
            <w:vAlign w:val="bottom"/>
          </w:tcPr>
          <w:p>
            <w:pPr>
              <w:spacing w:after="0"/>
              <w:rPr>
                <w:sz w:val="11"/>
                <w:szCs w:val="11"/>
                <w:color w:val="auto"/>
              </w:rPr>
            </w:pPr>
          </w:p>
        </w:tc>
        <w:tc>
          <w:tcPr>
            <w:tcW w:w="10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5.1%</w:t>
            </w:r>
          </w:p>
        </w:tc>
        <w:tc>
          <w:tcPr>
            <w:tcW w:w="10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4.7%</w:t>
            </w:r>
          </w:p>
        </w:tc>
        <w:tc>
          <w:tcPr>
            <w:tcW w:w="10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4.9%</w:t>
            </w: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4.8%</w:t>
            </w:r>
          </w:p>
        </w:tc>
        <w:tc>
          <w:tcPr>
            <w:tcW w:w="200" w:type="dxa"/>
            <w:vAlign w:val="bottom"/>
          </w:tcPr>
          <w:p>
            <w:pPr>
              <w:spacing w:after="0"/>
              <w:rPr>
                <w:sz w:val="11"/>
                <w:szCs w:val="11"/>
                <w:color w:val="auto"/>
              </w:rPr>
            </w:pPr>
          </w:p>
        </w:tc>
        <w:tc>
          <w:tcPr>
            <w:tcW w:w="8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4.6%</w:t>
            </w: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8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Efficiency ratio</w:t>
            </w:r>
          </w:p>
        </w:tc>
        <w:tc>
          <w:tcPr>
            <w:tcW w:w="1180" w:type="dxa"/>
            <w:vAlign w:val="bottom"/>
            <w:gridSpan w:val="3"/>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44.0%</w:t>
            </w:r>
          </w:p>
        </w:tc>
        <w:tc>
          <w:tcPr>
            <w:tcW w:w="106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39.8%</w:t>
            </w:r>
          </w:p>
        </w:tc>
        <w:tc>
          <w:tcPr>
            <w:tcW w:w="102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46.4%</w:t>
            </w:r>
          </w:p>
        </w:tc>
        <w:tc>
          <w:tcPr>
            <w:tcW w:w="78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78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100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42.1%</w:t>
            </w:r>
          </w:p>
        </w:tc>
        <w:tc>
          <w:tcPr>
            <w:tcW w:w="200" w:type="dxa"/>
            <w:vAlign w:val="bottom"/>
            <w:shd w:val="clear" w:color="auto" w:fill="CCFFCC"/>
          </w:tcPr>
          <w:p>
            <w:pPr>
              <w:spacing w:after="0"/>
              <w:rPr>
                <w:sz w:val="11"/>
                <w:szCs w:val="11"/>
                <w:color w:val="auto"/>
              </w:rPr>
            </w:pPr>
          </w:p>
        </w:tc>
        <w:tc>
          <w:tcPr>
            <w:tcW w:w="80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41.7%</w:t>
            </w:r>
          </w:p>
        </w:tc>
        <w:tc>
          <w:tcPr>
            <w:tcW w:w="78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80" w:type="dxa"/>
            <w:vAlign w:val="bottom"/>
          </w:tcPr>
          <w:p>
            <w:pPr>
              <w:spacing w:after="0" w:line="135" w:lineRule="exact"/>
              <w:rPr>
                <w:sz w:val="20"/>
                <w:szCs w:val="20"/>
                <w:color w:val="auto"/>
              </w:rPr>
            </w:pPr>
            <w:r>
              <w:rPr>
                <w:rFonts w:ascii="Arial" w:cs="Arial" w:eastAsia="Arial" w:hAnsi="Arial"/>
                <w:sz w:val="13"/>
                <w:szCs w:val="13"/>
                <w:color w:val="auto"/>
              </w:rPr>
              <w:t>Return on average shareholders' equity</w:t>
            </w:r>
          </w:p>
        </w:tc>
        <w:tc>
          <w:tcPr>
            <w:tcW w:w="1180" w:type="dxa"/>
            <w:vAlign w:val="bottom"/>
            <w:gridSpan w:val="3"/>
          </w:tcPr>
          <w:p>
            <w:pPr>
              <w:jc w:val="right"/>
              <w:ind w:right="140"/>
              <w:spacing w:after="0" w:line="135" w:lineRule="exact"/>
              <w:rPr>
                <w:sz w:val="20"/>
                <w:szCs w:val="20"/>
                <w:color w:val="auto"/>
              </w:rPr>
            </w:pPr>
            <w:r>
              <w:rPr>
                <w:rFonts w:ascii="Arial" w:cs="Arial" w:eastAsia="Arial" w:hAnsi="Arial"/>
                <w:sz w:val="13"/>
                <w:szCs w:val="13"/>
                <w:color w:val="auto"/>
              </w:rPr>
              <w:t>22.0%</w:t>
            </w:r>
          </w:p>
        </w:tc>
        <w:tc>
          <w:tcPr>
            <w:tcW w:w="10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24.0%</w:t>
            </w:r>
          </w:p>
        </w:tc>
        <w:tc>
          <w:tcPr>
            <w:tcW w:w="10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3.1%</w:t>
            </w: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24.1%</w:t>
            </w:r>
          </w:p>
        </w:tc>
        <w:tc>
          <w:tcPr>
            <w:tcW w:w="200" w:type="dxa"/>
            <w:vAlign w:val="bottom"/>
          </w:tcPr>
          <w:p>
            <w:pPr>
              <w:spacing w:after="0"/>
              <w:rPr>
                <w:sz w:val="11"/>
                <w:szCs w:val="11"/>
                <w:color w:val="auto"/>
              </w:rPr>
            </w:pPr>
          </w:p>
        </w:tc>
        <w:tc>
          <w:tcPr>
            <w:tcW w:w="8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22.3%</w:t>
            </w: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8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PDL/Total loans</w:t>
            </w:r>
          </w:p>
        </w:tc>
        <w:tc>
          <w:tcPr>
            <w:tcW w:w="1180" w:type="dxa"/>
            <w:vAlign w:val="bottom"/>
            <w:gridSpan w:val="3"/>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1.59%</w:t>
            </w:r>
          </w:p>
        </w:tc>
        <w:tc>
          <w:tcPr>
            <w:tcW w:w="106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1.55%</w:t>
            </w:r>
          </w:p>
        </w:tc>
        <w:tc>
          <w:tcPr>
            <w:tcW w:w="102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0.79%</w:t>
            </w:r>
          </w:p>
        </w:tc>
        <w:tc>
          <w:tcPr>
            <w:tcW w:w="78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78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100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1.6%</w:t>
            </w:r>
          </w:p>
        </w:tc>
        <w:tc>
          <w:tcPr>
            <w:tcW w:w="200" w:type="dxa"/>
            <w:vAlign w:val="bottom"/>
            <w:shd w:val="clear" w:color="auto" w:fill="CCFFCC"/>
          </w:tcPr>
          <w:p>
            <w:pPr>
              <w:spacing w:after="0"/>
              <w:rPr>
                <w:sz w:val="11"/>
                <w:szCs w:val="11"/>
                <w:color w:val="auto"/>
              </w:rPr>
            </w:pPr>
          </w:p>
        </w:tc>
        <w:tc>
          <w:tcPr>
            <w:tcW w:w="80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0.8%</w:t>
            </w:r>
          </w:p>
        </w:tc>
        <w:tc>
          <w:tcPr>
            <w:tcW w:w="78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80" w:type="dxa"/>
            <w:vAlign w:val="bottom"/>
          </w:tcPr>
          <w:p>
            <w:pPr>
              <w:spacing w:after="0" w:line="135" w:lineRule="exact"/>
              <w:rPr>
                <w:sz w:val="20"/>
                <w:szCs w:val="20"/>
                <w:color w:val="auto"/>
              </w:rPr>
            </w:pPr>
            <w:r>
              <w:rPr>
                <w:rFonts w:ascii="Arial" w:cs="Arial" w:eastAsia="Arial" w:hAnsi="Arial"/>
                <w:sz w:val="13"/>
                <w:szCs w:val="13"/>
                <w:color w:val="auto"/>
              </w:rPr>
              <w:t>Coverage ratio of PDLs</w:t>
            </w:r>
          </w:p>
        </w:tc>
        <w:tc>
          <w:tcPr>
            <w:tcW w:w="1180" w:type="dxa"/>
            <w:vAlign w:val="bottom"/>
            <w:gridSpan w:val="3"/>
          </w:tcPr>
          <w:p>
            <w:pPr>
              <w:jc w:val="right"/>
              <w:ind w:right="140"/>
              <w:spacing w:after="0" w:line="135" w:lineRule="exact"/>
              <w:rPr>
                <w:sz w:val="20"/>
                <w:szCs w:val="20"/>
                <w:color w:val="auto"/>
              </w:rPr>
            </w:pPr>
            <w:r>
              <w:rPr>
                <w:rFonts w:ascii="Arial" w:cs="Arial" w:eastAsia="Arial" w:hAnsi="Arial"/>
                <w:sz w:val="13"/>
                <w:szCs w:val="13"/>
                <w:color w:val="auto"/>
              </w:rPr>
              <w:t>192.0%</w:t>
            </w:r>
          </w:p>
        </w:tc>
        <w:tc>
          <w:tcPr>
            <w:tcW w:w="10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191.7%</w:t>
            </w:r>
          </w:p>
        </w:tc>
        <w:tc>
          <w:tcPr>
            <w:tcW w:w="10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270.7%</w:t>
            </w: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192.0%</w:t>
            </w:r>
          </w:p>
        </w:tc>
        <w:tc>
          <w:tcPr>
            <w:tcW w:w="200" w:type="dxa"/>
            <w:vAlign w:val="bottom"/>
          </w:tcPr>
          <w:p>
            <w:pPr>
              <w:spacing w:after="0"/>
              <w:rPr>
                <w:sz w:val="11"/>
                <w:szCs w:val="11"/>
                <w:color w:val="auto"/>
              </w:rPr>
            </w:pPr>
          </w:p>
        </w:tc>
        <w:tc>
          <w:tcPr>
            <w:tcW w:w="8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270.7%</w:t>
            </w: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8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Employees</w:t>
            </w:r>
          </w:p>
        </w:tc>
        <w:tc>
          <w:tcPr>
            <w:tcW w:w="140" w:type="dxa"/>
            <w:vAlign w:val="bottom"/>
            <w:shd w:val="clear" w:color="auto" w:fill="CCFFCC"/>
          </w:tcPr>
          <w:p>
            <w:pPr>
              <w:spacing w:after="0"/>
              <w:rPr>
                <w:sz w:val="11"/>
                <w:szCs w:val="11"/>
                <w:color w:val="auto"/>
              </w:rPr>
            </w:pPr>
          </w:p>
        </w:tc>
        <w:tc>
          <w:tcPr>
            <w:tcW w:w="104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18,901</w:t>
            </w:r>
          </w:p>
        </w:tc>
        <w:tc>
          <w:tcPr>
            <w:tcW w:w="106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19,269</w:t>
            </w:r>
          </w:p>
        </w:tc>
        <w:tc>
          <w:tcPr>
            <w:tcW w:w="102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19,896</w:t>
            </w:r>
          </w:p>
        </w:tc>
        <w:tc>
          <w:tcPr>
            <w:tcW w:w="78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78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10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18,901</w:t>
            </w:r>
          </w:p>
        </w:tc>
        <w:tc>
          <w:tcPr>
            <w:tcW w:w="200" w:type="dxa"/>
            <w:vAlign w:val="bottom"/>
            <w:shd w:val="clear" w:color="auto" w:fill="CCFFCC"/>
          </w:tcPr>
          <w:p>
            <w:pPr>
              <w:spacing w:after="0"/>
              <w:rPr>
                <w:sz w:val="11"/>
                <w:szCs w:val="11"/>
                <w:color w:val="auto"/>
              </w:rPr>
            </w:pPr>
          </w:p>
        </w:tc>
        <w:tc>
          <w:tcPr>
            <w:tcW w:w="8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19,896</w:t>
            </w:r>
          </w:p>
        </w:tc>
        <w:tc>
          <w:tcPr>
            <w:tcW w:w="78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180" w:type="dxa"/>
            <w:vAlign w:val="bottom"/>
            <w:shd w:val="clear" w:color="auto" w:fill="CCFFCC"/>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780" w:type="dxa"/>
            <w:vAlign w:val="bottom"/>
            <w:shd w:val="clear" w:color="auto" w:fill="CCFFCC"/>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780" w:type="dxa"/>
            <w:vAlign w:val="bottom"/>
            <w:shd w:val="clear" w:color="auto" w:fill="CCFFCC"/>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780" w:type="dxa"/>
            <w:vAlign w:val="bottom"/>
            <w:shd w:val="clear" w:color="auto" w:fill="CCFFCC"/>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Thus, despite the difficult and sluggish year, income before non-recurring items, translation results, profit sharing and income taxes has grown 8.2% this year. This also makes it evident that the significant improvement in Credicorp’s bottom line is strongly related to the performance of the non-banking businesses, i.e. the insurance and asset management businesses, which last year generated significant losses but has now completely recovered, performing better than expected this year.</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Therefore, in the absence of crisis related losses, and following the good results in all business segments of the group, bottom line results for Credicorp improve significantly compared to 2008, with its reported US$ 469.8 million net earnings, and reflect the real earnings generation capacity and future potential of the Credicorp group.</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Credicorp – The Sum of Its Parts</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Credicorp’s 4Q09 results once again reflect better performance at all its subsidiaries. Furthermore, the recovery in economic activity has reactivated loan growth though the effects of the recession are certainly visible in our banking business’ operating performance for the year, mainly through the significantly higher provisions for loan losses that put significant burden on its bottom line results. Credicorp’s overall performance has undoubtedly been positively impacted by improvements in the financial environment and subsequent recoveries in market valuations. However, more significant are the improvements evident in the operating performance of Credicorp’s non-banking businesses, as both the asset management business and the insurance business have had an excellent year, reaching core earnings that reflect an important increase in the profitability of those businesses.</w:t>
      </w:r>
    </w:p>
    <w:p>
      <w:pPr>
        <w:spacing w:after="0" w:line="20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BCP saw the reactivation of demand for loans and improvement of its interest income and fee income generation this 4Q, leading to better NIMs and expansion of its core business income, which led to the excellent net earnings level reported, without having to rely on extraordinary trading income from the first two Qs. Provisions for its core business were lower, in line with 3Q, but this time included an additional US$ 5.8 million provision related to the EDYFICAR acquisition in order to align its coverage ratio with BCP standards. Therefore, BCP’s contribution to Credicorp was strong and 6% higher at US$ 104.5 million for Q4.</w:t>
      </w:r>
    </w:p>
    <w:p>
      <w:pPr>
        <w:spacing w:after="0" w:line="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the year, BCP´s results are a real achievement, given the market conditions under which we have had to operate, particularly the abrupt slowdown experienced in our market. Therefore, BCP’s year end contribution to Credicorp’s results reveal a drop of only 5% with net earnings contribution reaching US$ 388.5 million and a ROAE of 26.6% for 2009.</w:t>
      </w:r>
    </w:p>
    <w:p>
      <w:pPr>
        <w:spacing w:after="0" w:line="36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60"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60"/>
        </w:trPr>
        <w:tc>
          <w:tcPr>
            <w:tcW w:w="3200" w:type="dxa"/>
            <w:vAlign w:val="bottom"/>
            <w:gridSpan w:val="2"/>
          </w:tcPr>
          <w:p>
            <w:pPr>
              <w:spacing w:after="0"/>
              <w:rPr>
                <w:sz w:val="20"/>
                <w:szCs w:val="20"/>
                <w:color w:val="auto"/>
              </w:rPr>
            </w:pPr>
            <w:r>
              <w:rPr>
                <w:rFonts w:ascii="Arial" w:cs="Arial" w:eastAsia="Arial" w:hAnsi="Arial"/>
                <w:sz w:val="13"/>
                <w:szCs w:val="13"/>
                <w:b w:val="1"/>
                <w:bCs w:val="1"/>
                <w:color w:val="auto"/>
              </w:rPr>
              <w:t>Earnings Contribution</w:t>
            </w: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3"/>
                <w:szCs w:val="13"/>
                <w:b w:val="1"/>
                <w:bCs w:val="1"/>
                <w:color w:val="auto"/>
              </w:rPr>
              <w:t>Quarter</w:t>
            </w: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40" w:type="dxa"/>
            <w:vAlign w:val="bottom"/>
            <w:gridSpan w:val="4"/>
          </w:tcPr>
          <w:p>
            <w:pPr>
              <w:jc w:val="right"/>
              <w:ind w:right="860"/>
              <w:spacing w:after="0"/>
              <w:rPr>
                <w:sz w:val="20"/>
                <w:szCs w:val="20"/>
                <w:color w:val="auto"/>
              </w:rPr>
            </w:pPr>
            <w:r>
              <w:rPr>
                <w:rFonts w:ascii="Arial" w:cs="Arial" w:eastAsia="Arial" w:hAnsi="Arial"/>
                <w:sz w:val="13"/>
                <w:szCs w:val="13"/>
                <w:b w:val="1"/>
                <w:bCs w:val="1"/>
                <w:color w:val="auto"/>
              </w:rPr>
              <w:t>Change %</w:t>
            </w:r>
          </w:p>
        </w:tc>
        <w:tc>
          <w:tcPr>
            <w:tcW w:w="1240" w:type="dxa"/>
            <w:vAlign w:val="bottom"/>
            <w:gridSpan w:val="3"/>
          </w:tcPr>
          <w:p>
            <w:pPr>
              <w:ind w:left="580"/>
              <w:spacing w:after="0"/>
              <w:rPr>
                <w:sz w:val="20"/>
                <w:szCs w:val="20"/>
                <w:color w:val="auto"/>
              </w:rPr>
            </w:pPr>
            <w:r>
              <w:rPr>
                <w:rFonts w:ascii="Arial" w:cs="Arial" w:eastAsia="Arial" w:hAnsi="Arial"/>
                <w:sz w:val="13"/>
                <w:szCs w:val="13"/>
                <w:b w:val="1"/>
                <w:bCs w:val="1"/>
                <w:color w:val="auto"/>
                <w:w w:val="90"/>
              </w:rPr>
              <w:t>Year to end</w:t>
            </w: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gridSpan w:val="2"/>
          </w:tcPr>
          <w:p>
            <w:pPr>
              <w:ind w:left="100"/>
              <w:spacing w:after="0"/>
              <w:rPr>
                <w:sz w:val="20"/>
                <w:szCs w:val="20"/>
                <w:color w:val="auto"/>
              </w:rPr>
            </w:pPr>
            <w:r>
              <w:rPr>
                <w:rFonts w:ascii="Arial" w:cs="Arial" w:eastAsia="Arial" w:hAnsi="Arial"/>
                <w:sz w:val="13"/>
                <w:szCs w:val="13"/>
                <w:b w:val="1"/>
                <w:bCs w:val="1"/>
                <w:color w:val="auto"/>
              </w:rPr>
              <w:t>Change %</w:t>
            </w:r>
          </w:p>
        </w:tc>
        <w:tc>
          <w:tcPr>
            <w:tcW w:w="0" w:type="dxa"/>
            <w:vAlign w:val="bottom"/>
          </w:tcPr>
          <w:p>
            <w:pPr>
              <w:spacing w:after="0"/>
              <w:rPr>
                <w:sz w:val="1"/>
                <w:szCs w:val="1"/>
                <w:color w:val="auto"/>
              </w:rPr>
            </w:pPr>
          </w:p>
        </w:tc>
      </w:tr>
      <w:tr>
        <w:trPr>
          <w:trHeight w:val="135"/>
        </w:trPr>
        <w:tc>
          <w:tcPr>
            <w:tcW w:w="3200" w:type="dxa"/>
            <w:vAlign w:val="bottom"/>
            <w:tcBorders>
              <w:top w:val="single" w:sz="8" w:color="auto"/>
            </w:tcBorders>
            <w:gridSpan w:val="2"/>
          </w:tcPr>
          <w:p>
            <w:pPr>
              <w:spacing w:after="0" w:line="135" w:lineRule="exact"/>
              <w:rPr>
                <w:sz w:val="20"/>
                <w:szCs w:val="20"/>
                <w:color w:val="auto"/>
              </w:rPr>
            </w:pPr>
            <w:r>
              <w:rPr>
                <w:rFonts w:ascii="Arial" w:cs="Arial" w:eastAsia="Arial" w:hAnsi="Arial"/>
                <w:sz w:val="13"/>
                <w:szCs w:val="13"/>
                <w:color w:val="auto"/>
              </w:rPr>
              <w:t>(US$ Thousands)</w:t>
            </w:r>
          </w:p>
        </w:tc>
        <w:tc>
          <w:tcPr>
            <w:tcW w:w="140" w:type="dxa"/>
            <w:vAlign w:val="bottom"/>
          </w:tcPr>
          <w:p>
            <w:pPr>
              <w:spacing w:after="0"/>
              <w:rPr>
                <w:sz w:val="11"/>
                <w:szCs w:val="11"/>
                <w:color w:val="auto"/>
              </w:rPr>
            </w:pPr>
          </w:p>
        </w:tc>
        <w:tc>
          <w:tcPr>
            <w:tcW w:w="1040" w:type="dxa"/>
            <w:vAlign w:val="bottom"/>
            <w:tcBorders>
              <w:top w:val="single" w:sz="8" w:color="auto"/>
            </w:tcBorders>
            <w:gridSpan w:val="2"/>
          </w:tcPr>
          <w:p>
            <w:pPr>
              <w:jc w:val="right"/>
              <w:ind w:right="500"/>
              <w:spacing w:after="0" w:line="135" w:lineRule="exact"/>
              <w:rPr>
                <w:sz w:val="20"/>
                <w:szCs w:val="20"/>
                <w:color w:val="auto"/>
              </w:rPr>
            </w:pPr>
            <w:r>
              <w:rPr>
                <w:rFonts w:ascii="Arial" w:cs="Arial" w:eastAsia="Arial" w:hAnsi="Arial"/>
                <w:sz w:val="13"/>
                <w:szCs w:val="13"/>
                <w:b w:val="1"/>
                <w:bCs w:val="1"/>
                <w:color w:val="auto"/>
              </w:rPr>
              <w:t>4Q09</w:t>
            </w:r>
          </w:p>
        </w:tc>
        <w:tc>
          <w:tcPr>
            <w:tcW w:w="1060" w:type="dxa"/>
            <w:vAlign w:val="bottom"/>
            <w:tcBorders>
              <w:top w:val="single" w:sz="8" w:color="auto"/>
            </w:tcBorders>
            <w:gridSpan w:val="2"/>
          </w:tcPr>
          <w:p>
            <w:pPr>
              <w:jc w:val="right"/>
              <w:ind w:right="500"/>
              <w:spacing w:after="0" w:line="135" w:lineRule="exact"/>
              <w:rPr>
                <w:sz w:val="20"/>
                <w:szCs w:val="20"/>
                <w:color w:val="auto"/>
              </w:rPr>
            </w:pPr>
            <w:r>
              <w:rPr>
                <w:rFonts w:ascii="Arial" w:cs="Arial" w:eastAsia="Arial" w:hAnsi="Arial"/>
                <w:sz w:val="13"/>
                <w:szCs w:val="13"/>
                <w:b w:val="1"/>
                <w:bCs w:val="1"/>
                <w:color w:val="auto"/>
              </w:rPr>
              <w:t>3Q09</w:t>
            </w:r>
          </w:p>
        </w:tc>
        <w:tc>
          <w:tcPr>
            <w:tcW w:w="800" w:type="dxa"/>
            <w:vAlign w:val="bottom"/>
            <w:tcBorders>
              <w:top w:val="single" w:sz="8" w:color="auto"/>
            </w:tcBorders>
          </w:tcPr>
          <w:p>
            <w:pPr>
              <w:jc w:val="right"/>
              <w:ind w:right="197"/>
              <w:spacing w:after="0" w:line="135" w:lineRule="exact"/>
              <w:rPr>
                <w:sz w:val="20"/>
                <w:szCs w:val="20"/>
                <w:color w:val="auto"/>
              </w:rPr>
            </w:pPr>
            <w:r>
              <w:rPr>
                <w:rFonts w:ascii="Arial" w:cs="Arial" w:eastAsia="Arial" w:hAnsi="Arial"/>
                <w:sz w:val="13"/>
                <w:szCs w:val="13"/>
                <w:b w:val="1"/>
                <w:bCs w:val="1"/>
                <w:color w:val="auto"/>
              </w:rPr>
              <w:t>4Q08</w:t>
            </w:r>
          </w:p>
        </w:tc>
        <w:tc>
          <w:tcPr>
            <w:tcW w:w="220" w:type="dxa"/>
            <w:vAlign w:val="bottom"/>
          </w:tcPr>
          <w:p>
            <w:pPr>
              <w:spacing w:after="0"/>
              <w:rPr>
                <w:sz w:val="11"/>
                <w:szCs w:val="11"/>
                <w:color w:val="auto"/>
              </w:rPr>
            </w:pPr>
          </w:p>
        </w:tc>
        <w:tc>
          <w:tcPr>
            <w:tcW w:w="1020" w:type="dxa"/>
            <w:vAlign w:val="bottom"/>
            <w:tcBorders>
              <w:top w:val="single" w:sz="8" w:color="auto"/>
            </w:tcBorders>
            <w:gridSpan w:val="2"/>
          </w:tcPr>
          <w:p>
            <w:pPr>
              <w:jc w:val="right"/>
              <w:ind w:right="340"/>
              <w:spacing w:after="0" w:line="135" w:lineRule="exact"/>
              <w:rPr>
                <w:sz w:val="20"/>
                <w:szCs w:val="20"/>
                <w:color w:val="auto"/>
              </w:rPr>
            </w:pPr>
            <w:r>
              <w:rPr>
                <w:rFonts w:ascii="Arial" w:cs="Arial" w:eastAsia="Arial" w:hAnsi="Arial"/>
                <w:sz w:val="13"/>
                <w:szCs w:val="13"/>
                <w:b w:val="1"/>
                <w:bCs w:val="1"/>
                <w:color w:val="auto"/>
                <w:w w:val="98"/>
              </w:rPr>
              <w:t>4Q09/4Q08</w:t>
            </w:r>
          </w:p>
        </w:tc>
        <w:tc>
          <w:tcPr>
            <w:tcW w:w="780" w:type="dxa"/>
            <w:vAlign w:val="bottom"/>
            <w:tcBorders>
              <w:top w:val="single" w:sz="8" w:color="auto"/>
            </w:tcBorders>
          </w:tcPr>
          <w:p>
            <w:pPr>
              <w:jc w:val="right"/>
              <w:ind w:right="17"/>
              <w:spacing w:after="0" w:line="135" w:lineRule="exact"/>
              <w:rPr>
                <w:sz w:val="20"/>
                <w:szCs w:val="20"/>
                <w:color w:val="auto"/>
              </w:rPr>
            </w:pPr>
            <w:r>
              <w:rPr>
                <w:rFonts w:ascii="Arial" w:cs="Arial" w:eastAsia="Arial" w:hAnsi="Arial"/>
                <w:sz w:val="13"/>
                <w:szCs w:val="13"/>
                <w:b w:val="1"/>
                <w:bCs w:val="1"/>
                <w:color w:val="auto"/>
              </w:rPr>
              <w:t>4Q09/3Q09</w:t>
            </w:r>
          </w:p>
        </w:tc>
        <w:tc>
          <w:tcPr>
            <w:tcW w:w="240" w:type="dxa"/>
            <w:vAlign w:val="bottom"/>
          </w:tcPr>
          <w:p>
            <w:pPr>
              <w:spacing w:after="0"/>
              <w:rPr>
                <w:sz w:val="11"/>
                <w:szCs w:val="11"/>
                <w:color w:val="auto"/>
              </w:rPr>
            </w:pPr>
          </w:p>
        </w:tc>
        <w:tc>
          <w:tcPr>
            <w:tcW w:w="780" w:type="dxa"/>
            <w:vAlign w:val="bottom"/>
            <w:tcBorders>
              <w:top w:val="single" w:sz="8" w:color="auto"/>
            </w:tcBorders>
          </w:tcPr>
          <w:p>
            <w:pPr>
              <w:jc w:val="right"/>
              <w:ind w:right="197"/>
              <w:spacing w:after="0" w:line="135" w:lineRule="exact"/>
              <w:rPr>
                <w:sz w:val="20"/>
                <w:szCs w:val="20"/>
                <w:color w:val="auto"/>
              </w:rPr>
            </w:pPr>
            <w:r>
              <w:rPr>
                <w:rFonts w:ascii="Arial" w:cs="Arial" w:eastAsia="Arial" w:hAnsi="Arial"/>
                <w:sz w:val="13"/>
                <w:szCs w:val="13"/>
                <w:b w:val="1"/>
                <w:bCs w:val="1"/>
                <w:color w:val="auto"/>
              </w:rPr>
              <w:t>2009</w:t>
            </w:r>
          </w:p>
        </w:tc>
        <w:tc>
          <w:tcPr>
            <w:tcW w:w="22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right"/>
              <w:ind w:right="197"/>
              <w:spacing w:after="0" w:line="135" w:lineRule="exact"/>
              <w:rPr>
                <w:sz w:val="20"/>
                <w:szCs w:val="20"/>
                <w:color w:val="auto"/>
              </w:rPr>
            </w:pPr>
            <w:r>
              <w:rPr>
                <w:rFonts w:ascii="Arial" w:cs="Arial" w:eastAsia="Arial" w:hAnsi="Arial"/>
                <w:sz w:val="13"/>
                <w:szCs w:val="13"/>
                <w:b w:val="1"/>
                <w:bCs w:val="1"/>
                <w:color w:val="auto"/>
                <w:w w:val="89"/>
              </w:rPr>
              <w:t>2008</w:t>
            </w:r>
          </w:p>
        </w:tc>
        <w:tc>
          <w:tcPr>
            <w:tcW w:w="220" w:type="dxa"/>
            <w:vAlign w:val="bottom"/>
          </w:tcPr>
          <w:p>
            <w:pPr>
              <w:spacing w:after="0"/>
              <w:rPr>
                <w:sz w:val="11"/>
                <w:szCs w:val="11"/>
                <w:color w:val="auto"/>
              </w:rPr>
            </w:pPr>
          </w:p>
        </w:tc>
        <w:tc>
          <w:tcPr>
            <w:tcW w:w="780" w:type="dxa"/>
            <w:vAlign w:val="bottom"/>
            <w:tcBorders>
              <w:top w:val="single" w:sz="8" w:color="auto"/>
            </w:tcBorders>
          </w:tcPr>
          <w:p>
            <w:pPr>
              <w:ind w:left="120"/>
              <w:spacing w:after="0" w:line="135" w:lineRule="exact"/>
              <w:rPr>
                <w:sz w:val="20"/>
                <w:szCs w:val="20"/>
                <w:color w:val="auto"/>
              </w:rPr>
            </w:pPr>
            <w:r>
              <w:rPr>
                <w:rFonts w:ascii="Arial" w:cs="Arial" w:eastAsia="Arial" w:hAnsi="Arial"/>
                <w:sz w:val="13"/>
                <w:szCs w:val="13"/>
                <w:b w:val="1"/>
                <w:bCs w:val="1"/>
                <w:color w:val="auto"/>
              </w:rPr>
              <w:t>2009/2008</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1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vMerge w:val="continue"/>
          </w:tcPr>
          <w:p>
            <w:pPr>
              <w:spacing w:after="0"/>
              <w:rPr>
                <w:sz w:val="11"/>
                <w:szCs w:val="11"/>
                <w:color w:val="auto"/>
              </w:rPr>
            </w:pPr>
          </w:p>
        </w:tc>
        <w:tc>
          <w:tcPr>
            <w:tcW w:w="318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Banco de Crédito BCP(1)</w:t>
            </w:r>
          </w:p>
        </w:tc>
        <w:tc>
          <w:tcPr>
            <w:tcW w:w="140" w:type="dxa"/>
            <w:vAlign w:val="bottom"/>
            <w:shd w:val="clear" w:color="auto" w:fill="CCFFCC"/>
          </w:tcPr>
          <w:p>
            <w:pPr>
              <w:spacing w:after="0"/>
              <w:rPr>
                <w:sz w:val="11"/>
                <w:szCs w:val="11"/>
                <w:color w:val="auto"/>
              </w:rPr>
            </w:pPr>
          </w:p>
        </w:tc>
        <w:tc>
          <w:tcPr>
            <w:tcW w:w="104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104,518</w:t>
            </w:r>
          </w:p>
        </w:tc>
        <w:tc>
          <w:tcPr>
            <w:tcW w:w="106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98,826</w:t>
            </w:r>
          </w:p>
        </w:tc>
        <w:tc>
          <w:tcPr>
            <w:tcW w:w="102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82,867</w:t>
            </w:r>
          </w:p>
        </w:tc>
        <w:tc>
          <w:tcPr>
            <w:tcW w:w="10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26%</w:t>
            </w:r>
          </w:p>
        </w:tc>
        <w:tc>
          <w:tcPr>
            <w:tcW w:w="10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6%</w:t>
            </w:r>
          </w:p>
        </w:tc>
        <w:tc>
          <w:tcPr>
            <w:tcW w:w="10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388,501</w:t>
            </w:r>
          </w:p>
        </w:tc>
        <w:tc>
          <w:tcPr>
            <w:tcW w:w="240" w:type="dxa"/>
            <w:vAlign w:val="bottom"/>
            <w:shd w:val="clear" w:color="auto" w:fill="CCFFCC"/>
          </w:tcPr>
          <w:p>
            <w:pPr>
              <w:spacing w:after="0"/>
              <w:rPr>
                <w:sz w:val="11"/>
                <w:szCs w:val="11"/>
                <w:color w:val="auto"/>
              </w:rPr>
            </w:pPr>
          </w:p>
        </w:tc>
        <w:tc>
          <w:tcPr>
            <w:tcW w:w="76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410,859</w:t>
            </w:r>
          </w:p>
        </w:tc>
        <w:tc>
          <w:tcPr>
            <w:tcW w:w="920" w:type="dxa"/>
            <w:vAlign w:val="bottom"/>
            <w:gridSpan w:val="2"/>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80" w:type="dxa"/>
            <w:vAlign w:val="bottom"/>
          </w:tcPr>
          <w:p>
            <w:pPr>
              <w:ind w:left="160"/>
              <w:spacing w:after="0" w:line="135" w:lineRule="exact"/>
              <w:rPr>
                <w:sz w:val="20"/>
                <w:szCs w:val="20"/>
                <w:color w:val="auto"/>
              </w:rPr>
            </w:pPr>
            <w:r>
              <w:rPr>
                <w:rFonts w:ascii="Arial" w:cs="Arial" w:eastAsia="Arial" w:hAnsi="Arial"/>
                <w:sz w:val="13"/>
                <w:szCs w:val="13"/>
                <w:color w:val="auto"/>
              </w:rPr>
              <w:t>BCB</w:t>
            </w:r>
          </w:p>
        </w:tc>
        <w:tc>
          <w:tcPr>
            <w:tcW w:w="1180" w:type="dxa"/>
            <w:vAlign w:val="bottom"/>
            <w:gridSpan w:val="3"/>
          </w:tcPr>
          <w:p>
            <w:pPr>
              <w:jc w:val="right"/>
              <w:ind w:right="240"/>
              <w:spacing w:after="0" w:line="135" w:lineRule="exact"/>
              <w:rPr>
                <w:sz w:val="20"/>
                <w:szCs w:val="20"/>
                <w:color w:val="auto"/>
              </w:rPr>
            </w:pPr>
            <w:r>
              <w:rPr>
                <w:rFonts w:ascii="Arial" w:cs="Arial" w:eastAsia="Arial" w:hAnsi="Arial"/>
                <w:sz w:val="13"/>
                <w:szCs w:val="13"/>
                <w:color w:val="auto"/>
              </w:rPr>
              <w:t>9,521</w:t>
            </w:r>
          </w:p>
        </w:tc>
        <w:tc>
          <w:tcPr>
            <w:tcW w:w="10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7,086</w:t>
            </w:r>
          </w:p>
        </w:tc>
        <w:tc>
          <w:tcPr>
            <w:tcW w:w="10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11,414</w:t>
            </w:r>
          </w:p>
        </w:tc>
        <w:tc>
          <w:tcPr>
            <w:tcW w:w="10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-16.6%</w:t>
            </w:r>
          </w:p>
        </w:tc>
        <w:tc>
          <w:tcPr>
            <w:tcW w:w="10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34.4%</w:t>
            </w:r>
          </w:p>
        </w:tc>
        <w:tc>
          <w:tcPr>
            <w:tcW w:w="10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30,372</w:t>
            </w:r>
          </w:p>
        </w:tc>
        <w:tc>
          <w:tcPr>
            <w:tcW w:w="240" w:type="dxa"/>
            <w:vAlign w:val="bottom"/>
          </w:tcPr>
          <w:p>
            <w:pPr>
              <w:spacing w:after="0"/>
              <w:rPr>
                <w:sz w:val="11"/>
                <w:szCs w:val="11"/>
                <w:color w:val="auto"/>
              </w:rPr>
            </w:pPr>
          </w:p>
        </w:tc>
        <w:tc>
          <w:tcPr>
            <w:tcW w:w="7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42,878</w:t>
            </w:r>
          </w:p>
        </w:tc>
        <w:tc>
          <w:tcPr>
            <w:tcW w:w="92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-29%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8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Atlantic</w:t>
            </w:r>
          </w:p>
        </w:tc>
        <w:tc>
          <w:tcPr>
            <w:tcW w:w="1180" w:type="dxa"/>
            <w:vAlign w:val="bottom"/>
            <w:gridSpan w:val="3"/>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14,856</w:t>
            </w:r>
          </w:p>
        </w:tc>
        <w:tc>
          <w:tcPr>
            <w:tcW w:w="106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8,444</w:t>
            </w:r>
          </w:p>
        </w:tc>
        <w:tc>
          <w:tcPr>
            <w:tcW w:w="102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(65,468)</w:t>
            </w:r>
          </w:p>
        </w:tc>
        <w:tc>
          <w:tcPr>
            <w:tcW w:w="10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-123%</w:t>
            </w:r>
          </w:p>
        </w:tc>
        <w:tc>
          <w:tcPr>
            <w:tcW w:w="10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76%</w:t>
            </w:r>
          </w:p>
        </w:tc>
        <w:tc>
          <w:tcPr>
            <w:tcW w:w="10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29,716</w:t>
            </w:r>
          </w:p>
        </w:tc>
        <w:tc>
          <w:tcPr>
            <w:tcW w:w="240" w:type="dxa"/>
            <w:vAlign w:val="bottom"/>
            <w:shd w:val="clear" w:color="auto" w:fill="CCFFCC"/>
          </w:tcPr>
          <w:p>
            <w:pPr>
              <w:spacing w:after="0"/>
              <w:rPr>
                <w:sz w:val="11"/>
                <w:szCs w:val="11"/>
                <w:color w:val="auto"/>
              </w:rPr>
            </w:pPr>
          </w:p>
        </w:tc>
        <w:tc>
          <w:tcPr>
            <w:tcW w:w="76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(50,395)</w:t>
            </w:r>
          </w:p>
        </w:tc>
        <w:tc>
          <w:tcPr>
            <w:tcW w:w="920" w:type="dxa"/>
            <w:vAlign w:val="bottom"/>
            <w:gridSpan w:val="2"/>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-159%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80" w:type="dxa"/>
            <w:vAlign w:val="bottom"/>
          </w:tcPr>
          <w:p>
            <w:pPr>
              <w:spacing w:after="0" w:line="135" w:lineRule="exact"/>
              <w:rPr>
                <w:sz w:val="20"/>
                <w:szCs w:val="20"/>
                <w:color w:val="auto"/>
              </w:rPr>
            </w:pPr>
            <w:r>
              <w:rPr>
                <w:rFonts w:ascii="Arial" w:cs="Arial" w:eastAsia="Arial" w:hAnsi="Arial"/>
                <w:sz w:val="13"/>
                <w:szCs w:val="13"/>
                <w:color w:val="auto"/>
              </w:rPr>
              <w:t>PPS</w:t>
            </w:r>
          </w:p>
        </w:tc>
        <w:tc>
          <w:tcPr>
            <w:tcW w:w="1180" w:type="dxa"/>
            <w:vAlign w:val="bottom"/>
            <w:gridSpan w:val="3"/>
          </w:tcPr>
          <w:p>
            <w:pPr>
              <w:jc w:val="right"/>
              <w:ind w:right="240"/>
              <w:spacing w:after="0" w:line="135" w:lineRule="exact"/>
              <w:rPr>
                <w:sz w:val="20"/>
                <w:szCs w:val="20"/>
                <w:color w:val="auto"/>
              </w:rPr>
            </w:pPr>
            <w:r>
              <w:rPr>
                <w:rFonts w:ascii="Arial" w:cs="Arial" w:eastAsia="Arial" w:hAnsi="Arial"/>
                <w:sz w:val="13"/>
                <w:szCs w:val="13"/>
                <w:color w:val="auto"/>
              </w:rPr>
              <w:t>12,372</w:t>
            </w:r>
          </w:p>
        </w:tc>
        <w:tc>
          <w:tcPr>
            <w:tcW w:w="10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10,088</w:t>
            </w:r>
          </w:p>
        </w:tc>
        <w:tc>
          <w:tcPr>
            <w:tcW w:w="10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(7,440)</w:t>
            </w:r>
          </w:p>
        </w:tc>
        <w:tc>
          <w:tcPr>
            <w:tcW w:w="10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-266%</w:t>
            </w:r>
          </w:p>
        </w:tc>
        <w:tc>
          <w:tcPr>
            <w:tcW w:w="10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23%</w:t>
            </w:r>
          </w:p>
        </w:tc>
        <w:tc>
          <w:tcPr>
            <w:tcW w:w="10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37,374</w:t>
            </w:r>
          </w:p>
        </w:tc>
        <w:tc>
          <w:tcPr>
            <w:tcW w:w="240" w:type="dxa"/>
            <w:vAlign w:val="bottom"/>
          </w:tcPr>
          <w:p>
            <w:pPr>
              <w:spacing w:after="0"/>
              <w:rPr>
                <w:sz w:val="11"/>
                <w:szCs w:val="11"/>
                <w:color w:val="auto"/>
              </w:rPr>
            </w:pPr>
          </w:p>
        </w:tc>
        <w:tc>
          <w:tcPr>
            <w:tcW w:w="7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(15,901)</w:t>
            </w:r>
          </w:p>
        </w:tc>
        <w:tc>
          <w:tcPr>
            <w:tcW w:w="92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-335%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8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Grupo Crédito (2)</w:t>
            </w:r>
          </w:p>
        </w:tc>
        <w:tc>
          <w:tcPr>
            <w:tcW w:w="1180" w:type="dxa"/>
            <w:vAlign w:val="bottom"/>
            <w:gridSpan w:val="3"/>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5,548</w:t>
            </w:r>
          </w:p>
        </w:tc>
        <w:tc>
          <w:tcPr>
            <w:tcW w:w="106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6,878</w:t>
            </w:r>
          </w:p>
        </w:tc>
        <w:tc>
          <w:tcPr>
            <w:tcW w:w="102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5,273</w:t>
            </w:r>
          </w:p>
        </w:tc>
        <w:tc>
          <w:tcPr>
            <w:tcW w:w="10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5%</w:t>
            </w:r>
          </w:p>
        </w:tc>
        <w:tc>
          <w:tcPr>
            <w:tcW w:w="10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-19%</w:t>
            </w:r>
          </w:p>
        </w:tc>
        <w:tc>
          <w:tcPr>
            <w:tcW w:w="10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26,556</w:t>
            </w:r>
          </w:p>
        </w:tc>
        <w:tc>
          <w:tcPr>
            <w:tcW w:w="240" w:type="dxa"/>
            <w:vAlign w:val="bottom"/>
            <w:shd w:val="clear" w:color="auto" w:fill="CCFFCC"/>
          </w:tcPr>
          <w:p>
            <w:pPr>
              <w:spacing w:after="0"/>
              <w:rPr>
                <w:sz w:val="11"/>
                <w:szCs w:val="11"/>
                <w:color w:val="auto"/>
              </w:rPr>
            </w:pPr>
          </w:p>
        </w:tc>
        <w:tc>
          <w:tcPr>
            <w:tcW w:w="76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18,271</w:t>
            </w:r>
          </w:p>
        </w:tc>
        <w:tc>
          <w:tcPr>
            <w:tcW w:w="920" w:type="dxa"/>
            <w:vAlign w:val="bottom"/>
            <w:gridSpan w:val="2"/>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45%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80" w:type="dxa"/>
            <w:vAlign w:val="bottom"/>
          </w:tcPr>
          <w:p>
            <w:pPr>
              <w:ind w:left="160"/>
              <w:spacing w:after="0" w:line="135" w:lineRule="exact"/>
              <w:rPr>
                <w:sz w:val="20"/>
                <w:szCs w:val="20"/>
                <w:color w:val="auto"/>
              </w:rPr>
            </w:pPr>
            <w:r>
              <w:rPr>
                <w:rFonts w:ascii="Arial" w:cs="Arial" w:eastAsia="Arial" w:hAnsi="Arial"/>
                <w:sz w:val="13"/>
                <w:szCs w:val="13"/>
                <w:color w:val="auto"/>
              </w:rPr>
              <w:t>Prima</w:t>
            </w:r>
          </w:p>
        </w:tc>
        <w:tc>
          <w:tcPr>
            <w:tcW w:w="1180" w:type="dxa"/>
            <w:vAlign w:val="bottom"/>
            <w:gridSpan w:val="3"/>
          </w:tcPr>
          <w:p>
            <w:pPr>
              <w:jc w:val="right"/>
              <w:ind w:right="240"/>
              <w:spacing w:after="0" w:line="135" w:lineRule="exact"/>
              <w:rPr>
                <w:sz w:val="20"/>
                <w:szCs w:val="20"/>
                <w:color w:val="auto"/>
              </w:rPr>
            </w:pPr>
            <w:r>
              <w:rPr>
                <w:rFonts w:ascii="Arial" w:cs="Arial" w:eastAsia="Arial" w:hAnsi="Arial"/>
                <w:sz w:val="13"/>
                <w:szCs w:val="13"/>
                <w:color w:val="auto"/>
              </w:rPr>
              <w:t>4,224</w:t>
            </w:r>
          </w:p>
        </w:tc>
        <w:tc>
          <w:tcPr>
            <w:tcW w:w="10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5,661</w:t>
            </w:r>
          </w:p>
        </w:tc>
        <w:tc>
          <w:tcPr>
            <w:tcW w:w="10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1,437</w:t>
            </w:r>
          </w:p>
        </w:tc>
        <w:tc>
          <w:tcPr>
            <w:tcW w:w="10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194%</w:t>
            </w:r>
          </w:p>
        </w:tc>
        <w:tc>
          <w:tcPr>
            <w:tcW w:w="10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-25%</w:t>
            </w:r>
          </w:p>
        </w:tc>
        <w:tc>
          <w:tcPr>
            <w:tcW w:w="10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20,798</w:t>
            </w:r>
          </w:p>
        </w:tc>
        <w:tc>
          <w:tcPr>
            <w:tcW w:w="240" w:type="dxa"/>
            <w:vAlign w:val="bottom"/>
          </w:tcPr>
          <w:p>
            <w:pPr>
              <w:spacing w:after="0"/>
              <w:rPr>
                <w:sz w:val="11"/>
                <w:szCs w:val="11"/>
                <w:color w:val="auto"/>
              </w:rPr>
            </w:pPr>
          </w:p>
        </w:tc>
        <w:tc>
          <w:tcPr>
            <w:tcW w:w="7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11,203</w:t>
            </w:r>
          </w:p>
        </w:tc>
        <w:tc>
          <w:tcPr>
            <w:tcW w:w="92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86%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80" w:type="dxa"/>
            <w:vAlign w:val="bottom"/>
            <w:shd w:val="clear" w:color="auto" w:fill="CCFFCC"/>
          </w:tcPr>
          <w:p>
            <w:pPr>
              <w:ind w:left="160"/>
              <w:spacing w:after="0" w:line="135" w:lineRule="exact"/>
              <w:rPr>
                <w:sz w:val="20"/>
                <w:szCs w:val="20"/>
                <w:color w:val="auto"/>
              </w:rPr>
            </w:pPr>
            <w:r>
              <w:rPr>
                <w:rFonts w:ascii="Arial" w:cs="Arial" w:eastAsia="Arial" w:hAnsi="Arial"/>
                <w:sz w:val="13"/>
                <w:szCs w:val="13"/>
                <w:color w:val="auto"/>
              </w:rPr>
              <w:t>Others</w:t>
            </w:r>
          </w:p>
        </w:tc>
        <w:tc>
          <w:tcPr>
            <w:tcW w:w="1180" w:type="dxa"/>
            <w:vAlign w:val="bottom"/>
            <w:gridSpan w:val="3"/>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1,324</w:t>
            </w:r>
          </w:p>
        </w:tc>
        <w:tc>
          <w:tcPr>
            <w:tcW w:w="106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1,217</w:t>
            </w:r>
          </w:p>
        </w:tc>
        <w:tc>
          <w:tcPr>
            <w:tcW w:w="102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3,836</w:t>
            </w:r>
          </w:p>
        </w:tc>
        <w:tc>
          <w:tcPr>
            <w:tcW w:w="10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-65%</w:t>
            </w:r>
          </w:p>
        </w:tc>
        <w:tc>
          <w:tcPr>
            <w:tcW w:w="10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9%</w:t>
            </w:r>
          </w:p>
        </w:tc>
        <w:tc>
          <w:tcPr>
            <w:tcW w:w="10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5,758</w:t>
            </w:r>
          </w:p>
        </w:tc>
        <w:tc>
          <w:tcPr>
            <w:tcW w:w="240" w:type="dxa"/>
            <w:vAlign w:val="bottom"/>
            <w:shd w:val="clear" w:color="auto" w:fill="CCFFCC"/>
          </w:tcPr>
          <w:p>
            <w:pPr>
              <w:spacing w:after="0"/>
              <w:rPr>
                <w:sz w:val="11"/>
                <w:szCs w:val="11"/>
                <w:color w:val="auto"/>
              </w:rPr>
            </w:pPr>
          </w:p>
        </w:tc>
        <w:tc>
          <w:tcPr>
            <w:tcW w:w="76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7,068</w:t>
            </w:r>
          </w:p>
        </w:tc>
        <w:tc>
          <w:tcPr>
            <w:tcW w:w="920" w:type="dxa"/>
            <w:vAlign w:val="bottom"/>
            <w:gridSpan w:val="2"/>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-19%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80" w:type="dxa"/>
            <w:vAlign w:val="bottom"/>
          </w:tcPr>
          <w:p>
            <w:pPr>
              <w:spacing w:after="0" w:line="135" w:lineRule="exact"/>
              <w:rPr>
                <w:sz w:val="20"/>
                <w:szCs w:val="20"/>
                <w:color w:val="auto"/>
              </w:rPr>
            </w:pPr>
            <w:r>
              <w:rPr>
                <w:rFonts w:ascii="Arial" w:cs="Arial" w:eastAsia="Arial" w:hAnsi="Arial"/>
                <w:sz w:val="13"/>
                <w:szCs w:val="13"/>
                <w:color w:val="auto"/>
              </w:rPr>
              <w:t>Credicorp and Others (3)</w:t>
            </w:r>
          </w:p>
        </w:tc>
        <w:tc>
          <w:tcPr>
            <w:tcW w:w="1180" w:type="dxa"/>
            <w:vAlign w:val="bottom"/>
            <w:gridSpan w:val="3"/>
          </w:tcPr>
          <w:p>
            <w:pPr>
              <w:jc w:val="right"/>
              <w:ind w:right="200"/>
              <w:spacing w:after="0" w:line="135" w:lineRule="exact"/>
              <w:rPr>
                <w:sz w:val="20"/>
                <w:szCs w:val="20"/>
                <w:color w:val="auto"/>
              </w:rPr>
            </w:pPr>
            <w:r>
              <w:rPr>
                <w:rFonts w:ascii="Arial" w:cs="Arial" w:eastAsia="Arial" w:hAnsi="Arial"/>
                <w:sz w:val="13"/>
                <w:szCs w:val="13"/>
                <w:color w:val="auto"/>
              </w:rPr>
              <w:t>(14,996)</w:t>
            </w:r>
          </w:p>
        </w:tc>
        <w:tc>
          <w:tcPr>
            <w:tcW w:w="10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(2,529)</w:t>
            </w:r>
          </w:p>
        </w:tc>
        <w:tc>
          <w:tcPr>
            <w:tcW w:w="10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(1,741)</w:t>
            </w:r>
          </w:p>
        </w:tc>
        <w:tc>
          <w:tcPr>
            <w:tcW w:w="10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761%</w:t>
            </w:r>
          </w:p>
        </w:tc>
        <w:tc>
          <w:tcPr>
            <w:tcW w:w="10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493%</w:t>
            </w:r>
          </w:p>
        </w:tc>
        <w:tc>
          <w:tcPr>
            <w:tcW w:w="10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(12,363)</w:t>
            </w:r>
          </w:p>
        </w:tc>
        <w:tc>
          <w:tcPr>
            <w:tcW w:w="240" w:type="dxa"/>
            <w:vAlign w:val="bottom"/>
          </w:tcPr>
          <w:p>
            <w:pPr>
              <w:spacing w:after="0"/>
              <w:rPr>
                <w:sz w:val="11"/>
                <w:szCs w:val="11"/>
                <w:color w:val="auto"/>
              </w:rPr>
            </w:pPr>
          </w:p>
        </w:tc>
        <w:tc>
          <w:tcPr>
            <w:tcW w:w="7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(5,079)</w:t>
            </w:r>
          </w:p>
        </w:tc>
        <w:tc>
          <w:tcPr>
            <w:tcW w:w="92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143%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80" w:type="dxa"/>
            <w:vAlign w:val="bottom"/>
            <w:shd w:val="clear" w:color="auto" w:fill="CCFFCC"/>
          </w:tcPr>
          <w:p>
            <w:pPr>
              <w:ind w:left="160"/>
              <w:spacing w:after="0" w:line="135" w:lineRule="exact"/>
              <w:rPr>
                <w:sz w:val="20"/>
                <w:szCs w:val="20"/>
                <w:color w:val="auto"/>
              </w:rPr>
            </w:pPr>
            <w:r>
              <w:rPr>
                <w:rFonts w:ascii="Arial" w:cs="Arial" w:eastAsia="Arial" w:hAnsi="Arial"/>
                <w:sz w:val="13"/>
                <w:szCs w:val="13"/>
                <w:color w:val="auto"/>
              </w:rPr>
              <w:t>Credicorp Ltd.</w:t>
            </w:r>
          </w:p>
        </w:tc>
        <w:tc>
          <w:tcPr>
            <w:tcW w:w="1180" w:type="dxa"/>
            <w:vAlign w:val="bottom"/>
            <w:gridSpan w:val="3"/>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(14,992)</w:t>
            </w:r>
          </w:p>
        </w:tc>
        <w:tc>
          <w:tcPr>
            <w:tcW w:w="106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(2,994)</w:t>
            </w:r>
          </w:p>
        </w:tc>
        <w:tc>
          <w:tcPr>
            <w:tcW w:w="102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(2,464)</w:t>
            </w:r>
          </w:p>
        </w:tc>
        <w:tc>
          <w:tcPr>
            <w:tcW w:w="10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508%</w:t>
            </w:r>
          </w:p>
        </w:tc>
        <w:tc>
          <w:tcPr>
            <w:tcW w:w="10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401%</w:t>
            </w:r>
          </w:p>
        </w:tc>
        <w:tc>
          <w:tcPr>
            <w:tcW w:w="100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(13,787)</w:t>
            </w:r>
          </w:p>
        </w:tc>
        <w:tc>
          <w:tcPr>
            <w:tcW w:w="240" w:type="dxa"/>
            <w:vAlign w:val="bottom"/>
            <w:shd w:val="clear" w:color="auto" w:fill="CCFFCC"/>
          </w:tcPr>
          <w:p>
            <w:pPr>
              <w:spacing w:after="0"/>
              <w:rPr>
                <w:sz w:val="11"/>
                <w:szCs w:val="11"/>
                <w:color w:val="auto"/>
              </w:rPr>
            </w:pPr>
          </w:p>
        </w:tc>
        <w:tc>
          <w:tcPr>
            <w:tcW w:w="76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(7,517)</w:t>
            </w:r>
          </w:p>
        </w:tc>
        <w:tc>
          <w:tcPr>
            <w:tcW w:w="920" w:type="dxa"/>
            <w:vAlign w:val="bottom"/>
            <w:gridSpan w:val="2"/>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83%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80" w:type="dxa"/>
            <w:vAlign w:val="bottom"/>
          </w:tcPr>
          <w:p>
            <w:pPr>
              <w:ind w:left="160"/>
              <w:spacing w:after="0" w:line="135" w:lineRule="exact"/>
              <w:rPr>
                <w:sz w:val="20"/>
                <w:szCs w:val="20"/>
                <w:color w:val="auto"/>
              </w:rPr>
            </w:pPr>
            <w:r>
              <w:rPr>
                <w:rFonts w:ascii="Arial" w:cs="Arial" w:eastAsia="Arial" w:hAnsi="Arial"/>
                <w:sz w:val="13"/>
                <w:szCs w:val="13"/>
                <w:color w:val="auto"/>
              </w:rPr>
              <w:t>Otras</w:t>
            </w:r>
          </w:p>
        </w:tc>
        <w:tc>
          <w:tcPr>
            <w:tcW w:w="1180" w:type="dxa"/>
            <w:vAlign w:val="bottom"/>
            <w:gridSpan w:val="3"/>
          </w:tcPr>
          <w:p>
            <w:pPr>
              <w:jc w:val="right"/>
              <w:ind w:right="200"/>
              <w:spacing w:after="0" w:line="135" w:lineRule="exact"/>
              <w:rPr>
                <w:sz w:val="20"/>
                <w:szCs w:val="20"/>
                <w:color w:val="auto"/>
              </w:rPr>
            </w:pPr>
            <w:r>
              <w:rPr>
                <w:rFonts w:ascii="Arial" w:cs="Arial" w:eastAsia="Arial" w:hAnsi="Arial"/>
                <w:sz w:val="13"/>
                <w:szCs w:val="13"/>
                <w:color w:val="auto"/>
              </w:rPr>
              <w:t>(4)</w:t>
            </w:r>
          </w:p>
        </w:tc>
        <w:tc>
          <w:tcPr>
            <w:tcW w:w="10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465</w:t>
            </w:r>
          </w:p>
        </w:tc>
        <w:tc>
          <w:tcPr>
            <w:tcW w:w="10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723</w:t>
            </w:r>
          </w:p>
        </w:tc>
        <w:tc>
          <w:tcPr>
            <w:tcW w:w="10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-101%</w:t>
            </w:r>
          </w:p>
        </w:tc>
        <w:tc>
          <w:tcPr>
            <w:tcW w:w="10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-101%</w:t>
            </w:r>
          </w:p>
        </w:tc>
        <w:tc>
          <w:tcPr>
            <w:tcW w:w="10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1,424</w:t>
            </w:r>
          </w:p>
        </w:tc>
        <w:tc>
          <w:tcPr>
            <w:tcW w:w="240" w:type="dxa"/>
            <w:vAlign w:val="bottom"/>
          </w:tcPr>
          <w:p>
            <w:pPr>
              <w:spacing w:after="0"/>
              <w:rPr>
                <w:sz w:val="11"/>
                <w:szCs w:val="11"/>
                <w:color w:val="auto"/>
              </w:rPr>
            </w:pPr>
          </w:p>
        </w:tc>
        <w:tc>
          <w:tcPr>
            <w:tcW w:w="7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2,438</w:t>
            </w:r>
          </w:p>
        </w:tc>
        <w:tc>
          <w:tcPr>
            <w:tcW w:w="92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-42%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80" w:type="dxa"/>
            <w:vAlign w:val="bottom"/>
            <w:shd w:val="clear" w:color="auto" w:fill="CCFFCC"/>
          </w:tcPr>
          <w:p>
            <w:pPr>
              <w:spacing w:after="0" w:line="135" w:lineRule="exact"/>
              <w:rPr>
                <w:sz w:val="20"/>
                <w:szCs w:val="20"/>
                <w:color w:val="auto"/>
              </w:rPr>
            </w:pPr>
            <w:r>
              <w:rPr>
                <w:rFonts w:ascii="Arial" w:cs="Arial" w:eastAsia="Arial" w:hAnsi="Arial"/>
                <w:sz w:val="13"/>
                <w:szCs w:val="13"/>
                <w:b w:val="1"/>
                <w:bCs w:val="1"/>
                <w:color w:val="auto"/>
              </w:rPr>
              <w:t>Net income attributable to Credicorp</w:t>
            </w:r>
          </w:p>
        </w:tc>
        <w:tc>
          <w:tcPr>
            <w:tcW w:w="1180" w:type="dxa"/>
            <w:vAlign w:val="bottom"/>
            <w:gridSpan w:val="3"/>
            <w:shd w:val="clear" w:color="auto" w:fill="CCFFCC"/>
          </w:tcPr>
          <w:p>
            <w:pPr>
              <w:jc w:val="right"/>
              <w:ind w:right="240"/>
              <w:spacing w:after="0" w:line="135" w:lineRule="exact"/>
              <w:rPr>
                <w:sz w:val="20"/>
                <w:szCs w:val="20"/>
                <w:color w:val="auto"/>
              </w:rPr>
            </w:pPr>
            <w:r>
              <w:rPr>
                <w:rFonts w:ascii="Arial" w:cs="Arial" w:eastAsia="Arial" w:hAnsi="Arial"/>
                <w:sz w:val="13"/>
                <w:szCs w:val="13"/>
                <w:b w:val="1"/>
                <w:bCs w:val="1"/>
                <w:color w:val="auto"/>
              </w:rPr>
              <w:t>122,298</w:t>
            </w:r>
          </w:p>
        </w:tc>
        <w:tc>
          <w:tcPr>
            <w:tcW w:w="106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b w:val="1"/>
                <w:bCs w:val="1"/>
                <w:color w:val="auto"/>
              </w:rPr>
              <w:t>121,707</w:t>
            </w:r>
          </w:p>
        </w:tc>
        <w:tc>
          <w:tcPr>
            <w:tcW w:w="102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b w:val="1"/>
                <w:bCs w:val="1"/>
                <w:color w:val="auto"/>
              </w:rPr>
              <w:t>13,491</w:t>
            </w:r>
          </w:p>
        </w:tc>
        <w:tc>
          <w:tcPr>
            <w:tcW w:w="102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b w:val="1"/>
                <w:bCs w:val="1"/>
                <w:color w:val="auto"/>
              </w:rPr>
              <w:t>807%</w:t>
            </w:r>
          </w:p>
        </w:tc>
        <w:tc>
          <w:tcPr>
            <w:tcW w:w="102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b w:val="1"/>
                <w:bCs w:val="1"/>
                <w:color w:val="auto"/>
              </w:rPr>
              <w:t>0%</w:t>
            </w:r>
          </w:p>
        </w:tc>
        <w:tc>
          <w:tcPr>
            <w:tcW w:w="10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b w:val="1"/>
                <w:bCs w:val="1"/>
                <w:color w:val="auto"/>
              </w:rPr>
              <w:t>469,784</w:t>
            </w:r>
          </w:p>
        </w:tc>
        <w:tc>
          <w:tcPr>
            <w:tcW w:w="240" w:type="dxa"/>
            <w:vAlign w:val="bottom"/>
            <w:shd w:val="clear" w:color="auto" w:fill="CCFFCC"/>
          </w:tcPr>
          <w:p>
            <w:pPr>
              <w:spacing w:after="0"/>
              <w:rPr>
                <w:sz w:val="11"/>
                <w:szCs w:val="11"/>
                <w:color w:val="auto"/>
              </w:rPr>
            </w:pPr>
          </w:p>
        </w:tc>
        <w:tc>
          <w:tcPr>
            <w:tcW w:w="76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b w:val="1"/>
                <w:bCs w:val="1"/>
                <w:color w:val="auto"/>
              </w:rPr>
              <w:t>357,756</w:t>
            </w:r>
          </w:p>
        </w:tc>
        <w:tc>
          <w:tcPr>
            <w:tcW w:w="920" w:type="dxa"/>
            <w:vAlign w:val="bottom"/>
            <w:gridSpan w:val="2"/>
            <w:shd w:val="clear" w:color="auto" w:fill="CCFFCC"/>
          </w:tcPr>
          <w:p>
            <w:pPr>
              <w:jc w:val="right"/>
              <w:spacing w:after="0" w:line="135" w:lineRule="exact"/>
              <w:rPr>
                <w:sz w:val="20"/>
                <w:szCs w:val="20"/>
                <w:color w:val="auto"/>
              </w:rPr>
            </w:pPr>
            <w:r>
              <w:rPr>
                <w:rFonts w:ascii="Arial" w:cs="Arial" w:eastAsia="Arial" w:hAnsi="Arial"/>
                <w:sz w:val="13"/>
                <w:szCs w:val="13"/>
                <w:b w:val="1"/>
                <w:bCs w:val="1"/>
                <w:color w:val="auto"/>
              </w:rPr>
              <w:t>31%</w:t>
            </w:r>
          </w:p>
        </w:tc>
        <w:tc>
          <w:tcPr>
            <w:tcW w:w="0" w:type="dxa"/>
            <w:vAlign w:val="bottom"/>
          </w:tcPr>
          <w:p>
            <w:pPr>
              <w:spacing w:after="0"/>
              <w:rPr>
                <w:sz w:val="1"/>
                <w:szCs w:val="1"/>
                <w:color w:val="auto"/>
              </w:rPr>
            </w:pPr>
          </w:p>
        </w:tc>
      </w:tr>
    </w:tbl>
    <w:p>
      <w:pPr>
        <w:ind w:left="260" w:hanging="252"/>
        <w:spacing w:after="0"/>
        <w:tabs>
          <w:tab w:leader="none" w:pos="2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6254750</wp:posOffset>
            </wp:positionH>
            <wp:positionV relativeFrom="page">
              <wp:posOffset>337820</wp:posOffset>
            </wp:positionV>
            <wp:extent cx="1149350" cy="3175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149350" cy="317500"/>
                    </a:xfrm>
                    <a:prstGeom prst="rect">
                      <a:avLst/>
                    </a:prstGeom>
                    <a:noFill/>
                  </pic:spPr>
                </pic:pic>
              </a:graphicData>
            </a:graphic>
          </wp:anchor>
        </w:drawing>
        <w:t>Includes Banco de Crédito de Bolivia.</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Includes Grupo Crédito, Servicorp and Prima AFP</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Includes taxes on BCP's and PPS's dividends, and other expenses at the holding company level.</w:t>
      </w:r>
    </w:p>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BCP Bolivia reported a contribution of US$ 9.5 million for 4Q09 vs. US$ 7.1million for 3Q09. This 34% QoQ increase responds to gains in the sale of Visa shares to a third party, since Credicorp’s business results have been affected by the fact that investment activity in Bolivia remains stagnant and regulatory intervention on fees and salaries has squeezed earnings. Despite this evolution and that Bolivia’s contribution for the year revealed a 29% drop, it still totaled US$ 30.4 million, which reflects a still satisfactory return on investment at 30.4%.</w:t>
      </w:r>
    </w:p>
    <w:p>
      <w:pPr>
        <w:spacing w:after="0" w:line="21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ASHC’s reported further improved results this 4Q09 with an earnings contribution of US$ 14.9 million, up from US$ 8.4 million in 3Q09. This excellent 4Q result contributed significantly to ASHC ’s all time high contribution to Credicorp for the year of US$ 29.7 million. Overall, after the strong impact of the world crisis and the asset management scandals that ASHC had to absorb in 2008, the recovery of its core business has been substantial. Although the merits of this improvement are due in first line to the market recovery, they are also largely the result of appropriate financial management that led to higher margins taking advantage of the low interest rates. In addition, better fee income in Q4 starts showing the benefits of a corporate focus on improving the group ’s investment strategies, fee structure, risk policies and many other elements to achieve the best market practices for Credicorp ’s AM business.</w:t>
      </w:r>
    </w:p>
    <w:p>
      <w:pPr>
        <w:spacing w:after="0" w:line="19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PPS obtained net earnings of US$ 16.3 million in 4Q09, topping the US $ 13.3 million recorded in 3Q09. This contributed strongly to Pacífico’s record earnings in 2009 of US$ 49.2 million, in stark contrast to the US$ 15.9 million loss reported in 2008. But more significant than the bottom line- which also benefited from financial income- is the </w:t>
      </w:r>
      <w:r>
        <w:rPr>
          <w:rFonts w:ascii="Arial" w:cs="Arial" w:eastAsia="Arial" w:hAnsi="Arial"/>
          <w:sz w:val="17"/>
          <w:szCs w:val="17"/>
          <w:i w:val="1"/>
          <w:iCs w:val="1"/>
          <w:color w:val="auto"/>
        </w:rPr>
        <w:t>technical result</w:t>
      </w:r>
      <w:r>
        <w:rPr>
          <w:rFonts w:ascii="Arial" w:cs="Arial" w:eastAsia="Arial" w:hAnsi="Arial"/>
          <w:sz w:val="17"/>
          <w:szCs w:val="17"/>
          <w:color w:val="auto"/>
        </w:rPr>
        <w:t>, which indicates that the core business performance obtained in 2009 was US$ 79.9 million, representing a significant improvement over last year’s result. This is due to the reduction in the claims rate, which went from 84.3% in 2008 to 65.2% in 2009, and is the product of the changes and improvements that have been implemented over the last few years in terms of underwriting management and operating controls. These measures go hand-in-hand with the risk diversification and de-concentration strategy that the company has been working on since 2006. The results of these efforts have become evident in stages and are reflected in a number of internal fronts. Consequently, PPS contributed US$ 12.4 million to Credicorp, which exceeded the result obtained in 3Q09 and the loss of US$ -7.4 million seen in 4Q08, and led to a record contribution for the year 2009 of US$ 37.4 million, a substantial turnaround from the losses of US$15.9 million generated in 2008.</w:t>
      </w:r>
    </w:p>
    <w:p>
      <w:pPr>
        <w:spacing w:after="0" w:line="20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Finally, Prima’s performance this 4Q reflects increased expenditures in marketing and payroll, and no further tax provision reversals as in Q3, leading to the 25% lower bottom line results. Despite this lower reported earnings for Q4 and notwithstanding a recent and temporary law that stipulates that the additional salaries of July and December 2009 and 2010 are not subject to contributions into the fund, Prima AFP reported an 86% increase in its contribution to Credicorp for the year reaching US$ 20.8 million compared to US$ 11.2 million in 2008. Thus, Prima’s earnings reflect an improved 15.8% ROE for 2009. This performance is the result of the increase in fees introduced by the end of 2008 and the appreciation of the local currency, given that its income is primarily in local currency. Furthermore, it also reflects the stability in the domestic labor market, where Prima maintains its dominant position, capturing important market shares (30.6% of FuM, 32.2% of collections and 43.1% of voluntary contributions to the funds).</w:t>
      </w:r>
    </w:p>
    <w:p>
      <w:pPr>
        <w:spacing w:after="0" w:line="3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6" w:right="239" w:bottom="1440" w:gutter="0" w:footer="0" w:header="0"/>
        </w:sectPr>
      </w:pPr>
    </w:p>
    <w:bookmarkStart w:id="6" w:name="page7"/>
    <w:bookmarkEnd w:id="6"/>
    <w:p>
      <w:pPr>
        <w:jc w:val="both"/>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6254750</wp:posOffset>
            </wp:positionH>
            <wp:positionV relativeFrom="page">
              <wp:posOffset>337820</wp:posOffset>
            </wp:positionV>
            <wp:extent cx="1149350" cy="3175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149350" cy="317500"/>
                    </a:xfrm>
                    <a:prstGeom prst="rect">
                      <a:avLst/>
                    </a:prstGeom>
                    <a:noFill/>
                  </pic:spPr>
                </pic:pic>
              </a:graphicData>
            </a:graphic>
          </wp:anchor>
        </w:drawing>
        <w:t>Further to this chart, Credicorp Ltd. shows in Q4 a reversal of a translation gain booked in Q2 as a result of the effect of the local currency revaluation in that period on declared and not yet paid dividends, which had an equivalent translation loss booked at BCP. The reversal is an internal booking and is therefore neutral to the corporation’s bottom line results after consolidation.</w:t>
      </w:r>
    </w:p>
    <w:p>
      <w:pPr>
        <w:spacing w:after="0" w:line="20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aforementioned improvements at Credicorp’s non-banking subsidiaries, as well as the stable earnings generation at BCP despite a tough economic environment, resulted in the strong 31% growth in net earnings attributable to Credicorp for the year 2009, reaching a record level.</w:t>
      </w:r>
    </w:p>
    <w:p>
      <w:pPr>
        <w:spacing w:after="0" w:line="1"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operating improvements were subsequently reflected in excellent financial ratios including: 24.1% ROAE, 2.22% ROAA, a 42.1% efficiency ratio, 4.8% NIM and, 1.59% PDLs with 192% PDL coverage.</w:t>
      </w:r>
    </w:p>
    <w:p>
      <w:pPr>
        <w:spacing w:after="0" w:line="35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60"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6254750</wp:posOffset>
            </wp:positionH>
            <wp:positionV relativeFrom="page">
              <wp:posOffset>337820</wp:posOffset>
            </wp:positionV>
            <wp:extent cx="1149350" cy="3175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149350" cy="317500"/>
                    </a:xfrm>
                    <a:prstGeom prst="rect">
                      <a:avLst/>
                    </a:prstGeom>
                    <a:noFill/>
                  </pic:spPr>
                </pic:pic>
              </a:graphicData>
            </a:graphic>
          </wp:anchor>
        </w:drawing>
        <w:t>II. Banco de Crédito – BCP - Consolidated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 4Q09</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BCP’s net income in 4Q09 was US$ 107.4 million, which represents growth of 5.9% QoQ and 24.0% YoY. These results reflect the bank’s significant capacity to generate income, making this quarter the highest performer in 2009 despite a context of low growth in banking activity.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240" w:type="dxa"/>
            <w:vAlign w:val="bottom"/>
            <w:gridSpan w:val="2"/>
          </w:tcPr>
          <w:p>
            <w:pPr>
              <w:spacing w:after="0"/>
              <w:rPr>
                <w:sz w:val="20"/>
                <w:szCs w:val="20"/>
                <w:color w:val="auto"/>
              </w:rPr>
            </w:pPr>
            <w:r>
              <w:rPr>
                <w:rFonts w:ascii="Arial" w:cs="Arial" w:eastAsia="Arial" w:hAnsi="Arial"/>
                <w:sz w:val="14"/>
                <w:szCs w:val="14"/>
                <w:b w:val="1"/>
                <w:bCs w:val="1"/>
                <w:color w:val="auto"/>
              </w:rPr>
              <w:t>Banco de Crédito and Subsidiaries</w:t>
            </w: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Quarter</w:t>
            </w: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120" w:type="dxa"/>
            <w:vAlign w:val="bottom"/>
            <w:gridSpan w:val="4"/>
          </w:tcPr>
          <w:p>
            <w:pPr>
              <w:jc w:val="right"/>
              <w:ind w:right="800"/>
              <w:spacing w:after="0"/>
              <w:rPr>
                <w:sz w:val="20"/>
                <w:szCs w:val="20"/>
                <w:color w:val="auto"/>
              </w:rPr>
            </w:pPr>
            <w:r>
              <w:rPr>
                <w:rFonts w:ascii="Arial" w:cs="Arial" w:eastAsia="Arial" w:hAnsi="Arial"/>
                <w:sz w:val="14"/>
                <w:szCs w:val="14"/>
                <w:b w:val="1"/>
                <w:bCs w:val="1"/>
                <w:color w:val="auto"/>
              </w:rPr>
              <w:t>Change %</w:t>
            </w:r>
          </w:p>
        </w:tc>
        <w:tc>
          <w:tcPr>
            <w:tcW w:w="0" w:type="dxa"/>
            <w:vAlign w:val="bottom"/>
          </w:tcPr>
          <w:p>
            <w:pPr>
              <w:spacing w:after="0"/>
              <w:rPr>
                <w:sz w:val="1"/>
                <w:szCs w:val="1"/>
                <w:color w:val="auto"/>
              </w:rPr>
            </w:pPr>
          </w:p>
        </w:tc>
      </w:tr>
      <w:tr>
        <w:trPr>
          <w:trHeight w:val="149"/>
        </w:trPr>
        <w:tc>
          <w:tcPr>
            <w:tcW w:w="4240" w:type="dxa"/>
            <w:vAlign w:val="bottom"/>
            <w:tcBorders>
              <w:top w:val="single" w:sz="8" w:color="auto"/>
            </w:tcBorders>
            <w:gridSpan w:val="2"/>
          </w:tcPr>
          <w:p>
            <w:pPr>
              <w:spacing w:after="0" w:line="149" w:lineRule="exact"/>
              <w:rPr>
                <w:sz w:val="20"/>
                <w:szCs w:val="20"/>
                <w:color w:val="auto"/>
              </w:rPr>
            </w:pPr>
            <w:r>
              <w:rPr>
                <w:rFonts w:ascii="Arial" w:cs="Arial" w:eastAsia="Arial" w:hAnsi="Arial"/>
                <w:sz w:val="14"/>
                <w:szCs w:val="14"/>
                <w:color w:val="auto"/>
              </w:rPr>
              <w:t>US$ 000</w:t>
            </w:r>
          </w:p>
        </w:tc>
        <w:tc>
          <w:tcPr>
            <w:tcW w:w="100" w:type="dxa"/>
            <w:vAlign w:val="bottom"/>
          </w:tcPr>
          <w:p>
            <w:pPr>
              <w:spacing w:after="0"/>
              <w:rPr>
                <w:sz w:val="12"/>
                <w:szCs w:val="12"/>
                <w:color w:val="auto"/>
              </w:rPr>
            </w:pPr>
          </w:p>
        </w:tc>
        <w:tc>
          <w:tcPr>
            <w:tcW w:w="1080" w:type="dxa"/>
            <w:vAlign w:val="bottom"/>
            <w:tcBorders>
              <w:top w:val="single" w:sz="8" w:color="auto"/>
            </w:tcBorders>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rPr>
              <w:t>4Q09</w:t>
            </w:r>
          </w:p>
        </w:tc>
        <w:tc>
          <w:tcPr>
            <w:tcW w:w="1080" w:type="dxa"/>
            <w:vAlign w:val="bottom"/>
            <w:tcBorders>
              <w:top w:val="single" w:sz="8" w:color="auto"/>
            </w:tcBorders>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rPr>
              <w:t>3Q09</w:t>
            </w:r>
          </w:p>
        </w:tc>
        <w:tc>
          <w:tcPr>
            <w:tcW w:w="860" w:type="dxa"/>
            <w:vAlign w:val="bottom"/>
            <w:tcBorders>
              <w:top w:val="single" w:sz="8" w:color="auto"/>
            </w:tcBorders>
          </w:tcPr>
          <w:p>
            <w:pPr>
              <w:ind w:left="280"/>
              <w:spacing w:after="0" w:line="149" w:lineRule="exact"/>
              <w:rPr>
                <w:sz w:val="20"/>
                <w:szCs w:val="20"/>
                <w:color w:val="auto"/>
              </w:rPr>
            </w:pPr>
            <w:r>
              <w:rPr>
                <w:rFonts w:ascii="Arial" w:cs="Arial" w:eastAsia="Arial" w:hAnsi="Arial"/>
                <w:sz w:val="14"/>
                <w:szCs w:val="14"/>
                <w:b w:val="1"/>
                <w:bCs w:val="1"/>
                <w:color w:val="auto"/>
              </w:rPr>
              <w:t>4Q08</w:t>
            </w:r>
          </w:p>
        </w:tc>
        <w:tc>
          <w:tcPr>
            <w:tcW w:w="220" w:type="dxa"/>
            <w:vAlign w:val="bottom"/>
          </w:tcPr>
          <w:p>
            <w:pPr>
              <w:spacing w:after="0"/>
              <w:rPr>
                <w:sz w:val="12"/>
                <w:szCs w:val="12"/>
                <w:color w:val="auto"/>
              </w:rPr>
            </w:pPr>
          </w:p>
        </w:tc>
        <w:tc>
          <w:tcPr>
            <w:tcW w:w="1120" w:type="dxa"/>
            <w:vAlign w:val="bottom"/>
            <w:tcBorders>
              <w:top w:val="single" w:sz="8" w:color="auto"/>
            </w:tcBorders>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rPr>
              <w:t>4Q09/4Q08</w:t>
            </w:r>
          </w:p>
        </w:tc>
        <w:tc>
          <w:tcPr>
            <w:tcW w:w="860" w:type="dxa"/>
            <w:vAlign w:val="bottom"/>
            <w:tcBorders>
              <w:top w:val="single" w:sz="8" w:color="auto"/>
            </w:tcBorders>
          </w:tcPr>
          <w:p>
            <w:pPr>
              <w:jc w:val="right"/>
              <w:ind w:right="8"/>
              <w:spacing w:after="0" w:line="149" w:lineRule="exact"/>
              <w:rPr>
                <w:sz w:val="20"/>
                <w:szCs w:val="20"/>
                <w:color w:val="auto"/>
              </w:rPr>
            </w:pPr>
            <w:r>
              <w:rPr>
                <w:rFonts w:ascii="Arial" w:cs="Arial" w:eastAsia="Arial" w:hAnsi="Arial"/>
                <w:sz w:val="14"/>
                <w:szCs w:val="14"/>
                <w:b w:val="1"/>
                <w:bCs w:val="1"/>
                <w:color w:val="auto"/>
              </w:rPr>
              <w:t>4Q09/3Q09</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22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Net Financial income</w:t>
            </w:r>
          </w:p>
        </w:tc>
        <w:tc>
          <w:tcPr>
            <w:tcW w:w="100" w:type="dxa"/>
            <w:vAlign w:val="bottom"/>
            <w:shd w:val="clear" w:color="auto" w:fill="CCFFCC"/>
          </w:tcPr>
          <w:p>
            <w:pPr>
              <w:spacing w:after="0"/>
              <w:rPr>
                <w:sz w:val="12"/>
                <w:szCs w:val="12"/>
                <w:color w:val="auto"/>
              </w:rPr>
            </w:pPr>
          </w:p>
        </w:tc>
        <w:tc>
          <w:tcPr>
            <w:tcW w:w="10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211,233</w:t>
            </w:r>
          </w:p>
        </w:tc>
        <w:tc>
          <w:tcPr>
            <w:tcW w:w="10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197,262</w:t>
            </w:r>
          </w:p>
        </w:tc>
        <w:tc>
          <w:tcPr>
            <w:tcW w:w="10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189,322</w:t>
            </w:r>
          </w:p>
        </w:tc>
        <w:tc>
          <w:tcPr>
            <w:tcW w:w="11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11.6%</w:t>
            </w:r>
          </w:p>
        </w:tc>
        <w:tc>
          <w:tcPr>
            <w:tcW w:w="100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line="149" w:lineRule="exact"/>
              <w:rPr>
                <w:sz w:val="20"/>
                <w:szCs w:val="20"/>
                <w:color w:val="auto"/>
              </w:rPr>
            </w:pPr>
            <w:r>
              <w:rPr>
                <w:rFonts w:ascii="Arial" w:cs="Arial" w:eastAsia="Arial" w:hAnsi="Arial"/>
                <w:sz w:val="14"/>
                <w:szCs w:val="14"/>
                <w:color w:val="auto"/>
              </w:rPr>
              <w:t>Total provisions, net of recoveries</w:t>
            </w:r>
          </w:p>
        </w:tc>
        <w:tc>
          <w:tcPr>
            <w:tcW w:w="118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(44,933)</w:t>
            </w:r>
          </w:p>
        </w:tc>
        <w:tc>
          <w:tcPr>
            <w:tcW w:w="10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(38,917)</w:t>
            </w:r>
          </w:p>
        </w:tc>
        <w:tc>
          <w:tcPr>
            <w:tcW w:w="10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(6,429)</w:t>
            </w:r>
          </w:p>
        </w:tc>
        <w:tc>
          <w:tcPr>
            <w:tcW w:w="11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598.9%</w:t>
            </w:r>
          </w:p>
        </w:tc>
        <w:tc>
          <w:tcPr>
            <w:tcW w:w="10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15.5%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Non financial income</w:t>
            </w:r>
          </w:p>
        </w:tc>
        <w:tc>
          <w:tcPr>
            <w:tcW w:w="1180" w:type="dxa"/>
            <w:vAlign w:val="bottom"/>
            <w:gridSpan w:val="3"/>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144,977</w:t>
            </w:r>
          </w:p>
        </w:tc>
        <w:tc>
          <w:tcPr>
            <w:tcW w:w="10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129,689</w:t>
            </w:r>
          </w:p>
        </w:tc>
        <w:tc>
          <w:tcPr>
            <w:tcW w:w="10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141,434</w:t>
            </w:r>
          </w:p>
        </w:tc>
        <w:tc>
          <w:tcPr>
            <w:tcW w:w="11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2.5%</w:t>
            </w:r>
          </w:p>
        </w:tc>
        <w:tc>
          <w:tcPr>
            <w:tcW w:w="100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11.8%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line="149" w:lineRule="exact"/>
              <w:rPr>
                <w:sz w:val="20"/>
                <w:szCs w:val="20"/>
                <w:color w:val="auto"/>
              </w:rPr>
            </w:pPr>
            <w:r>
              <w:rPr>
                <w:rFonts w:ascii="Arial" w:cs="Arial" w:eastAsia="Arial" w:hAnsi="Arial"/>
                <w:sz w:val="14"/>
                <w:szCs w:val="14"/>
                <w:color w:val="auto"/>
              </w:rPr>
              <w:t>Operating expenses</w:t>
            </w:r>
          </w:p>
        </w:tc>
        <w:tc>
          <w:tcPr>
            <w:tcW w:w="118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(197,956)</w:t>
            </w:r>
          </w:p>
        </w:tc>
        <w:tc>
          <w:tcPr>
            <w:tcW w:w="10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(161,093)</w:t>
            </w:r>
          </w:p>
        </w:tc>
        <w:tc>
          <w:tcPr>
            <w:tcW w:w="10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(171,967)</w:t>
            </w:r>
          </w:p>
        </w:tc>
        <w:tc>
          <w:tcPr>
            <w:tcW w:w="11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15.1%</w:t>
            </w:r>
          </w:p>
        </w:tc>
        <w:tc>
          <w:tcPr>
            <w:tcW w:w="10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22.9%</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4220" w:type="dxa"/>
            <w:vAlign w:val="bottom"/>
            <w:shd w:val="clear" w:color="auto" w:fill="CCFFCC"/>
          </w:tcPr>
          <w:p>
            <w:pPr>
              <w:spacing w:after="0" w:line="126" w:lineRule="exact"/>
              <w:rPr>
                <w:sz w:val="20"/>
                <w:szCs w:val="20"/>
                <w:color w:val="auto"/>
              </w:rPr>
            </w:pPr>
            <w:r>
              <w:rPr>
                <w:rFonts w:ascii="Arial" w:cs="Arial" w:eastAsia="Arial" w:hAnsi="Arial"/>
                <w:sz w:val="14"/>
                <w:szCs w:val="14"/>
                <w:b w:val="1"/>
                <w:bCs w:val="1"/>
                <w:color w:val="auto"/>
                <w:w w:val="98"/>
              </w:rPr>
              <w:t>Income before translation results, employees' profit sharing and</w:t>
            </w:r>
          </w:p>
        </w:tc>
        <w:tc>
          <w:tcPr>
            <w:tcW w:w="1180" w:type="dxa"/>
            <w:vAlign w:val="bottom"/>
            <w:gridSpan w:val="3"/>
            <w:vMerge w:val="restart"/>
            <w:shd w:val="clear" w:color="auto" w:fill="CCFFCC"/>
          </w:tcPr>
          <w:p>
            <w:pPr>
              <w:jc w:val="right"/>
              <w:ind w:right="220"/>
              <w:spacing w:after="0"/>
              <w:rPr>
                <w:sz w:val="20"/>
                <w:szCs w:val="20"/>
                <w:color w:val="auto"/>
              </w:rPr>
            </w:pPr>
            <w:r>
              <w:rPr>
                <w:rFonts w:ascii="Arial" w:cs="Arial" w:eastAsia="Arial" w:hAnsi="Arial"/>
                <w:sz w:val="14"/>
                <w:szCs w:val="14"/>
                <w:b w:val="1"/>
                <w:bCs w:val="1"/>
                <w:color w:val="auto"/>
              </w:rPr>
              <w:t>113,321</w:t>
            </w:r>
          </w:p>
        </w:tc>
        <w:tc>
          <w:tcPr>
            <w:tcW w:w="1080" w:type="dxa"/>
            <w:vAlign w:val="bottom"/>
            <w:gridSpan w:val="2"/>
            <w:vMerge w:val="restart"/>
            <w:shd w:val="clear" w:color="auto" w:fill="CCFFCC"/>
          </w:tcPr>
          <w:p>
            <w:pPr>
              <w:jc w:val="right"/>
              <w:ind w:right="220"/>
              <w:spacing w:after="0"/>
              <w:rPr>
                <w:sz w:val="20"/>
                <w:szCs w:val="20"/>
                <w:color w:val="auto"/>
              </w:rPr>
            </w:pPr>
            <w:r>
              <w:rPr>
                <w:rFonts w:ascii="Arial" w:cs="Arial" w:eastAsia="Arial" w:hAnsi="Arial"/>
                <w:sz w:val="14"/>
                <w:szCs w:val="14"/>
                <w:b w:val="1"/>
                <w:bCs w:val="1"/>
                <w:color w:val="auto"/>
              </w:rPr>
              <w:t>126,941</w:t>
            </w:r>
          </w:p>
        </w:tc>
        <w:tc>
          <w:tcPr>
            <w:tcW w:w="1080" w:type="dxa"/>
            <w:vAlign w:val="bottom"/>
            <w:gridSpan w:val="2"/>
            <w:vMerge w:val="restart"/>
            <w:shd w:val="clear" w:color="auto" w:fill="CCFFCC"/>
          </w:tcPr>
          <w:p>
            <w:pPr>
              <w:jc w:val="right"/>
              <w:ind w:right="220"/>
              <w:spacing w:after="0"/>
              <w:rPr>
                <w:sz w:val="20"/>
                <w:szCs w:val="20"/>
                <w:color w:val="auto"/>
              </w:rPr>
            </w:pPr>
            <w:r>
              <w:rPr>
                <w:rFonts w:ascii="Arial" w:cs="Arial" w:eastAsia="Arial" w:hAnsi="Arial"/>
                <w:sz w:val="14"/>
                <w:szCs w:val="14"/>
                <w:b w:val="1"/>
                <w:bCs w:val="1"/>
                <w:color w:val="auto"/>
              </w:rPr>
              <w:t>152,360</w:t>
            </w:r>
          </w:p>
        </w:tc>
        <w:tc>
          <w:tcPr>
            <w:tcW w:w="1120" w:type="dxa"/>
            <w:vAlign w:val="bottom"/>
            <w:gridSpan w:val="2"/>
            <w:vMerge w:val="restart"/>
            <w:shd w:val="clear" w:color="auto" w:fill="CCFFCC"/>
          </w:tcPr>
          <w:p>
            <w:pPr>
              <w:jc w:val="right"/>
              <w:ind w:right="100"/>
              <w:spacing w:after="0"/>
              <w:rPr>
                <w:sz w:val="20"/>
                <w:szCs w:val="20"/>
                <w:color w:val="auto"/>
              </w:rPr>
            </w:pPr>
            <w:r>
              <w:rPr>
                <w:rFonts w:ascii="Arial" w:cs="Arial" w:eastAsia="Arial" w:hAnsi="Arial"/>
                <w:sz w:val="14"/>
                <w:szCs w:val="14"/>
                <w:b w:val="1"/>
                <w:bCs w:val="1"/>
                <w:color w:val="auto"/>
              </w:rPr>
              <w:t>-25.6%</w:t>
            </w:r>
          </w:p>
        </w:tc>
        <w:tc>
          <w:tcPr>
            <w:tcW w:w="1000" w:type="dxa"/>
            <w:vAlign w:val="bottom"/>
            <w:gridSpan w:val="2"/>
            <w:vMerge w:val="restart"/>
            <w:shd w:val="clear" w:color="auto" w:fill="CCFFCC"/>
          </w:tcPr>
          <w:p>
            <w:pPr>
              <w:jc w:val="right"/>
              <w:spacing w:after="0"/>
              <w:rPr>
                <w:sz w:val="20"/>
                <w:szCs w:val="20"/>
                <w:color w:val="auto"/>
              </w:rPr>
            </w:pPr>
            <w:r>
              <w:rPr>
                <w:rFonts w:ascii="Arial" w:cs="Arial" w:eastAsia="Arial" w:hAnsi="Arial"/>
                <w:sz w:val="14"/>
                <w:szCs w:val="14"/>
                <w:b w:val="1"/>
                <w:bCs w:val="1"/>
                <w:color w:val="auto"/>
              </w:rPr>
              <w:t>-10.7%</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20" w:type="dxa"/>
            <w:vAlign w:val="bottom"/>
            <w:shd w:val="clear" w:color="auto" w:fill="CCFFCC"/>
          </w:tcPr>
          <w:p>
            <w:pPr>
              <w:spacing w:after="0"/>
              <w:rPr>
                <w:sz w:val="20"/>
                <w:szCs w:val="20"/>
                <w:color w:val="auto"/>
              </w:rPr>
            </w:pPr>
            <w:r>
              <w:rPr>
                <w:rFonts w:ascii="Arial" w:cs="Arial" w:eastAsia="Arial" w:hAnsi="Arial"/>
                <w:sz w:val="14"/>
                <w:szCs w:val="14"/>
                <w:b w:val="1"/>
                <w:bCs w:val="1"/>
                <w:color w:val="auto"/>
              </w:rPr>
              <w:t>income taxes</w:t>
            </w:r>
          </w:p>
        </w:tc>
        <w:tc>
          <w:tcPr>
            <w:tcW w:w="1180" w:type="dxa"/>
            <w:vAlign w:val="bottom"/>
            <w:gridSpan w:val="3"/>
            <w:vMerge w:val="continue"/>
            <w:shd w:val="clear" w:color="auto" w:fill="CCFFCC"/>
          </w:tcPr>
          <w:p>
            <w:pPr>
              <w:spacing w:after="0"/>
              <w:rPr>
                <w:sz w:val="14"/>
                <w:szCs w:val="14"/>
                <w:color w:val="auto"/>
              </w:rPr>
            </w:pPr>
          </w:p>
        </w:tc>
        <w:tc>
          <w:tcPr>
            <w:tcW w:w="1080" w:type="dxa"/>
            <w:vAlign w:val="bottom"/>
            <w:gridSpan w:val="2"/>
            <w:vMerge w:val="continue"/>
            <w:shd w:val="clear" w:color="auto" w:fill="CCFFCC"/>
          </w:tcPr>
          <w:p>
            <w:pPr>
              <w:spacing w:after="0"/>
              <w:rPr>
                <w:sz w:val="14"/>
                <w:szCs w:val="14"/>
                <w:color w:val="auto"/>
              </w:rPr>
            </w:pPr>
          </w:p>
        </w:tc>
        <w:tc>
          <w:tcPr>
            <w:tcW w:w="1080" w:type="dxa"/>
            <w:vAlign w:val="bottom"/>
            <w:gridSpan w:val="2"/>
            <w:vMerge w:val="continue"/>
            <w:shd w:val="clear" w:color="auto" w:fill="CCFFCC"/>
          </w:tcPr>
          <w:p>
            <w:pPr>
              <w:spacing w:after="0"/>
              <w:rPr>
                <w:sz w:val="14"/>
                <w:szCs w:val="14"/>
                <w:color w:val="auto"/>
              </w:rPr>
            </w:pPr>
          </w:p>
        </w:tc>
        <w:tc>
          <w:tcPr>
            <w:tcW w:w="1120" w:type="dxa"/>
            <w:vAlign w:val="bottom"/>
            <w:gridSpan w:val="2"/>
            <w:vMerge w:val="continue"/>
            <w:shd w:val="clear" w:color="auto" w:fill="CCFFCC"/>
          </w:tcPr>
          <w:p>
            <w:pPr>
              <w:spacing w:after="0"/>
              <w:rPr>
                <w:sz w:val="14"/>
                <w:szCs w:val="14"/>
                <w:color w:val="auto"/>
              </w:rPr>
            </w:pPr>
          </w:p>
        </w:tc>
        <w:tc>
          <w:tcPr>
            <w:tcW w:w="1000" w:type="dxa"/>
            <w:vAlign w:val="bottom"/>
            <w:gridSpan w:val="2"/>
            <w:vMerge w:val="continue"/>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line="149" w:lineRule="exact"/>
              <w:rPr>
                <w:sz w:val="20"/>
                <w:szCs w:val="20"/>
                <w:color w:val="auto"/>
              </w:rPr>
            </w:pPr>
            <w:r>
              <w:rPr>
                <w:rFonts w:ascii="Arial" w:cs="Arial" w:eastAsia="Arial" w:hAnsi="Arial"/>
                <w:sz w:val="14"/>
                <w:szCs w:val="14"/>
                <w:color w:val="auto"/>
              </w:rPr>
              <w:t>Translation results</w:t>
            </w:r>
          </w:p>
        </w:tc>
        <w:tc>
          <w:tcPr>
            <w:tcW w:w="118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12,609</w:t>
            </w:r>
          </w:p>
        </w:tc>
        <w:tc>
          <w:tcPr>
            <w:tcW w:w="10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10,204</w:t>
            </w:r>
          </w:p>
        </w:tc>
        <w:tc>
          <w:tcPr>
            <w:tcW w:w="10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(28,346)</w:t>
            </w:r>
          </w:p>
        </w:tc>
        <w:tc>
          <w:tcPr>
            <w:tcW w:w="11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144.5%</w:t>
            </w:r>
          </w:p>
        </w:tc>
        <w:tc>
          <w:tcPr>
            <w:tcW w:w="10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Employees profit sharing and income taxes</w:t>
            </w:r>
          </w:p>
        </w:tc>
        <w:tc>
          <w:tcPr>
            <w:tcW w:w="1180" w:type="dxa"/>
            <w:vAlign w:val="bottom"/>
            <w:gridSpan w:val="3"/>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(18,207)</w:t>
            </w:r>
          </w:p>
        </w:tc>
        <w:tc>
          <w:tcPr>
            <w:tcW w:w="108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(35,400)</w:t>
            </w:r>
          </w:p>
        </w:tc>
        <w:tc>
          <w:tcPr>
            <w:tcW w:w="108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(36,851)</w:t>
            </w:r>
          </w:p>
        </w:tc>
        <w:tc>
          <w:tcPr>
            <w:tcW w:w="11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-50.6%</w:t>
            </w:r>
          </w:p>
        </w:tc>
        <w:tc>
          <w:tcPr>
            <w:tcW w:w="100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-48.6%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line="149" w:lineRule="exact"/>
              <w:rPr>
                <w:sz w:val="20"/>
                <w:szCs w:val="20"/>
                <w:color w:val="auto"/>
              </w:rPr>
            </w:pPr>
            <w:r>
              <w:rPr>
                <w:rFonts w:ascii="Arial" w:cs="Arial" w:eastAsia="Arial" w:hAnsi="Arial"/>
                <w:sz w:val="14"/>
                <w:szCs w:val="14"/>
                <w:b w:val="1"/>
                <w:bCs w:val="1"/>
                <w:color w:val="auto"/>
              </w:rPr>
              <w:t>Net income</w:t>
            </w:r>
          </w:p>
        </w:tc>
        <w:tc>
          <w:tcPr>
            <w:tcW w:w="100" w:type="dxa"/>
            <w:vAlign w:val="bottom"/>
          </w:tcPr>
          <w:p>
            <w:pPr>
              <w:spacing w:after="0"/>
              <w:rPr>
                <w:sz w:val="12"/>
                <w:szCs w:val="12"/>
                <w:color w:val="auto"/>
              </w:rPr>
            </w:pPr>
          </w:p>
        </w:tc>
        <w:tc>
          <w:tcPr>
            <w:tcW w:w="108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107,398</w:t>
            </w:r>
          </w:p>
        </w:tc>
        <w:tc>
          <w:tcPr>
            <w:tcW w:w="108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101,456</w:t>
            </w:r>
          </w:p>
        </w:tc>
        <w:tc>
          <w:tcPr>
            <w:tcW w:w="108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86,631</w:t>
            </w: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24.0%</w:t>
            </w: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5.9%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22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Net income/share (US$)</w:t>
            </w:r>
          </w:p>
        </w:tc>
        <w:tc>
          <w:tcPr>
            <w:tcW w:w="100" w:type="dxa"/>
            <w:vAlign w:val="bottom"/>
            <w:shd w:val="clear" w:color="auto" w:fill="CCFFCC"/>
          </w:tcPr>
          <w:p>
            <w:pPr>
              <w:spacing w:after="0"/>
              <w:rPr>
                <w:sz w:val="12"/>
                <w:szCs w:val="12"/>
                <w:color w:val="auto"/>
              </w:rPr>
            </w:pPr>
          </w:p>
        </w:tc>
        <w:tc>
          <w:tcPr>
            <w:tcW w:w="10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0.048</w:t>
            </w:r>
          </w:p>
        </w:tc>
        <w:tc>
          <w:tcPr>
            <w:tcW w:w="10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0.046</w:t>
            </w:r>
          </w:p>
        </w:tc>
        <w:tc>
          <w:tcPr>
            <w:tcW w:w="10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0.039</w:t>
            </w:r>
          </w:p>
        </w:tc>
        <w:tc>
          <w:tcPr>
            <w:tcW w:w="112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0.178</w:t>
            </w:r>
          </w:p>
        </w:tc>
        <w:tc>
          <w:tcPr>
            <w:tcW w:w="100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0.190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2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220" w:type="dxa"/>
            <w:vAlign w:val="bottom"/>
          </w:tcPr>
          <w:p>
            <w:pPr>
              <w:spacing w:after="0" w:line="149" w:lineRule="exact"/>
              <w:rPr>
                <w:sz w:val="20"/>
                <w:szCs w:val="20"/>
                <w:color w:val="auto"/>
              </w:rPr>
            </w:pPr>
            <w:r>
              <w:rPr>
                <w:rFonts w:ascii="Arial" w:cs="Arial" w:eastAsia="Arial" w:hAnsi="Arial"/>
                <w:sz w:val="14"/>
                <w:szCs w:val="14"/>
                <w:color w:val="auto"/>
              </w:rPr>
              <w:t>Total loans</w:t>
            </w:r>
          </w:p>
        </w:tc>
        <w:tc>
          <w:tcPr>
            <w:tcW w:w="100" w:type="dxa"/>
            <w:vAlign w:val="bottom"/>
          </w:tcPr>
          <w:p>
            <w:pPr>
              <w:spacing w:after="0"/>
              <w:rPr>
                <w:sz w:val="12"/>
                <w:szCs w:val="12"/>
                <w:color w:val="auto"/>
              </w:rPr>
            </w:pPr>
          </w:p>
        </w:tc>
        <w:tc>
          <w:tcPr>
            <w:tcW w:w="10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11,577,303</w:t>
            </w:r>
          </w:p>
        </w:tc>
        <w:tc>
          <w:tcPr>
            <w:tcW w:w="10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10,572,063</w:t>
            </w:r>
          </w:p>
        </w:tc>
        <w:tc>
          <w:tcPr>
            <w:tcW w:w="10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10,444,723</w:t>
            </w:r>
          </w:p>
        </w:tc>
        <w:tc>
          <w:tcPr>
            <w:tcW w:w="11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10.8%</w:t>
            </w:r>
          </w:p>
        </w:tc>
        <w:tc>
          <w:tcPr>
            <w:tcW w:w="10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9.5%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Deposits and obligations</w:t>
            </w:r>
          </w:p>
        </w:tc>
        <w:tc>
          <w:tcPr>
            <w:tcW w:w="1180" w:type="dxa"/>
            <w:vAlign w:val="bottom"/>
            <w:gridSpan w:val="3"/>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14,465,809</w:t>
            </w:r>
          </w:p>
        </w:tc>
        <w:tc>
          <w:tcPr>
            <w:tcW w:w="10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13,946,714</w:t>
            </w:r>
          </w:p>
        </w:tc>
        <w:tc>
          <w:tcPr>
            <w:tcW w:w="10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14,063,720</w:t>
            </w:r>
          </w:p>
        </w:tc>
        <w:tc>
          <w:tcPr>
            <w:tcW w:w="11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2.9%</w:t>
            </w:r>
          </w:p>
        </w:tc>
        <w:tc>
          <w:tcPr>
            <w:tcW w:w="100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line="149" w:lineRule="exact"/>
              <w:rPr>
                <w:sz w:val="20"/>
                <w:szCs w:val="20"/>
                <w:color w:val="auto"/>
              </w:rPr>
            </w:pPr>
            <w:r>
              <w:rPr>
                <w:rFonts w:ascii="Arial" w:cs="Arial" w:eastAsia="Arial" w:hAnsi="Arial"/>
                <w:sz w:val="14"/>
                <w:szCs w:val="14"/>
                <w:color w:val="auto"/>
              </w:rPr>
              <w:t>Shareholders equity</w:t>
            </w:r>
          </w:p>
        </w:tc>
        <w:tc>
          <w:tcPr>
            <w:tcW w:w="100" w:type="dxa"/>
            <w:vAlign w:val="bottom"/>
          </w:tcPr>
          <w:p>
            <w:pPr>
              <w:spacing w:after="0"/>
              <w:rPr>
                <w:sz w:val="12"/>
                <w:szCs w:val="12"/>
                <w:color w:val="auto"/>
              </w:rPr>
            </w:pPr>
          </w:p>
        </w:tc>
        <w:tc>
          <w:tcPr>
            <w:tcW w:w="10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1,675,533</w:t>
            </w:r>
          </w:p>
        </w:tc>
        <w:tc>
          <w:tcPr>
            <w:tcW w:w="10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1,556,224</w:t>
            </w:r>
          </w:p>
        </w:tc>
        <w:tc>
          <w:tcPr>
            <w:tcW w:w="10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1,400,404</w:t>
            </w:r>
          </w:p>
        </w:tc>
        <w:tc>
          <w:tcPr>
            <w:tcW w:w="11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19.6%</w:t>
            </w:r>
          </w:p>
        </w:tc>
        <w:tc>
          <w:tcPr>
            <w:tcW w:w="10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22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Net financial margin</w:t>
            </w:r>
          </w:p>
        </w:tc>
        <w:tc>
          <w:tcPr>
            <w:tcW w:w="100" w:type="dxa"/>
            <w:vAlign w:val="bottom"/>
            <w:shd w:val="clear" w:color="auto" w:fill="CCFFCC"/>
          </w:tcPr>
          <w:p>
            <w:pPr>
              <w:spacing w:after="0"/>
              <w:rPr>
                <w:sz w:val="12"/>
                <w:szCs w:val="12"/>
                <w:color w:val="auto"/>
              </w:rPr>
            </w:pPr>
          </w:p>
        </w:tc>
        <w:tc>
          <w:tcPr>
            <w:tcW w:w="108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5.0%</w:t>
            </w:r>
          </w:p>
        </w:tc>
        <w:tc>
          <w:tcPr>
            <w:tcW w:w="108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4.9%</w:t>
            </w:r>
          </w:p>
        </w:tc>
        <w:tc>
          <w:tcPr>
            <w:tcW w:w="108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4.6%</w:t>
            </w:r>
          </w:p>
        </w:tc>
        <w:tc>
          <w:tcPr>
            <w:tcW w:w="86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86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line="149" w:lineRule="exact"/>
              <w:rPr>
                <w:sz w:val="20"/>
                <w:szCs w:val="20"/>
                <w:color w:val="auto"/>
              </w:rPr>
            </w:pPr>
            <w:r>
              <w:rPr>
                <w:rFonts w:ascii="Arial" w:cs="Arial" w:eastAsia="Arial" w:hAnsi="Arial"/>
                <w:sz w:val="14"/>
                <w:szCs w:val="14"/>
                <w:color w:val="auto"/>
              </w:rPr>
              <w:t>Efficiency ratio</w:t>
            </w:r>
          </w:p>
        </w:tc>
        <w:tc>
          <w:tcPr>
            <w:tcW w:w="118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53.8%</w:t>
            </w:r>
          </w:p>
        </w:tc>
        <w:tc>
          <w:tcPr>
            <w:tcW w:w="10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48.8%</w:t>
            </w:r>
          </w:p>
        </w:tc>
        <w:tc>
          <w:tcPr>
            <w:tcW w:w="10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57.3%</w:t>
            </w: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Return on average equity</w:t>
            </w:r>
          </w:p>
        </w:tc>
        <w:tc>
          <w:tcPr>
            <w:tcW w:w="1180" w:type="dxa"/>
            <w:vAlign w:val="bottom"/>
            <w:gridSpan w:val="3"/>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26.6%</w:t>
            </w:r>
          </w:p>
        </w:tc>
        <w:tc>
          <w:tcPr>
            <w:tcW w:w="108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27.1%</w:t>
            </w:r>
          </w:p>
        </w:tc>
        <w:tc>
          <w:tcPr>
            <w:tcW w:w="108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25.5%</w:t>
            </w:r>
          </w:p>
        </w:tc>
        <w:tc>
          <w:tcPr>
            <w:tcW w:w="86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86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line="149" w:lineRule="exact"/>
              <w:rPr>
                <w:sz w:val="20"/>
                <w:szCs w:val="20"/>
                <w:color w:val="auto"/>
              </w:rPr>
            </w:pPr>
            <w:r>
              <w:rPr>
                <w:rFonts w:ascii="Arial" w:cs="Arial" w:eastAsia="Arial" w:hAnsi="Arial"/>
                <w:sz w:val="14"/>
                <w:szCs w:val="14"/>
                <w:color w:val="auto"/>
              </w:rPr>
              <w:t>PDL/Total loans</w:t>
            </w:r>
          </w:p>
        </w:tc>
        <w:tc>
          <w:tcPr>
            <w:tcW w:w="118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1.59%</w:t>
            </w:r>
          </w:p>
        </w:tc>
        <w:tc>
          <w:tcPr>
            <w:tcW w:w="10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1.56%</w:t>
            </w:r>
          </w:p>
        </w:tc>
        <w:tc>
          <w:tcPr>
            <w:tcW w:w="10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0.79%</w:t>
            </w: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Coverage ratio of PDLs</w:t>
            </w:r>
          </w:p>
        </w:tc>
        <w:tc>
          <w:tcPr>
            <w:tcW w:w="1180" w:type="dxa"/>
            <w:vAlign w:val="bottom"/>
            <w:gridSpan w:val="3"/>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192.3%</w:t>
            </w:r>
          </w:p>
        </w:tc>
        <w:tc>
          <w:tcPr>
            <w:tcW w:w="108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191.8%</w:t>
            </w:r>
          </w:p>
        </w:tc>
        <w:tc>
          <w:tcPr>
            <w:tcW w:w="108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271.9%</w:t>
            </w:r>
          </w:p>
        </w:tc>
        <w:tc>
          <w:tcPr>
            <w:tcW w:w="86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86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line="149" w:lineRule="exact"/>
              <w:rPr>
                <w:sz w:val="20"/>
                <w:szCs w:val="20"/>
                <w:color w:val="auto"/>
              </w:rPr>
            </w:pPr>
            <w:r>
              <w:rPr>
                <w:rFonts w:ascii="Arial" w:cs="Arial" w:eastAsia="Arial" w:hAnsi="Arial"/>
                <w:sz w:val="14"/>
                <w:szCs w:val="14"/>
                <w:color w:val="auto"/>
              </w:rPr>
              <w:t>BIS ratio</w:t>
            </w:r>
          </w:p>
        </w:tc>
        <w:tc>
          <w:tcPr>
            <w:tcW w:w="118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14.5%</w:t>
            </w:r>
          </w:p>
        </w:tc>
        <w:tc>
          <w:tcPr>
            <w:tcW w:w="10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14.5%</w:t>
            </w:r>
          </w:p>
        </w:tc>
        <w:tc>
          <w:tcPr>
            <w:tcW w:w="10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11.5%</w:t>
            </w: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Branches</w:t>
            </w:r>
          </w:p>
        </w:tc>
        <w:tc>
          <w:tcPr>
            <w:tcW w:w="1180" w:type="dxa"/>
            <w:vAlign w:val="bottom"/>
            <w:gridSpan w:val="3"/>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334</w:t>
            </w:r>
          </w:p>
        </w:tc>
        <w:tc>
          <w:tcPr>
            <w:tcW w:w="10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330</w:t>
            </w:r>
          </w:p>
        </w:tc>
        <w:tc>
          <w:tcPr>
            <w:tcW w:w="10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330</w:t>
            </w:r>
          </w:p>
        </w:tc>
        <w:tc>
          <w:tcPr>
            <w:tcW w:w="86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86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line="149" w:lineRule="exact"/>
              <w:rPr>
                <w:sz w:val="20"/>
                <w:szCs w:val="20"/>
                <w:color w:val="auto"/>
              </w:rPr>
            </w:pPr>
            <w:r>
              <w:rPr>
                <w:rFonts w:ascii="Arial" w:cs="Arial" w:eastAsia="Arial" w:hAnsi="Arial"/>
                <w:sz w:val="14"/>
                <w:szCs w:val="14"/>
                <w:color w:val="auto"/>
              </w:rPr>
              <w:t>Agentes BCP</w:t>
            </w:r>
          </w:p>
        </w:tc>
        <w:tc>
          <w:tcPr>
            <w:tcW w:w="118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2,801</w:t>
            </w:r>
          </w:p>
        </w:tc>
        <w:tc>
          <w:tcPr>
            <w:tcW w:w="10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2,435</w:t>
            </w:r>
          </w:p>
        </w:tc>
        <w:tc>
          <w:tcPr>
            <w:tcW w:w="10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1,851</w:t>
            </w: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ATMs</w:t>
            </w:r>
          </w:p>
        </w:tc>
        <w:tc>
          <w:tcPr>
            <w:tcW w:w="1180" w:type="dxa"/>
            <w:vAlign w:val="bottom"/>
            <w:gridSpan w:val="3"/>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996</w:t>
            </w:r>
          </w:p>
        </w:tc>
        <w:tc>
          <w:tcPr>
            <w:tcW w:w="10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951</w:t>
            </w:r>
          </w:p>
        </w:tc>
        <w:tc>
          <w:tcPr>
            <w:tcW w:w="10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890</w:t>
            </w:r>
          </w:p>
        </w:tc>
        <w:tc>
          <w:tcPr>
            <w:tcW w:w="86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86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220" w:type="dxa"/>
            <w:vAlign w:val="bottom"/>
          </w:tcPr>
          <w:p>
            <w:pPr>
              <w:spacing w:after="0"/>
              <w:rPr>
                <w:sz w:val="20"/>
                <w:szCs w:val="20"/>
                <w:color w:val="auto"/>
              </w:rPr>
            </w:pPr>
            <w:r>
              <w:rPr>
                <w:rFonts w:ascii="Arial" w:cs="Arial" w:eastAsia="Arial" w:hAnsi="Arial"/>
                <w:sz w:val="14"/>
                <w:szCs w:val="14"/>
                <w:color w:val="auto"/>
              </w:rPr>
              <w:t>Employees</w:t>
            </w:r>
          </w:p>
        </w:tc>
        <w:tc>
          <w:tcPr>
            <w:tcW w:w="1180" w:type="dxa"/>
            <w:vAlign w:val="bottom"/>
            <w:gridSpan w:val="3"/>
          </w:tcPr>
          <w:p>
            <w:pPr>
              <w:jc w:val="right"/>
              <w:ind w:right="220"/>
              <w:spacing w:after="0"/>
              <w:rPr>
                <w:sz w:val="20"/>
                <w:szCs w:val="20"/>
                <w:color w:val="auto"/>
              </w:rPr>
            </w:pPr>
            <w:r>
              <w:rPr>
                <w:rFonts w:ascii="Arial" w:cs="Arial" w:eastAsia="Arial" w:hAnsi="Arial"/>
                <w:sz w:val="14"/>
                <w:szCs w:val="14"/>
                <w:color w:val="auto"/>
              </w:rPr>
              <w:t>15,501</w:t>
            </w: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15,936</w:t>
            </w: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15,971</w:t>
            </w: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Improved performance in 4Q09 can be explained by:</w:t>
      </w:r>
    </w:p>
    <w:p>
      <w:pPr>
        <w:spacing w:after="0" w:line="252" w:lineRule="exact"/>
        <w:rPr>
          <w:sz w:val="20"/>
          <w:szCs w:val="20"/>
          <w:color w:val="auto"/>
        </w:rPr>
      </w:pPr>
    </w:p>
    <w:p>
      <w:pPr>
        <w:ind w:left="340" w:hanging="8"/>
        <w:spacing w:after="0" w:line="277" w:lineRule="auto"/>
        <w:tabs>
          <w:tab w:leader="none" w:pos="597"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increase in net interest income (NII) due to loan growth that generated higher interest income, which was strengthened by lower interest expenses;</w:t>
      </w:r>
    </w:p>
    <w:p>
      <w:pPr>
        <w:spacing w:after="0" w:line="197" w:lineRule="exact"/>
        <w:rPr>
          <w:rFonts w:ascii="Arial" w:cs="Arial" w:eastAsia="Arial" w:hAnsi="Arial"/>
          <w:sz w:val="18"/>
          <w:szCs w:val="18"/>
          <w:color w:val="auto"/>
        </w:rPr>
      </w:pPr>
    </w:p>
    <w:p>
      <w:pPr>
        <w:ind w:left="340" w:hanging="8"/>
        <w:spacing w:after="0" w:line="277" w:lineRule="auto"/>
        <w:tabs>
          <w:tab w:leader="none" w:pos="1017"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expansion in non-financial income caused by a significant increase in banking services commissions, particularly those from Corporate Finance, subsidiaries and others.</w:t>
      </w:r>
    </w:p>
    <w:p>
      <w:pPr>
        <w:spacing w:after="0" w:line="197" w:lineRule="exact"/>
        <w:rPr>
          <w:rFonts w:ascii="Arial" w:cs="Arial" w:eastAsia="Arial" w:hAnsi="Arial"/>
          <w:sz w:val="18"/>
          <w:szCs w:val="18"/>
          <w:color w:val="auto"/>
        </w:rPr>
      </w:pPr>
    </w:p>
    <w:p>
      <w:pPr>
        <w:ind w:left="340" w:hanging="8"/>
        <w:spacing w:after="0" w:line="277" w:lineRule="auto"/>
        <w:tabs>
          <w:tab w:leader="none" w:pos="988" w:val="left"/>
        </w:tabs>
        <w:numPr>
          <w:ilvl w:val="0"/>
          <w:numId w:val="5"/>
        </w:numPr>
        <w:rPr>
          <w:rFonts w:ascii="Arial" w:cs="Arial" w:eastAsia="Arial" w:hAnsi="Arial"/>
          <w:sz w:val="18"/>
          <w:szCs w:val="18"/>
          <w:color w:val="auto"/>
        </w:rPr>
      </w:pPr>
      <w:r>
        <w:rPr>
          <w:rFonts w:ascii="Arial" w:cs="Arial" w:eastAsia="Arial" w:hAnsi="Arial"/>
          <w:sz w:val="18"/>
          <w:szCs w:val="18"/>
          <w:color w:val="auto"/>
        </w:rPr>
        <w:t>Lower income tax provisions, which were primarily the result of tax effects produced by tax deductible FX related losses on currency indexed instruments that generate tax free interest income, situation that was clarified by the tax regulator in 4Q09.</w:t>
      </w:r>
    </w:p>
    <w:p>
      <w:pPr>
        <w:spacing w:after="0" w:line="197"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BCP’s favorable performance helped offset the strong increase in operating expenses due primarily to higher administrative expenses and a less significant expansion in salaries and employee benefits. Higher administrative expenses are also related to seasonal effects that accumulates costs at the end of the year.</w:t>
      </w:r>
    </w:p>
    <w:p>
      <w:pPr>
        <w:spacing w:after="0" w:line="15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It is important to emphasize that the 9.4% and 9.5% QoQ increases achieved in loan quarter-end balances and average daily balances, respectively, are primarily attributable to an expansion in the domestic currency denominated portfolio both in Retail Banking and Wholesale Banking. Notwithstanding and unlike in the previous quarters, the foreign currency denominated portfolio also experienced an increase this 4Q. Furthermore, it is also noteworthy that loan growth in 4Q09 took place in a context of exchange rate stability (0.21% devaluation of the Nuevo Sol) that contrasts with the scenario observed in other quarters this year.</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4Q09, the expansion of loans and the continuing deceleration in growth of past due loans have generated a past due ratio similar to last quarter’s (1.59% in 4Q09 and 1.56% in 3Q09).</w:t>
      </w:r>
    </w:p>
    <w:p>
      <w:pPr>
        <w:spacing w:after="0" w:line="34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6" w:right="239" w:bottom="1440" w:gutter="0" w:footer="0" w:header="0"/>
        </w:sectPr>
      </w:pPr>
    </w:p>
    <w:bookmarkStart w:id="8" w:name="page9"/>
    <w:bookmarkEnd w:id="8"/>
    <w:p>
      <w:pPr>
        <w:jc w:val="both"/>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6254750</wp:posOffset>
            </wp:positionH>
            <wp:positionV relativeFrom="page">
              <wp:posOffset>337820</wp:posOffset>
            </wp:positionV>
            <wp:extent cx="1149350" cy="3175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1149350" cy="317500"/>
                    </a:xfrm>
                    <a:prstGeom prst="rect">
                      <a:avLst/>
                    </a:prstGeom>
                    <a:noFill/>
                  </pic:spPr>
                </pic:pic>
              </a:graphicData>
            </a:graphic>
          </wp:anchor>
        </w:drawing>
        <w:t>Translation results in Q4 respond to a reversal of a translation loss booked at BCP in Q2 as a result of the effect of the local currency revaluation in that period on declared and not yet paid dividends, which had an equivalent translation gain booked at Credicorp. The reversal is an internal booking and is therefore neutral to the corporation’s bottom line results after consolidation.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Core Revenues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3200" w:type="dxa"/>
            <w:vAlign w:val="bottom"/>
            <w:gridSpan w:val="2"/>
          </w:tcPr>
          <w:p>
            <w:pPr>
              <w:spacing w:after="0"/>
              <w:rPr>
                <w:sz w:val="20"/>
                <w:szCs w:val="20"/>
                <w:color w:val="auto"/>
              </w:rPr>
            </w:pPr>
            <w:r>
              <w:rPr>
                <w:rFonts w:ascii="Arial" w:cs="Arial" w:eastAsia="Arial" w:hAnsi="Arial"/>
                <w:sz w:val="13"/>
                <w:szCs w:val="13"/>
                <w:b w:val="1"/>
                <w:bCs w:val="1"/>
                <w:color w:val="auto"/>
              </w:rPr>
              <w:t>Core Revenues</w:t>
            </w: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3"/>
              </w:rPr>
              <w:t>Quarter</w:t>
            </w: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40" w:type="dxa"/>
            <w:vAlign w:val="bottom"/>
            <w:gridSpan w:val="4"/>
          </w:tcPr>
          <w:p>
            <w:pPr>
              <w:jc w:val="right"/>
              <w:ind w:right="860"/>
              <w:spacing w:after="0"/>
              <w:rPr>
                <w:sz w:val="20"/>
                <w:szCs w:val="20"/>
                <w:color w:val="auto"/>
              </w:rPr>
            </w:pPr>
            <w:r>
              <w:rPr>
                <w:rFonts w:ascii="Arial" w:cs="Arial" w:eastAsia="Arial" w:hAnsi="Arial"/>
                <w:sz w:val="13"/>
                <w:szCs w:val="13"/>
                <w:b w:val="1"/>
                <w:bCs w:val="1"/>
                <w:color w:val="auto"/>
              </w:rPr>
              <w:t>Change %</w:t>
            </w:r>
          </w:p>
        </w:tc>
        <w:tc>
          <w:tcPr>
            <w:tcW w:w="1240" w:type="dxa"/>
            <w:vAlign w:val="bottom"/>
            <w:gridSpan w:val="3"/>
          </w:tcPr>
          <w:p>
            <w:pPr>
              <w:ind w:left="600"/>
              <w:spacing w:after="0"/>
              <w:rPr>
                <w:sz w:val="20"/>
                <w:szCs w:val="20"/>
                <w:color w:val="auto"/>
              </w:rPr>
            </w:pPr>
            <w:r>
              <w:rPr>
                <w:rFonts w:ascii="Arial" w:cs="Arial" w:eastAsia="Arial" w:hAnsi="Arial"/>
                <w:sz w:val="13"/>
                <w:szCs w:val="13"/>
                <w:b w:val="1"/>
                <w:bCs w:val="1"/>
                <w:color w:val="auto"/>
                <w:w w:val="88"/>
              </w:rPr>
              <w:t>Year ended</w:t>
            </w: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gridSpan w:val="2"/>
          </w:tcPr>
          <w:p>
            <w:pPr>
              <w:ind w:left="100"/>
              <w:spacing w:after="0"/>
              <w:rPr>
                <w:sz w:val="20"/>
                <w:szCs w:val="20"/>
                <w:color w:val="auto"/>
              </w:rPr>
            </w:pPr>
            <w:r>
              <w:rPr>
                <w:rFonts w:ascii="Arial" w:cs="Arial" w:eastAsia="Arial" w:hAnsi="Arial"/>
                <w:sz w:val="13"/>
                <w:szCs w:val="13"/>
                <w:b w:val="1"/>
                <w:bCs w:val="1"/>
                <w:color w:val="auto"/>
              </w:rPr>
              <w:t>Change %</w:t>
            </w:r>
          </w:p>
        </w:tc>
        <w:tc>
          <w:tcPr>
            <w:tcW w:w="0" w:type="dxa"/>
            <w:vAlign w:val="bottom"/>
          </w:tcPr>
          <w:p>
            <w:pPr>
              <w:spacing w:after="0"/>
              <w:rPr>
                <w:sz w:val="1"/>
                <w:szCs w:val="1"/>
                <w:color w:val="auto"/>
              </w:rPr>
            </w:pPr>
          </w:p>
        </w:tc>
      </w:tr>
      <w:tr>
        <w:trPr>
          <w:trHeight w:val="135"/>
        </w:trPr>
        <w:tc>
          <w:tcPr>
            <w:tcW w:w="3200" w:type="dxa"/>
            <w:vAlign w:val="bottom"/>
            <w:tcBorders>
              <w:top w:val="single" w:sz="8" w:color="auto"/>
            </w:tcBorders>
            <w:gridSpan w:val="2"/>
          </w:tcPr>
          <w:p>
            <w:pPr>
              <w:spacing w:after="0" w:line="135" w:lineRule="exact"/>
              <w:rPr>
                <w:sz w:val="20"/>
                <w:szCs w:val="20"/>
                <w:color w:val="auto"/>
              </w:rPr>
            </w:pPr>
            <w:r>
              <w:rPr>
                <w:rFonts w:ascii="Arial" w:cs="Arial" w:eastAsia="Arial" w:hAnsi="Arial"/>
                <w:sz w:val="13"/>
                <w:szCs w:val="13"/>
                <w:b w:val="1"/>
                <w:bCs w:val="1"/>
                <w:color w:val="auto"/>
              </w:rPr>
              <w:t>US$ 000</w:t>
            </w:r>
          </w:p>
        </w:tc>
        <w:tc>
          <w:tcPr>
            <w:tcW w:w="140" w:type="dxa"/>
            <w:vAlign w:val="bottom"/>
          </w:tcPr>
          <w:p>
            <w:pPr>
              <w:spacing w:after="0"/>
              <w:rPr>
                <w:sz w:val="11"/>
                <w:szCs w:val="11"/>
                <w:color w:val="auto"/>
              </w:rPr>
            </w:pPr>
          </w:p>
        </w:tc>
        <w:tc>
          <w:tcPr>
            <w:tcW w:w="1040" w:type="dxa"/>
            <w:vAlign w:val="bottom"/>
            <w:tcBorders>
              <w:top w:val="single" w:sz="8" w:color="auto"/>
            </w:tcBorders>
            <w:gridSpan w:val="2"/>
          </w:tcPr>
          <w:p>
            <w:pPr>
              <w:ind w:left="260"/>
              <w:spacing w:after="0" w:line="135" w:lineRule="exact"/>
              <w:rPr>
                <w:sz w:val="20"/>
                <w:szCs w:val="20"/>
                <w:color w:val="auto"/>
              </w:rPr>
            </w:pPr>
            <w:r>
              <w:rPr>
                <w:rFonts w:ascii="Arial" w:cs="Arial" w:eastAsia="Arial" w:hAnsi="Arial"/>
                <w:sz w:val="13"/>
                <w:szCs w:val="13"/>
                <w:b w:val="1"/>
                <w:bCs w:val="1"/>
                <w:color w:val="auto"/>
              </w:rPr>
              <w:t>4Q09</w:t>
            </w:r>
          </w:p>
        </w:tc>
        <w:tc>
          <w:tcPr>
            <w:tcW w:w="1060" w:type="dxa"/>
            <w:vAlign w:val="bottom"/>
            <w:tcBorders>
              <w:top w:val="single" w:sz="8" w:color="auto"/>
            </w:tcBorders>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4"/>
              </w:rPr>
              <w:t>3Q09</w:t>
            </w:r>
          </w:p>
        </w:tc>
        <w:tc>
          <w:tcPr>
            <w:tcW w:w="800" w:type="dxa"/>
            <w:vAlign w:val="bottom"/>
            <w:tcBorders>
              <w:top w:val="single" w:sz="8" w:color="auto"/>
            </w:tcBorders>
          </w:tcPr>
          <w:p>
            <w:pPr>
              <w:jc w:val="right"/>
              <w:ind w:right="197"/>
              <w:spacing w:after="0" w:line="135" w:lineRule="exact"/>
              <w:rPr>
                <w:sz w:val="20"/>
                <w:szCs w:val="20"/>
                <w:color w:val="auto"/>
              </w:rPr>
            </w:pPr>
            <w:r>
              <w:rPr>
                <w:rFonts w:ascii="Arial" w:cs="Arial" w:eastAsia="Arial" w:hAnsi="Arial"/>
                <w:sz w:val="13"/>
                <w:szCs w:val="13"/>
                <w:b w:val="1"/>
                <w:bCs w:val="1"/>
                <w:color w:val="auto"/>
              </w:rPr>
              <w:t>4Q08</w:t>
            </w:r>
          </w:p>
        </w:tc>
        <w:tc>
          <w:tcPr>
            <w:tcW w:w="220" w:type="dxa"/>
            <w:vAlign w:val="bottom"/>
          </w:tcPr>
          <w:p>
            <w:pPr>
              <w:spacing w:after="0"/>
              <w:rPr>
                <w:sz w:val="11"/>
                <w:szCs w:val="11"/>
                <w:color w:val="auto"/>
              </w:rPr>
            </w:pPr>
          </w:p>
        </w:tc>
        <w:tc>
          <w:tcPr>
            <w:tcW w:w="1020" w:type="dxa"/>
            <w:vAlign w:val="bottom"/>
            <w:tcBorders>
              <w:top w:val="single" w:sz="8" w:color="auto"/>
            </w:tcBorders>
            <w:gridSpan w:val="2"/>
          </w:tcPr>
          <w:p>
            <w:pPr>
              <w:jc w:val="right"/>
              <w:ind w:right="340"/>
              <w:spacing w:after="0" w:line="135" w:lineRule="exact"/>
              <w:rPr>
                <w:sz w:val="20"/>
                <w:szCs w:val="20"/>
                <w:color w:val="auto"/>
              </w:rPr>
            </w:pPr>
            <w:r>
              <w:rPr>
                <w:rFonts w:ascii="Arial" w:cs="Arial" w:eastAsia="Arial" w:hAnsi="Arial"/>
                <w:sz w:val="13"/>
                <w:szCs w:val="13"/>
                <w:b w:val="1"/>
                <w:bCs w:val="1"/>
                <w:color w:val="auto"/>
                <w:w w:val="98"/>
              </w:rPr>
              <w:t>4Q09/4Q08</w:t>
            </w:r>
          </w:p>
        </w:tc>
        <w:tc>
          <w:tcPr>
            <w:tcW w:w="780" w:type="dxa"/>
            <w:vAlign w:val="bottom"/>
            <w:tcBorders>
              <w:top w:val="single" w:sz="8" w:color="auto"/>
            </w:tcBorders>
          </w:tcPr>
          <w:p>
            <w:pPr>
              <w:jc w:val="right"/>
              <w:ind w:right="17"/>
              <w:spacing w:after="0" w:line="135" w:lineRule="exact"/>
              <w:rPr>
                <w:sz w:val="20"/>
                <w:szCs w:val="20"/>
                <w:color w:val="auto"/>
              </w:rPr>
            </w:pPr>
            <w:r>
              <w:rPr>
                <w:rFonts w:ascii="Arial" w:cs="Arial" w:eastAsia="Arial" w:hAnsi="Arial"/>
                <w:sz w:val="13"/>
                <w:szCs w:val="13"/>
                <w:b w:val="1"/>
                <w:bCs w:val="1"/>
                <w:color w:val="auto"/>
              </w:rPr>
              <w:t>4Q09/3Q09</w:t>
            </w:r>
          </w:p>
        </w:tc>
        <w:tc>
          <w:tcPr>
            <w:tcW w:w="240" w:type="dxa"/>
            <w:vAlign w:val="bottom"/>
          </w:tcPr>
          <w:p>
            <w:pPr>
              <w:spacing w:after="0"/>
              <w:rPr>
                <w:sz w:val="11"/>
                <w:szCs w:val="11"/>
                <w:color w:val="auto"/>
              </w:rPr>
            </w:pPr>
          </w:p>
        </w:tc>
        <w:tc>
          <w:tcPr>
            <w:tcW w:w="780" w:type="dxa"/>
            <w:vAlign w:val="bottom"/>
            <w:tcBorders>
              <w:top w:val="single" w:sz="8" w:color="auto"/>
            </w:tcBorders>
          </w:tcPr>
          <w:p>
            <w:pPr>
              <w:jc w:val="right"/>
              <w:ind w:right="197"/>
              <w:spacing w:after="0" w:line="135" w:lineRule="exact"/>
              <w:rPr>
                <w:sz w:val="20"/>
                <w:szCs w:val="20"/>
                <w:color w:val="auto"/>
              </w:rPr>
            </w:pPr>
            <w:r>
              <w:rPr>
                <w:rFonts w:ascii="Arial" w:cs="Arial" w:eastAsia="Arial" w:hAnsi="Arial"/>
                <w:sz w:val="13"/>
                <w:szCs w:val="13"/>
                <w:b w:val="1"/>
                <w:bCs w:val="1"/>
                <w:color w:val="auto"/>
              </w:rPr>
              <w:t>2009</w:t>
            </w:r>
          </w:p>
        </w:tc>
        <w:tc>
          <w:tcPr>
            <w:tcW w:w="22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right"/>
              <w:ind w:right="197"/>
              <w:spacing w:after="0" w:line="135" w:lineRule="exact"/>
              <w:rPr>
                <w:sz w:val="20"/>
                <w:szCs w:val="20"/>
                <w:color w:val="auto"/>
              </w:rPr>
            </w:pPr>
            <w:r>
              <w:rPr>
                <w:rFonts w:ascii="Arial" w:cs="Arial" w:eastAsia="Arial" w:hAnsi="Arial"/>
                <w:sz w:val="13"/>
                <w:szCs w:val="13"/>
                <w:b w:val="1"/>
                <w:bCs w:val="1"/>
                <w:color w:val="auto"/>
                <w:w w:val="89"/>
              </w:rPr>
              <w:t>2008</w:t>
            </w:r>
          </w:p>
        </w:tc>
        <w:tc>
          <w:tcPr>
            <w:tcW w:w="220" w:type="dxa"/>
            <w:vAlign w:val="bottom"/>
          </w:tcPr>
          <w:p>
            <w:pPr>
              <w:spacing w:after="0"/>
              <w:rPr>
                <w:sz w:val="11"/>
                <w:szCs w:val="11"/>
                <w:color w:val="auto"/>
              </w:rPr>
            </w:pPr>
          </w:p>
        </w:tc>
        <w:tc>
          <w:tcPr>
            <w:tcW w:w="780" w:type="dxa"/>
            <w:vAlign w:val="bottom"/>
            <w:tcBorders>
              <w:top w:val="single" w:sz="8" w:color="auto"/>
            </w:tcBorders>
          </w:tcPr>
          <w:p>
            <w:pPr>
              <w:ind w:left="120"/>
              <w:spacing w:after="0" w:line="135" w:lineRule="exact"/>
              <w:rPr>
                <w:sz w:val="20"/>
                <w:szCs w:val="20"/>
                <w:color w:val="auto"/>
              </w:rPr>
            </w:pPr>
            <w:r>
              <w:rPr>
                <w:rFonts w:ascii="Arial" w:cs="Arial" w:eastAsia="Arial" w:hAnsi="Arial"/>
                <w:sz w:val="13"/>
                <w:szCs w:val="13"/>
                <w:b w:val="1"/>
                <w:bCs w:val="1"/>
                <w:color w:val="auto"/>
              </w:rPr>
              <w:t>2009/2008</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1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vMerge w:val="continue"/>
          </w:tcPr>
          <w:p>
            <w:pPr>
              <w:spacing w:after="0"/>
              <w:rPr>
                <w:sz w:val="11"/>
                <w:szCs w:val="11"/>
                <w:color w:val="auto"/>
              </w:rPr>
            </w:pPr>
          </w:p>
        </w:tc>
        <w:tc>
          <w:tcPr>
            <w:tcW w:w="318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Net interest and dividend income</w:t>
            </w:r>
          </w:p>
        </w:tc>
        <w:tc>
          <w:tcPr>
            <w:tcW w:w="140" w:type="dxa"/>
            <w:vAlign w:val="bottom"/>
            <w:shd w:val="clear" w:color="auto" w:fill="CCFFCC"/>
          </w:tcPr>
          <w:p>
            <w:pPr>
              <w:spacing w:after="0"/>
              <w:rPr>
                <w:sz w:val="11"/>
                <w:szCs w:val="11"/>
                <w:color w:val="auto"/>
              </w:rPr>
            </w:pPr>
          </w:p>
        </w:tc>
        <w:tc>
          <w:tcPr>
            <w:tcW w:w="80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211,233</w:t>
            </w:r>
          </w:p>
        </w:tc>
        <w:tc>
          <w:tcPr>
            <w:tcW w:w="240" w:type="dxa"/>
            <w:vAlign w:val="bottom"/>
            <w:shd w:val="clear" w:color="auto" w:fill="CCFFCC"/>
          </w:tcPr>
          <w:p>
            <w:pPr>
              <w:spacing w:after="0"/>
              <w:rPr>
                <w:sz w:val="11"/>
                <w:szCs w:val="11"/>
                <w:color w:val="auto"/>
              </w:rPr>
            </w:pPr>
          </w:p>
        </w:tc>
        <w:tc>
          <w:tcPr>
            <w:tcW w:w="82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197,262</w:t>
            </w:r>
          </w:p>
        </w:tc>
        <w:tc>
          <w:tcPr>
            <w:tcW w:w="240" w:type="dxa"/>
            <w:vAlign w:val="bottom"/>
            <w:shd w:val="clear" w:color="auto" w:fill="CCFFCC"/>
          </w:tcPr>
          <w:p>
            <w:pPr>
              <w:spacing w:after="0"/>
              <w:rPr>
                <w:sz w:val="11"/>
                <w:szCs w:val="11"/>
                <w:color w:val="auto"/>
              </w:rPr>
            </w:pPr>
          </w:p>
        </w:tc>
        <w:tc>
          <w:tcPr>
            <w:tcW w:w="80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189,322</w:t>
            </w:r>
          </w:p>
        </w:tc>
        <w:tc>
          <w:tcPr>
            <w:tcW w:w="220" w:type="dxa"/>
            <w:vAlign w:val="bottom"/>
            <w:shd w:val="clear" w:color="auto" w:fill="CCFFCC"/>
          </w:tcPr>
          <w:p>
            <w:pPr>
              <w:spacing w:after="0"/>
              <w:rPr>
                <w:sz w:val="11"/>
                <w:szCs w:val="11"/>
                <w:color w:val="auto"/>
              </w:rPr>
            </w:pPr>
          </w:p>
        </w:tc>
        <w:tc>
          <w:tcPr>
            <w:tcW w:w="10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11.6%</w:t>
            </w:r>
          </w:p>
        </w:tc>
        <w:tc>
          <w:tcPr>
            <w:tcW w:w="10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7.1%</w:t>
            </w:r>
          </w:p>
        </w:tc>
        <w:tc>
          <w:tcPr>
            <w:tcW w:w="10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798,217</w:t>
            </w:r>
          </w:p>
        </w:tc>
        <w:tc>
          <w:tcPr>
            <w:tcW w:w="240" w:type="dxa"/>
            <w:vAlign w:val="bottom"/>
            <w:shd w:val="clear" w:color="auto" w:fill="CCFFCC"/>
          </w:tcPr>
          <w:p>
            <w:pPr>
              <w:spacing w:after="0"/>
              <w:rPr>
                <w:sz w:val="11"/>
                <w:szCs w:val="11"/>
                <w:color w:val="auto"/>
              </w:rPr>
            </w:pPr>
          </w:p>
        </w:tc>
        <w:tc>
          <w:tcPr>
            <w:tcW w:w="76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728,583</w:t>
            </w:r>
          </w:p>
        </w:tc>
        <w:tc>
          <w:tcPr>
            <w:tcW w:w="920" w:type="dxa"/>
            <w:vAlign w:val="bottom"/>
            <w:gridSpan w:val="2"/>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9.6%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80" w:type="dxa"/>
            <w:vAlign w:val="bottom"/>
          </w:tcPr>
          <w:p>
            <w:pPr>
              <w:spacing w:after="0" w:line="135" w:lineRule="exact"/>
              <w:rPr>
                <w:sz w:val="20"/>
                <w:szCs w:val="20"/>
                <w:color w:val="auto"/>
              </w:rPr>
            </w:pPr>
            <w:r>
              <w:rPr>
                <w:rFonts w:ascii="Arial" w:cs="Arial" w:eastAsia="Arial" w:hAnsi="Arial"/>
                <w:sz w:val="13"/>
                <w:szCs w:val="13"/>
                <w:color w:val="auto"/>
              </w:rPr>
              <w:t>Fee income, net</w:t>
            </w:r>
          </w:p>
        </w:tc>
        <w:tc>
          <w:tcPr>
            <w:tcW w:w="9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109,546</w:t>
            </w:r>
          </w:p>
        </w:tc>
        <w:tc>
          <w:tcPr>
            <w:tcW w:w="240" w:type="dxa"/>
            <w:vAlign w:val="bottom"/>
          </w:tcPr>
          <w:p>
            <w:pPr>
              <w:spacing w:after="0"/>
              <w:rPr>
                <w:sz w:val="11"/>
                <w:szCs w:val="11"/>
                <w:color w:val="auto"/>
              </w:rPr>
            </w:pPr>
          </w:p>
        </w:tc>
        <w:tc>
          <w:tcPr>
            <w:tcW w:w="10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93,348</w:t>
            </w:r>
          </w:p>
        </w:tc>
        <w:tc>
          <w:tcPr>
            <w:tcW w:w="10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84,826</w:t>
            </w:r>
          </w:p>
        </w:tc>
        <w:tc>
          <w:tcPr>
            <w:tcW w:w="10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29.1%</w:t>
            </w:r>
          </w:p>
        </w:tc>
        <w:tc>
          <w:tcPr>
            <w:tcW w:w="10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17.4%</w:t>
            </w:r>
          </w:p>
        </w:tc>
        <w:tc>
          <w:tcPr>
            <w:tcW w:w="10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368,067</w:t>
            </w:r>
          </w:p>
        </w:tc>
        <w:tc>
          <w:tcPr>
            <w:tcW w:w="240" w:type="dxa"/>
            <w:vAlign w:val="bottom"/>
          </w:tcPr>
          <w:p>
            <w:pPr>
              <w:spacing w:after="0"/>
              <w:rPr>
                <w:sz w:val="11"/>
                <w:szCs w:val="11"/>
                <w:color w:val="auto"/>
              </w:rPr>
            </w:pPr>
          </w:p>
        </w:tc>
        <w:tc>
          <w:tcPr>
            <w:tcW w:w="7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336,844</w:t>
            </w:r>
          </w:p>
        </w:tc>
        <w:tc>
          <w:tcPr>
            <w:tcW w:w="92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9.3%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8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Net gain on foreign exchange transactions</w:t>
            </w:r>
          </w:p>
        </w:tc>
        <w:tc>
          <w:tcPr>
            <w:tcW w:w="140" w:type="dxa"/>
            <w:vAlign w:val="bottom"/>
            <w:shd w:val="clear" w:color="auto" w:fill="CCFFCC"/>
          </w:tcPr>
          <w:p>
            <w:pPr>
              <w:spacing w:after="0"/>
              <w:rPr>
                <w:sz w:val="11"/>
                <w:szCs w:val="11"/>
                <w:color w:val="auto"/>
              </w:rPr>
            </w:pPr>
          </w:p>
        </w:tc>
        <w:tc>
          <w:tcPr>
            <w:tcW w:w="80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23,430</w:t>
            </w:r>
          </w:p>
        </w:tc>
        <w:tc>
          <w:tcPr>
            <w:tcW w:w="240" w:type="dxa"/>
            <w:vAlign w:val="bottom"/>
            <w:shd w:val="clear" w:color="auto" w:fill="CCFFCC"/>
          </w:tcPr>
          <w:p>
            <w:pPr>
              <w:spacing w:after="0"/>
              <w:rPr>
                <w:sz w:val="11"/>
                <w:szCs w:val="11"/>
                <w:color w:val="auto"/>
              </w:rPr>
            </w:pPr>
          </w:p>
        </w:tc>
        <w:tc>
          <w:tcPr>
            <w:tcW w:w="82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25,559</w:t>
            </w:r>
          </w:p>
        </w:tc>
        <w:tc>
          <w:tcPr>
            <w:tcW w:w="240" w:type="dxa"/>
            <w:vAlign w:val="bottom"/>
            <w:shd w:val="clear" w:color="auto" w:fill="CCFFCC"/>
          </w:tcPr>
          <w:p>
            <w:pPr>
              <w:spacing w:after="0"/>
              <w:rPr>
                <w:sz w:val="11"/>
                <w:szCs w:val="11"/>
                <w:color w:val="auto"/>
              </w:rPr>
            </w:pPr>
          </w:p>
        </w:tc>
        <w:tc>
          <w:tcPr>
            <w:tcW w:w="80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33,175</w:t>
            </w:r>
          </w:p>
        </w:tc>
        <w:tc>
          <w:tcPr>
            <w:tcW w:w="220" w:type="dxa"/>
            <w:vAlign w:val="bottom"/>
            <w:shd w:val="clear" w:color="auto" w:fill="CCFFCC"/>
          </w:tcPr>
          <w:p>
            <w:pPr>
              <w:spacing w:after="0"/>
              <w:rPr>
                <w:sz w:val="11"/>
                <w:szCs w:val="11"/>
                <w:color w:val="auto"/>
              </w:rPr>
            </w:pPr>
          </w:p>
        </w:tc>
        <w:tc>
          <w:tcPr>
            <w:tcW w:w="10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-29.4%</w:t>
            </w:r>
          </w:p>
        </w:tc>
        <w:tc>
          <w:tcPr>
            <w:tcW w:w="10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-8.3%</w:t>
            </w:r>
          </w:p>
        </w:tc>
        <w:tc>
          <w:tcPr>
            <w:tcW w:w="10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93,462</w:t>
            </w:r>
          </w:p>
        </w:tc>
        <w:tc>
          <w:tcPr>
            <w:tcW w:w="240" w:type="dxa"/>
            <w:vAlign w:val="bottom"/>
            <w:shd w:val="clear" w:color="auto" w:fill="CCFFCC"/>
          </w:tcPr>
          <w:p>
            <w:pPr>
              <w:spacing w:after="0"/>
              <w:rPr>
                <w:sz w:val="11"/>
                <w:szCs w:val="11"/>
                <w:color w:val="auto"/>
              </w:rPr>
            </w:pPr>
          </w:p>
        </w:tc>
        <w:tc>
          <w:tcPr>
            <w:tcW w:w="76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109,032</w:t>
            </w:r>
          </w:p>
        </w:tc>
        <w:tc>
          <w:tcPr>
            <w:tcW w:w="920" w:type="dxa"/>
            <w:vAlign w:val="bottom"/>
            <w:gridSpan w:val="2"/>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-14.3%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180" w:type="dxa"/>
            <w:vAlign w:val="bottom"/>
            <w:shd w:val="clear" w:color="auto" w:fill="CCFFCC"/>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vMerge w:val="continue"/>
          </w:tcPr>
          <w:p>
            <w:pPr>
              <w:spacing w:after="0"/>
              <w:rPr>
                <w:sz w:val="11"/>
                <w:szCs w:val="11"/>
                <w:color w:val="auto"/>
              </w:rPr>
            </w:pPr>
          </w:p>
        </w:tc>
        <w:tc>
          <w:tcPr>
            <w:tcW w:w="3180" w:type="dxa"/>
            <w:vAlign w:val="bottom"/>
          </w:tcPr>
          <w:p>
            <w:pPr>
              <w:spacing w:after="0" w:line="135" w:lineRule="exact"/>
              <w:rPr>
                <w:sz w:val="20"/>
                <w:szCs w:val="20"/>
                <w:color w:val="auto"/>
              </w:rPr>
            </w:pPr>
            <w:r>
              <w:rPr>
                <w:rFonts w:ascii="Arial" w:cs="Arial" w:eastAsia="Arial" w:hAnsi="Arial"/>
                <w:sz w:val="13"/>
                <w:szCs w:val="13"/>
                <w:b w:val="1"/>
                <w:bCs w:val="1"/>
                <w:color w:val="auto"/>
              </w:rPr>
              <w:t>Core Revenues</w:t>
            </w:r>
          </w:p>
        </w:tc>
        <w:tc>
          <w:tcPr>
            <w:tcW w:w="14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344,209</w:t>
            </w:r>
          </w:p>
        </w:tc>
        <w:tc>
          <w:tcPr>
            <w:tcW w:w="24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316,169</w:t>
            </w:r>
          </w:p>
        </w:tc>
        <w:tc>
          <w:tcPr>
            <w:tcW w:w="24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307,323</w:t>
            </w:r>
          </w:p>
        </w:tc>
        <w:tc>
          <w:tcPr>
            <w:tcW w:w="220" w:type="dxa"/>
            <w:vAlign w:val="bottom"/>
          </w:tcPr>
          <w:p>
            <w:pPr>
              <w:spacing w:after="0"/>
              <w:rPr>
                <w:sz w:val="11"/>
                <w:szCs w:val="11"/>
                <w:color w:val="auto"/>
              </w:rPr>
            </w:pPr>
          </w:p>
        </w:tc>
        <w:tc>
          <w:tcPr>
            <w:tcW w:w="1020" w:type="dxa"/>
            <w:vAlign w:val="bottom"/>
            <w:gridSpan w:val="2"/>
          </w:tcPr>
          <w:p>
            <w:pPr>
              <w:jc w:val="right"/>
              <w:ind w:right="120"/>
              <w:spacing w:after="0" w:line="135" w:lineRule="exact"/>
              <w:rPr>
                <w:sz w:val="20"/>
                <w:szCs w:val="20"/>
                <w:color w:val="auto"/>
              </w:rPr>
            </w:pPr>
            <w:r>
              <w:rPr>
                <w:rFonts w:ascii="Arial" w:cs="Arial" w:eastAsia="Arial" w:hAnsi="Arial"/>
                <w:sz w:val="13"/>
                <w:szCs w:val="13"/>
                <w:b w:val="1"/>
                <w:bCs w:val="1"/>
                <w:color w:val="auto"/>
              </w:rPr>
              <w:t>12.0%</w:t>
            </w:r>
          </w:p>
        </w:tc>
        <w:tc>
          <w:tcPr>
            <w:tcW w:w="1020" w:type="dxa"/>
            <w:vAlign w:val="bottom"/>
            <w:gridSpan w:val="2"/>
          </w:tcPr>
          <w:p>
            <w:pPr>
              <w:jc w:val="right"/>
              <w:ind w:right="120"/>
              <w:spacing w:after="0" w:line="135" w:lineRule="exact"/>
              <w:rPr>
                <w:sz w:val="20"/>
                <w:szCs w:val="20"/>
                <w:color w:val="auto"/>
              </w:rPr>
            </w:pPr>
            <w:r>
              <w:rPr>
                <w:rFonts w:ascii="Arial" w:cs="Arial" w:eastAsia="Arial" w:hAnsi="Arial"/>
                <w:sz w:val="13"/>
                <w:szCs w:val="13"/>
                <w:b w:val="1"/>
                <w:bCs w:val="1"/>
                <w:color w:val="auto"/>
              </w:rPr>
              <w:t>8.9%</w:t>
            </w:r>
          </w:p>
        </w:tc>
        <w:tc>
          <w:tcPr>
            <w:tcW w:w="1000" w:type="dxa"/>
            <w:vAlign w:val="bottom"/>
            <w:gridSpan w:val="2"/>
          </w:tcPr>
          <w:p>
            <w:pPr>
              <w:jc w:val="right"/>
              <w:ind w:right="220"/>
              <w:spacing w:after="0" w:line="135" w:lineRule="exact"/>
              <w:rPr>
                <w:sz w:val="20"/>
                <w:szCs w:val="20"/>
                <w:color w:val="auto"/>
              </w:rPr>
            </w:pPr>
            <w:r>
              <w:rPr>
                <w:rFonts w:ascii="Arial" w:cs="Arial" w:eastAsia="Arial" w:hAnsi="Arial"/>
                <w:sz w:val="13"/>
                <w:szCs w:val="13"/>
                <w:b w:val="1"/>
                <w:bCs w:val="1"/>
                <w:color w:val="auto"/>
              </w:rPr>
              <w:t>1,259,746</w:t>
            </w:r>
          </w:p>
        </w:tc>
        <w:tc>
          <w:tcPr>
            <w:tcW w:w="240" w:type="dxa"/>
            <w:vAlign w:val="bottom"/>
          </w:tcPr>
          <w:p>
            <w:pPr>
              <w:spacing w:after="0"/>
              <w:rPr>
                <w:sz w:val="11"/>
                <w:szCs w:val="11"/>
                <w:color w:val="auto"/>
              </w:rPr>
            </w:pPr>
          </w:p>
        </w:tc>
        <w:tc>
          <w:tcPr>
            <w:tcW w:w="760" w:type="dxa"/>
            <w:vAlign w:val="bottom"/>
            <w:gridSpan w:val="2"/>
          </w:tcPr>
          <w:p>
            <w:pPr>
              <w:jc w:val="right"/>
              <w:ind w:right="220"/>
              <w:spacing w:after="0" w:line="135" w:lineRule="exact"/>
              <w:rPr>
                <w:sz w:val="20"/>
                <w:szCs w:val="20"/>
                <w:color w:val="auto"/>
              </w:rPr>
            </w:pPr>
            <w:r>
              <w:rPr>
                <w:rFonts w:ascii="Arial" w:cs="Arial" w:eastAsia="Arial" w:hAnsi="Arial"/>
                <w:sz w:val="13"/>
                <w:szCs w:val="13"/>
                <w:b w:val="1"/>
                <w:bCs w:val="1"/>
                <w:color w:val="auto"/>
                <w:w w:val="89"/>
              </w:rPr>
              <w:t>1,174,459</w:t>
            </w:r>
          </w:p>
        </w:tc>
        <w:tc>
          <w:tcPr>
            <w:tcW w:w="920" w:type="dxa"/>
            <w:vAlign w:val="bottom"/>
            <w:gridSpan w:val="2"/>
          </w:tcPr>
          <w:p>
            <w:pPr>
              <w:jc w:val="right"/>
              <w:spacing w:after="0" w:line="135" w:lineRule="exact"/>
              <w:rPr>
                <w:sz w:val="20"/>
                <w:szCs w:val="20"/>
                <w:color w:val="auto"/>
              </w:rPr>
            </w:pPr>
            <w:r>
              <w:rPr>
                <w:rFonts w:ascii="Arial" w:cs="Arial" w:eastAsia="Arial" w:hAnsi="Arial"/>
                <w:sz w:val="13"/>
                <w:szCs w:val="13"/>
                <w:b w:val="1"/>
                <w:bCs w:val="1"/>
                <w:color w:val="auto"/>
              </w:rPr>
              <w:t>7.3%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4Q09, BCP’s operating income totaled US$ 344.2 million. This figure was 8.9% higher than the US$ 316.2 million obtained in 3Q09 and 12.0% above the US$ 307.3 million generated in 4Q08. This result is in line with the increase observed in economic activity at the end of 2009 and represents the year’s highest quarterly revenues. Favorable performance can be explained primarily by:</w:t>
      </w:r>
    </w:p>
    <w:p>
      <w:pPr>
        <w:spacing w:after="0" w:line="208" w:lineRule="exact"/>
        <w:rPr>
          <w:sz w:val="20"/>
          <w:szCs w:val="20"/>
          <w:color w:val="auto"/>
        </w:rPr>
      </w:pPr>
    </w:p>
    <w:p>
      <w:pPr>
        <w:ind w:left="580" w:hanging="248"/>
        <w:spacing w:after="0"/>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increase in NII due to higher interest income on loans and lower interest expenses due to lower interests on deposits; and</w:t>
      </w:r>
    </w:p>
    <w:p>
      <w:pPr>
        <w:spacing w:after="0" w:line="252" w:lineRule="exact"/>
        <w:rPr>
          <w:rFonts w:ascii="Arial" w:cs="Arial" w:eastAsia="Arial" w:hAnsi="Arial"/>
          <w:sz w:val="18"/>
          <w:szCs w:val="18"/>
          <w:color w:val="auto"/>
        </w:rPr>
      </w:pPr>
    </w:p>
    <w:p>
      <w:pPr>
        <w:ind w:left="340" w:hanging="8"/>
        <w:spacing w:after="0" w:line="277" w:lineRule="auto"/>
        <w:tabs>
          <w:tab w:leader="none" w:pos="956"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significant growth in banking services commissions, attributable primarily to Corporate Finance, Credifondo, Credileasing and credit card transactions.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Accumulated Results in 2009</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2009, BCP’s business took place in a scenario characterized by a contraction in the demand for loans due to the global economic downturn. In this context, BCP recorded net income for US$ 397.4 million in 2009, which indicates only a moderate 6.2% decline with regard to the US$ 423.5 million registered in 2008.</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significant increases of 222.0% and 12.0% registered in loan provisions and operating expenses, respectively, represented the principal causes of this decline but were significantly mitigated by:</w:t>
      </w:r>
    </w:p>
    <w:p>
      <w:pPr>
        <w:spacing w:after="0" w:line="197" w:lineRule="exact"/>
        <w:rPr>
          <w:sz w:val="20"/>
          <w:szCs w:val="20"/>
          <w:color w:val="auto"/>
        </w:rPr>
      </w:pPr>
    </w:p>
    <w:p>
      <w:pPr>
        <w:ind w:left="340" w:hanging="8"/>
        <w:spacing w:after="0" w:line="308" w:lineRule="auto"/>
        <w:tabs>
          <w:tab w:leader="none" w:pos="599"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7.3% increase in operating income due to adequate and effective financial management, which translated into 9.6% and 9.3% growth in NII and banking services commissions, respectively, despite the sluggish market environment and business slowdown and the dropping interest rates;</w:t>
      </w:r>
    </w:p>
    <w:p>
      <w:pPr>
        <w:spacing w:after="0" w:line="173" w:lineRule="exact"/>
        <w:rPr>
          <w:rFonts w:ascii="Arial" w:cs="Arial" w:eastAsia="Arial" w:hAnsi="Arial"/>
          <w:sz w:val="17"/>
          <w:szCs w:val="17"/>
          <w:color w:val="auto"/>
        </w:rPr>
      </w:pPr>
    </w:p>
    <w:p>
      <w:pPr>
        <w:ind w:left="340" w:hanging="8"/>
        <w:spacing w:after="0" w:line="277" w:lineRule="auto"/>
        <w:tabs>
          <w:tab w:leader="none" w:pos="928" w:val="left"/>
        </w:tabs>
        <w:numPr>
          <w:ilvl w:val="0"/>
          <w:numId w:val="7"/>
        </w:numPr>
        <w:rPr>
          <w:rFonts w:ascii="Arial" w:cs="Arial" w:eastAsia="Arial" w:hAnsi="Arial"/>
          <w:sz w:val="18"/>
          <w:szCs w:val="18"/>
          <w:color w:val="auto"/>
        </w:rPr>
      </w:pPr>
      <w:r>
        <w:rPr>
          <w:rFonts w:ascii="Arial" w:cs="Arial" w:eastAsia="Arial" w:hAnsi="Arial"/>
          <w:sz w:val="18"/>
          <w:szCs w:val="18"/>
          <w:color w:val="auto"/>
        </w:rPr>
        <w:t>Higher earnings on securities sales (+162.7%) attributable to timely treasury management reflected in the identification of an opportunity in the trading in international markets of sovereign and global bonds; and</w:t>
      </w:r>
    </w:p>
    <w:p>
      <w:pPr>
        <w:spacing w:after="0" w:line="197" w:lineRule="exact"/>
        <w:rPr>
          <w:rFonts w:ascii="Arial" w:cs="Arial" w:eastAsia="Arial" w:hAnsi="Arial"/>
          <w:sz w:val="18"/>
          <w:szCs w:val="18"/>
          <w:color w:val="auto"/>
        </w:rPr>
      </w:pPr>
    </w:p>
    <w:p>
      <w:pPr>
        <w:ind w:left="860" w:hanging="528"/>
        <w:spacing w:after="0"/>
        <w:tabs>
          <w:tab w:leader="none" w:pos="8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Translation earnings for US$ 7.8 million, which contrast with the US$ 12.2 million loss recorded in 2008.</w:t>
      </w: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60" w:right="2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41"/>
        </w:trPr>
        <w:tc>
          <w:tcPr>
            <w:tcW w:w="6040" w:type="dxa"/>
            <w:vAlign w:val="bottom"/>
            <w:gridSpan w:val="2"/>
          </w:tcPr>
          <w:p>
            <w:pPr>
              <w:spacing w:after="0"/>
              <w:rPr>
                <w:sz w:val="20"/>
                <w:szCs w:val="20"/>
                <w:color w:val="auto"/>
              </w:rPr>
            </w:pPr>
            <w:r>
              <w:rPr>
                <w:rFonts w:ascii="Arial" w:cs="Arial" w:eastAsia="Arial" w:hAnsi="Arial"/>
                <w:sz w:val="18"/>
                <w:szCs w:val="18"/>
                <w:b w:val="1"/>
                <w:bCs w:val="1"/>
                <w:color w:val="auto"/>
              </w:rPr>
              <w:t>Banco de Crédito and subsidiaries</w:t>
            </w:r>
          </w:p>
        </w:tc>
        <w:tc>
          <w:tcPr>
            <w:tcW w:w="80" w:type="dxa"/>
            <w:vAlign w:val="bottom"/>
          </w:tcPr>
          <w:p>
            <w:pPr>
              <w:spacing w:after="0"/>
              <w:rPr>
                <w:sz w:val="20"/>
                <w:szCs w:val="20"/>
                <w:color w:val="auto"/>
              </w:rPr>
            </w:pPr>
          </w:p>
        </w:tc>
        <w:tc>
          <w:tcPr>
            <w:tcW w:w="1320" w:type="dxa"/>
            <w:vAlign w:val="bottom"/>
            <w:gridSpan w:val="3"/>
          </w:tcPr>
          <w:p>
            <w:pPr>
              <w:ind w:left="920"/>
              <w:spacing w:after="0"/>
              <w:rPr>
                <w:sz w:val="20"/>
                <w:szCs w:val="20"/>
                <w:color w:val="auto"/>
              </w:rPr>
            </w:pPr>
            <w:r>
              <w:rPr>
                <w:rFonts w:ascii="Arial" w:cs="Arial" w:eastAsia="Arial" w:hAnsi="Arial"/>
                <w:sz w:val="18"/>
                <w:szCs w:val="18"/>
                <w:b w:val="1"/>
                <w:bCs w:val="1"/>
                <w:color w:val="auto"/>
                <w:w w:val="97"/>
              </w:rPr>
              <w:t>Year</w:t>
            </w: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gridSpan w:val="2"/>
          </w:tcPr>
          <w:p>
            <w:pPr>
              <w:ind w:left="60"/>
              <w:spacing w:after="0"/>
              <w:rPr>
                <w:sz w:val="20"/>
                <w:szCs w:val="20"/>
                <w:color w:val="auto"/>
              </w:rPr>
            </w:pPr>
            <w:r>
              <w:rPr>
                <w:rFonts w:ascii="Arial" w:cs="Arial" w:eastAsia="Arial" w:hAnsi="Arial"/>
                <w:sz w:val="18"/>
                <w:szCs w:val="18"/>
                <w:b w:val="1"/>
                <w:bCs w:val="1"/>
                <w:color w:val="auto"/>
              </w:rPr>
              <w:t>Change %</w:t>
            </w:r>
          </w:p>
        </w:tc>
        <w:tc>
          <w:tcPr>
            <w:tcW w:w="0" w:type="dxa"/>
            <w:vAlign w:val="bottom"/>
          </w:tcPr>
          <w:p>
            <w:pPr>
              <w:spacing w:after="0"/>
              <w:rPr>
                <w:sz w:val="1"/>
                <w:szCs w:val="1"/>
                <w:color w:val="auto"/>
              </w:rPr>
            </w:pPr>
          </w:p>
        </w:tc>
      </w:tr>
      <w:tr>
        <w:trPr>
          <w:trHeight w:val="216"/>
        </w:trPr>
        <w:tc>
          <w:tcPr>
            <w:tcW w:w="604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US$ million</w:t>
            </w:r>
          </w:p>
        </w:tc>
        <w:tc>
          <w:tcPr>
            <w:tcW w:w="80" w:type="dxa"/>
            <w:vAlign w:val="bottom"/>
          </w:tcPr>
          <w:p>
            <w:pPr>
              <w:spacing w:after="0"/>
              <w:rPr>
                <w:sz w:val="18"/>
                <w:szCs w:val="18"/>
                <w:color w:val="auto"/>
              </w:rPr>
            </w:pPr>
          </w:p>
        </w:tc>
        <w:tc>
          <w:tcPr>
            <w:tcW w:w="96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2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2008</w:t>
            </w:r>
          </w:p>
        </w:tc>
        <w:tc>
          <w:tcPr>
            <w:tcW w:w="260" w:type="dxa"/>
            <w:vAlign w:val="bottom"/>
          </w:tcPr>
          <w:p>
            <w:pPr>
              <w:spacing w:after="0"/>
              <w:rPr>
                <w:sz w:val="18"/>
                <w:szCs w:val="18"/>
                <w:color w:val="auto"/>
              </w:rPr>
            </w:pPr>
          </w:p>
        </w:tc>
        <w:tc>
          <w:tcPr>
            <w:tcW w:w="960" w:type="dxa"/>
            <w:vAlign w:val="bottom"/>
            <w:tcBorders>
              <w:top w:val="single" w:sz="8" w:color="auto"/>
            </w:tcBorders>
          </w:tcPr>
          <w:p>
            <w:pPr>
              <w:ind w:left="100"/>
              <w:spacing w:after="0"/>
              <w:rPr>
                <w:sz w:val="20"/>
                <w:szCs w:val="20"/>
                <w:color w:val="auto"/>
              </w:rPr>
            </w:pPr>
            <w:r>
              <w:rPr>
                <w:rFonts w:ascii="Arial" w:cs="Arial" w:eastAsia="Arial" w:hAnsi="Arial"/>
                <w:sz w:val="18"/>
                <w:szCs w:val="18"/>
                <w:b w:val="1"/>
                <w:bCs w:val="1"/>
                <w:color w:val="auto"/>
                <w:w w:val="98"/>
              </w:rPr>
              <w:t>2009/2008</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shd w:val="clear" w:color="auto" w:fill="CCFFCC"/>
          </w:tcPr>
          <w:p>
            <w:pPr>
              <w:spacing w:after="0"/>
              <w:rPr>
                <w:sz w:val="20"/>
                <w:szCs w:val="20"/>
                <w:color w:val="auto"/>
              </w:rPr>
            </w:pPr>
            <w:r>
              <w:rPr>
                <w:rFonts w:ascii="Arial" w:cs="Arial" w:eastAsia="Arial" w:hAnsi="Arial"/>
                <w:sz w:val="18"/>
                <w:szCs w:val="18"/>
                <w:color w:val="auto"/>
              </w:rPr>
              <w:t>Net financial income</w:t>
            </w:r>
          </w:p>
        </w:tc>
        <w:tc>
          <w:tcPr>
            <w:tcW w:w="8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798,217</w:t>
            </w:r>
          </w:p>
        </w:tc>
        <w:tc>
          <w:tcPr>
            <w:tcW w:w="10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728,583</w:t>
            </w:r>
          </w:p>
        </w:tc>
        <w:tc>
          <w:tcPr>
            <w:tcW w:w="11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Banking services commissions</w:t>
            </w:r>
          </w:p>
        </w:tc>
        <w:tc>
          <w:tcPr>
            <w:tcW w:w="1300" w:type="dxa"/>
            <w:vAlign w:val="bottom"/>
            <w:gridSpan w:val="3"/>
          </w:tcPr>
          <w:p>
            <w:pPr>
              <w:jc w:val="right"/>
              <w:ind w:right="260"/>
              <w:spacing w:after="0"/>
              <w:rPr>
                <w:sz w:val="20"/>
                <w:szCs w:val="20"/>
                <w:color w:val="auto"/>
              </w:rPr>
            </w:pPr>
            <w:r>
              <w:rPr>
                <w:rFonts w:ascii="Arial" w:cs="Arial" w:eastAsia="Arial" w:hAnsi="Arial"/>
                <w:sz w:val="18"/>
                <w:szCs w:val="18"/>
                <w:color w:val="auto"/>
              </w:rPr>
              <w:t>368,067</w:t>
            </w:r>
          </w:p>
        </w:tc>
        <w:tc>
          <w:tcPr>
            <w:tcW w:w="10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336,844</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FFCC"/>
          </w:tcPr>
          <w:p>
            <w:pPr>
              <w:spacing w:after="0"/>
              <w:rPr>
                <w:sz w:val="20"/>
                <w:szCs w:val="20"/>
                <w:color w:val="auto"/>
              </w:rPr>
            </w:pPr>
            <w:r>
              <w:rPr>
                <w:rFonts w:ascii="Arial" w:cs="Arial" w:eastAsia="Arial" w:hAnsi="Arial"/>
                <w:sz w:val="18"/>
                <w:szCs w:val="18"/>
                <w:color w:val="auto"/>
              </w:rPr>
              <w:t>Net gain on foreign exchange transactions</w:t>
            </w:r>
          </w:p>
        </w:tc>
        <w:tc>
          <w:tcPr>
            <w:tcW w:w="1300" w:type="dxa"/>
            <w:vAlign w:val="bottom"/>
            <w:gridSpan w:val="3"/>
            <w:shd w:val="clear" w:color="auto" w:fill="CCFFCC"/>
          </w:tcPr>
          <w:p>
            <w:pPr>
              <w:jc w:val="right"/>
              <w:ind w:right="260"/>
              <w:spacing w:after="0"/>
              <w:rPr>
                <w:sz w:val="20"/>
                <w:szCs w:val="20"/>
                <w:color w:val="auto"/>
              </w:rPr>
            </w:pPr>
            <w:r>
              <w:rPr>
                <w:rFonts w:ascii="Arial" w:cs="Arial" w:eastAsia="Arial" w:hAnsi="Arial"/>
                <w:sz w:val="18"/>
                <w:szCs w:val="18"/>
                <w:color w:val="auto"/>
              </w:rPr>
              <w:t>93,462</w:t>
            </w:r>
          </w:p>
        </w:tc>
        <w:tc>
          <w:tcPr>
            <w:tcW w:w="10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109,032</w:t>
            </w:r>
          </w:p>
        </w:tc>
        <w:tc>
          <w:tcPr>
            <w:tcW w:w="11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130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rPr>
              <w:t>1,259,746</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1,174,459</w:t>
            </w:r>
          </w:p>
        </w:tc>
        <w:tc>
          <w:tcPr>
            <w:tcW w:w="26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b w:val="1"/>
                <w:bCs w:val="1"/>
                <w:color w:val="auto"/>
              </w:rPr>
              <w:t>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FFCC"/>
          </w:tcPr>
          <w:p>
            <w:pPr>
              <w:spacing w:after="0"/>
              <w:rPr>
                <w:sz w:val="20"/>
                <w:szCs w:val="20"/>
                <w:color w:val="auto"/>
              </w:rPr>
            </w:pPr>
            <w:r>
              <w:rPr>
                <w:rFonts w:ascii="Arial" w:cs="Arial" w:eastAsia="Arial" w:hAnsi="Arial"/>
                <w:sz w:val="18"/>
                <w:szCs w:val="18"/>
                <w:color w:val="auto"/>
              </w:rPr>
              <w:t>Net gain on sales of securities</w:t>
            </w:r>
          </w:p>
        </w:tc>
        <w:tc>
          <w:tcPr>
            <w:tcW w:w="1300" w:type="dxa"/>
            <w:vAlign w:val="bottom"/>
            <w:gridSpan w:val="3"/>
            <w:shd w:val="clear" w:color="auto" w:fill="CCFFCC"/>
          </w:tcPr>
          <w:p>
            <w:pPr>
              <w:jc w:val="right"/>
              <w:ind w:right="260"/>
              <w:spacing w:after="0"/>
              <w:rPr>
                <w:sz w:val="20"/>
                <w:szCs w:val="20"/>
                <w:color w:val="auto"/>
              </w:rPr>
            </w:pPr>
            <w:r>
              <w:rPr>
                <w:rFonts w:ascii="Arial" w:cs="Arial" w:eastAsia="Arial" w:hAnsi="Arial"/>
                <w:sz w:val="18"/>
                <w:szCs w:val="18"/>
                <w:color w:val="auto"/>
              </w:rPr>
              <w:t>101,349</w:t>
            </w:r>
          </w:p>
        </w:tc>
        <w:tc>
          <w:tcPr>
            <w:tcW w:w="10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38,574</w:t>
            </w:r>
          </w:p>
        </w:tc>
        <w:tc>
          <w:tcPr>
            <w:tcW w:w="11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162.7%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Other income</w:t>
            </w:r>
          </w:p>
        </w:tc>
        <w:tc>
          <w:tcPr>
            <w:tcW w:w="1300" w:type="dxa"/>
            <w:vAlign w:val="bottom"/>
            <w:gridSpan w:val="3"/>
          </w:tcPr>
          <w:p>
            <w:pPr>
              <w:jc w:val="right"/>
              <w:ind w:right="260"/>
              <w:spacing w:after="0"/>
              <w:rPr>
                <w:sz w:val="20"/>
                <w:szCs w:val="20"/>
                <w:color w:val="auto"/>
              </w:rPr>
            </w:pPr>
            <w:r>
              <w:rPr>
                <w:rFonts w:ascii="Arial" w:cs="Arial" w:eastAsia="Arial" w:hAnsi="Arial"/>
                <w:sz w:val="18"/>
                <w:szCs w:val="18"/>
                <w:color w:val="auto"/>
              </w:rPr>
              <w:t>15,067</w:t>
            </w:r>
          </w:p>
        </w:tc>
        <w:tc>
          <w:tcPr>
            <w:tcW w:w="10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17,202</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Total income</w:t>
            </w:r>
          </w:p>
        </w:tc>
        <w:tc>
          <w:tcPr>
            <w:tcW w:w="1300" w:type="dxa"/>
            <w:vAlign w:val="bottom"/>
            <w:gridSpan w:val="3"/>
            <w:shd w:val="clear" w:color="auto" w:fill="CCFFCC"/>
          </w:tcPr>
          <w:p>
            <w:pPr>
              <w:jc w:val="right"/>
              <w:ind w:right="260"/>
              <w:spacing w:after="0"/>
              <w:rPr>
                <w:sz w:val="20"/>
                <w:szCs w:val="20"/>
                <w:color w:val="auto"/>
              </w:rPr>
            </w:pPr>
            <w:r>
              <w:rPr>
                <w:rFonts w:ascii="Arial" w:cs="Arial" w:eastAsia="Arial" w:hAnsi="Arial"/>
                <w:sz w:val="18"/>
                <w:szCs w:val="18"/>
                <w:b w:val="1"/>
                <w:bCs w:val="1"/>
                <w:color w:val="auto"/>
              </w:rPr>
              <w:t>1,376,162</w:t>
            </w:r>
          </w:p>
        </w:tc>
        <w:tc>
          <w:tcPr>
            <w:tcW w:w="100" w:type="dxa"/>
            <w:vAlign w:val="bottom"/>
            <w:shd w:val="clear" w:color="auto" w:fill="CCFFCC"/>
          </w:tcPr>
          <w:p>
            <w:pPr>
              <w:spacing w:after="0"/>
              <w:rPr>
                <w:sz w:val="18"/>
                <w:szCs w:val="18"/>
                <w:color w:val="auto"/>
              </w:rPr>
            </w:pP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1,230,235</w:t>
            </w:r>
          </w:p>
        </w:tc>
        <w:tc>
          <w:tcPr>
            <w:tcW w:w="26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Total provisions, net of recoveries</w:t>
            </w:r>
          </w:p>
        </w:tc>
        <w:tc>
          <w:tcPr>
            <w:tcW w:w="1300" w:type="dxa"/>
            <w:vAlign w:val="bottom"/>
            <w:gridSpan w:val="3"/>
          </w:tcPr>
          <w:p>
            <w:pPr>
              <w:jc w:val="right"/>
              <w:ind w:right="200"/>
              <w:spacing w:after="0"/>
              <w:rPr>
                <w:sz w:val="20"/>
                <w:szCs w:val="20"/>
                <w:color w:val="auto"/>
              </w:rPr>
            </w:pPr>
            <w:r>
              <w:rPr>
                <w:rFonts w:ascii="Arial" w:cs="Arial" w:eastAsia="Arial" w:hAnsi="Arial"/>
                <w:sz w:val="18"/>
                <w:szCs w:val="18"/>
                <w:color w:val="auto"/>
              </w:rPr>
              <w:t>(165,104)</w:t>
            </w:r>
          </w:p>
        </w:tc>
        <w:tc>
          <w:tcPr>
            <w:tcW w:w="1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(51,275)</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FFCC"/>
          </w:tcPr>
          <w:p>
            <w:pPr>
              <w:spacing w:after="0"/>
              <w:rPr>
                <w:sz w:val="20"/>
                <w:szCs w:val="20"/>
                <w:color w:val="auto"/>
              </w:rPr>
            </w:pPr>
            <w:r>
              <w:rPr>
                <w:rFonts w:ascii="Arial" w:cs="Arial" w:eastAsia="Arial" w:hAnsi="Arial"/>
                <w:sz w:val="18"/>
                <w:szCs w:val="18"/>
                <w:color w:val="auto"/>
              </w:rPr>
              <w:t>Operating expenses</w:t>
            </w:r>
          </w:p>
        </w:tc>
        <w:tc>
          <w:tcPr>
            <w:tcW w:w="1300" w:type="dxa"/>
            <w:vAlign w:val="bottom"/>
            <w:gridSpan w:val="3"/>
            <w:shd w:val="clear" w:color="auto" w:fill="CCFFCC"/>
          </w:tcPr>
          <w:p>
            <w:pPr>
              <w:jc w:val="right"/>
              <w:ind w:right="200"/>
              <w:spacing w:after="0"/>
              <w:rPr>
                <w:sz w:val="20"/>
                <w:szCs w:val="20"/>
                <w:color w:val="auto"/>
              </w:rPr>
            </w:pPr>
            <w:r>
              <w:rPr>
                <w:rFonts w:ascii="Arial" w:cs="Arial" w:eastAsia="Arial" w:hAnsi="Arial"/>
                <w:sz w:val="18"/>
                <w:szCs w:val="18"/>
                <w:color w:val="auto"/>
              </w:rPr>
              <w:t>(692,423)</w:t>
            </w:r>
          </w:p>
        </w:tc>
        <w:tc>
          <w:tcPr>
            <w:tcW w:w="10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(618,191)</w:t>
            </w:r>
          </w:p>
        </w:tc>
        <w:tc>
          <w:tcPr>
            <w:tcW w:w="11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Translation results</w:t>
            </w:r>
          </w:p>
        </w:tc>
        <w:tc>
          <w:tcPr>
            <w:tcW w:w="1300" w:type="dxa"/>
            <w:vAlign w:val="bottom"/>
            <w:gridSpan w:val="3"/>
          </w:tcPr>
          <w:p>
            <w:pPr>
              <w:jc w:val="right"/>
              <w:ind w:right="260"/>
              <w:spacing w:after="0"/>
              <w:rPr>
                <w:sz w:val="20"/>
                <w:szCs w:val="20"/>
                <w:color w:val="auto"/>
              </w:rPr>
            </w:pPr>
            <w:r>
              <w:rPr>
                <w:rFonts w:ascii="Arial" w:cs="Arial" w:eastAsia="Arial" w:hAnsi="Arial"/>
                <w:sz w:val="18"/>
                <w:szCs w:val="18"/>
                <w:color w:val="auto"/>
              </w:rPr>
              <w:t>7,802</w:t>
            </w:r>
          </w:p>
        </w:tc>
        <w:tc>
          <w:tcPr>
            <w:tcW w:w="1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(12,244)</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-163.7%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FFCC"/>
          </w:tcPr>
          <w:p>
            <w:pPr>
              <w:spacing w:after="0"/>
              <w:rPr>
                <w:sz w:val="20"/>
                <w:szCs w:val="20"/>
                <w:color w:val="auto"/>
              </w:rPr>
            </w:pPr>
            <w:r>
              <w:rPr>
                <w:rFonts w:ascii="Arial" w:cs="Arial" w:eastAsia="Arial" w:hAnsi="Arial"/>
                <w:sz w:val="18"/>
                <w:szCs w:val="18"/>
                <w:color w:val="auto"/>
              </w:rPr>
              <w:t>Employee profit sharing</w:t>
            </w:r>
          </w:p>
        </w:tc>
        <w:tc>
          <w:tcPr>
            <w:tcW w:w="1300" w:type="dxa"/>
            <w:vAlign w:val="bottom"/>
            <w:gridSpan w:val="3"/>
            <w:shd w:val="clear" w:color="auto" w:fill="CCFFCC"/>
          </w:tcPr>
          <w:p>
            <w:pPr>
              <w:jc w:val="right"/>
              <w:ind w:right="200"/>
              <w:spacing w:after="0"/>
              <w:rPr>
                <w:sz w:val="20"/>
                <w:szCs w:val="20"/>
                <w:color w:val="auto"/>
              </w:rPr>
            </w:pPr>
            <w:r>
              <w:rPr>
                <w:rFonts w:ascii="Arial" w:cs="Arial" w:eastAsia="Arial" w:hAnsi="Arial"/>
                <w:sz w:val="18"/>
                <w:szCs w:val="18"/>
                <w:color w:val="auto"/>
              </w:rPr>
              <w:t>(16,463)</w:t>
            </w:r>
          </w:p>
        </w:tc>
        <w:tc>
          <w:tcPr>
            <w:tcW w:w="10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(15,201)</w:t>
            </w:r>
          </w:p>
        </w:tc>
        <w:tc>
          <w:tcPr>
            <w:tcW w:w="11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Income taxes</w:t>
            </w:r>
          </w:p>
        </w:tc>
        <w:tc>
          <w:tcPr>
            <w:tcW w:w="1300" w:type="dxa"/>
            <w:vAlign w:val="bottom"/>
            <w:gridSpan w:val="3"/>
          </w:tcPr>
          <w:p>
            <w:pPr>
              <w:jc w:val="right"/>
              <w:ind w:right="200"/>
              <w:spacing w:after="0"/>
              <w:rPr>
                <w:sz w:val="20"/>
                <w:szCs w:val="20"/>
                <w:color w:val="auto"/>
              </w:rPr>
            </w:pPr>
            <w:r>
              <w:rPr>
                <w:rFonts w:ascii="Arial" w:cs="Arial" w:eastAsia="Arial" w:hAnsi="Arial"/>
                <w:sz w:val="18"/>
                <w:szCs w:val="18"/>
                <w:color w:val="auto"/>
              </w:rPr>
              <w:t>(111,421)</w:t>
            </w:r>
          </w:p>
        </w:tc>
        <w:tc>
          <w:tcPr>
            <w:tcW w:w="1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(107,979)</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FFCC"/>
          </w:tcPr>
          <w:p>
            <w:pPr>
              <w:spacing w:after="0"/>
              <w:rPr>
                <w:sz w:val="20"/>
                <w:szCs w:val="20"/>
                <w:color w:val="auto"/>
              </w:rPr>
            </w:pPr>
            <w:r>
              <w:rPr>
                <w:rFonts w:ascii="Arial" w:cs="Arial" w:eastAsia="Arial" w:hAnsi="Arial"/>
                <w:sz w:val="18"/>
                <w:szCs w:val="18"/>
                <w:color w:val="auto"/>
              </w:rPr>
              <w:t>Minority interest</w:t>
            </w:r>
          </w:p>
        </w:tc>
        <w:tc>
          <w:tcPr>
            <w:tcW w:w="1300" w:type="dxa"/>
            <w:vAlign w:val="bottom"/>
            <w:gridSpan w:val="3"/>
            <w:shd w:val="clear" w:color="auto" w:fill="CCFFCC"/>
          </w:tcPr>
          <w:p>
            <w:pPr>
              <w:jc w:val="right"/>
              <w:ind w:right="200"/>
              <w:spacing w:after="0"/>
              <w:rPr>
                <w:sz w:val="20"/>
                <w:szCs w:val="20"/>
                <w:color w:val="auto"/>
              </w:rPr>
            </w:pPr>
            <w:r>
              <w:rPr>
                <w:rFonts w:ascii="Arial" w:cs="Arial" w:eastAsia="Arial" w:hAnsi="Arial"/>
                <w:sz w:val="18"/>
                <w:szCs w:val="18"/>
                <w:color w:val="auto"/>
              </w:rPr>
              <w:t>(1,175)</w:t>
            </w:r>
          </w:p>
        </w:tc>
        <w:tc>
          <w:tcPr>
            <w:tcW w:w="10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(1,816)</w:t>
            </w:r>
          </w:p>
        </w:tc>
        <w:tc>
          <w:tcPr>
            <w:tcW w:w="11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8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397,378</w:t>
            </w:r>
          </w:p>
        </w:tc>
        <w:tc>
          <w:tcPr>
            <w:tcW w:w="10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423,529</w:t>
            </w:r>
          </w:p>
        </w:tc>
        <w:tc>
          <w:tcPr>
            <w:tcW w:w="1140" w:type="dxa"/>
            <w:vAlign w:val="bottom"/>
            <w:gridSpan w:val="2"/>
          </w:tcPr>
          <w:p>
            <w:pPr>
              <w:jc w:val="right"/>
              <w:spacing w:after="0"/>
              <w:rPr>
                <w:sz w:val="20"/>
                <w:szCs w:val="20"/>
                <w:color w:val="auto"/>
              </w:rPr>
            </w:pPr>
            <w:r>
              <w:rPr>
                <w:rFonts w:ascii="Arial" w:cs="Arial" w:eastAsia="Arial" w:hAnsi="Arial"/>
                <w:sz w:val="18"/>
                <w:szCs w:val="18"/>
                <w:b w:val="1"/>
                <w:bCs w:val="1"/>
                <w:color w:val="auto"/>
              </w:rPr>
              <w:t>-6.2%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2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shd w:val="clear" w:color="auto" w:fill="CCFFCC"/>
          </w:tcPr>
          <w:p>
            <w:pPr>
              <w:spacing w:after="0"/>
              <w:rPr>
                <w:sz w:val="20"/>
                <w:szCs w:val="20"/>
                <w:color w:val="auto"/>
              </w:rPr>
            </w:pPr>
            <w:r>
              <w:rPr>
                <w:rFonts w:ascii="Arial" w:cs="Arial" w:eastAsia="Arial" w:hAnsi="Arial"/>
                <w:sz w:val="18"/>
                <w:szCs w:val="18"/>
                <w:color w:val="auto"/>
              </w:rPr>
              <w:t>Net income per common share (US$)</w:t>
            </w:r>
          </w:p>
        </w:tc>
        <w:tc>
          <w:tcPr>
            <w:tcW w:w="8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0.178</w:t>
            </w:r>
          </w:p>
        </w:tc>
        <w:tc>
          <w:tcPr>
            <w:tcW w:w="10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0.190</w:t>
            </w:r>
          </w:p>
        </w:tc>
        <w:tc>
          <w:tcPr>
            <w:tcW w:w="11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20" w:type="dxa"/>
            <w:vAlign w:val="bottom"/>
            <w:shd w:val="clear" w:color="auto" w:fill="CCFFCC"/>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Total Loans</w:t>
            </w:r>
          </w:p>
        </w:tc>
        <w:tc>
          <w:tcPr>
            <w:tcW w:w="8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11,577,303</w:t>
            </w:r>
          </w:p>
        </w:tc>
        <w:tc>
          <w:tcPr>
            <w:tcW w:w="10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w w:val="93"/>
              </w:rPr>
              <w:t>10,572,063</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FFCC"/>
          </w:tcPr>
          <w:p>
            <w:pPr>
              <w:spacing w:after="0"/>
              <w:rPr>
                <w:sz w:val="20"/>
                <w:szCs w:val="20"/>
                <w:color w:val="auto"/>
              </w:rPr>
            </w:pPr>
            <w:r>
              <w:rPr>
                <w:rFonts w:ascii="Arial" w:cs="Arial" w:eastAsia="Arial" w:hAnsi="Arial"/>
                <w:sz w:val="18"/>
                <w:szCs w:val="18"/>
                <w:color w:val="auto"/>
              </w:rPr>
              <w:t>Deposits and obligations</w:t>
            </w:r>
          </w:p>
        </w:tc>
        <w:tc>
          <w:tcPr>
            <w:tcW w:w="1300" w:type="dxa"/>
            <w:vAlign w:val="bottom"/>
            <w:gridSpan w:val="3"/>
            <w:shd w:val="clear" w:color="auto" w:fill="CCFFCC"/>
          </w:tcPr>
          <w:p>
            <w:pPr>
              <w:jc w:val="right"/>
              <w:ind w:right="260"/>
              <w:spacing w:after="0"/>
              <w:rPr>
                <w:sz w:val="20"/>
                <w:szCs w:val="20"/>
                <w:color w:val="auto"/>
              </w:rPr>
            </w:pPr>
            <w:r>
              <w:rPr>
                <w:rFonts w:ascii="Arial" w:cs="Arial" w:eastAsia="Arial" w:hAnsi="Arial"/>
                <w:sz w:val="18"/>
                <w:szCs w:val="18"/>
                <w:color w:val="auto"/>
              </w:rPr>
              <w:t>14,465,809</w:t>
            </w:r>
          </w:p>
        </w:tc>
        <w:tc>
          <w:tcPr>
            <w:tcW w:w="10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w w:val="93"/>
              </w:rPr>
              <w:t>13,946,714</w:t>
            </w:r>
          </w:p>
        </w:tc>
        <w:tc>
          <w:tcPr>
            <w:tcW w:w="11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Net shareholders equity</w:t>
            </w:r>
          </w:p>
        </w:tc>
        <w:tc>
          <w:tcPr>
            <w:tcW w:w="1300" w:type="dxa"/>
            <w:vAlign w:val="bottom"/>
            <w:gridSpan w:val="3"/>
          </w:tcPr>
          <w:p>
            <w:pPr>
              <w:jc w:val="right"/>
              <w:ind w:right="260"/>
              <w:spacing w:after="0"/>
              <w:rPr>
                <w:sz w:val="20"/>
                <w:szCs w:val="20"/>
                <w:color w:val="auto"/>
              </w:rPr>
            </w:pPr>
            <w:r>
              <w:rPr>
                <w:rFonts w:ascii="Arial" w:cs="Arial" w:eastAsia="Arial" w:hAnsi="Arial"/>
                <w:sz w:val="18"/>
                <w:szCs w:val="18"/>
                <w:color w:val="auto"/>
              </w:rPr>
              <w:t>1,675,533</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1,556,224</w:t>
            </w:r>
          </w:p>
        </w:tc>
        <w:tc>
          <w:tcPr>
            <w:tcW w:w="26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6254750</wp:posOffset>
            </wp:positionH>
            <wp:positionV relativeFrom="page">
              <wp:posOffset>337820</wp:posOffset>
            </wp:positionV>
            <wp:extent cx="1149350" cy="3175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1149350" cy="3175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
        </w:trPr>
        <w:tc>
          <w:tcPr>
            <w:tcW w:w="61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03"/>
        </w:trPr>
        <w:tc>
          <w:tcPr>
            <w:tcW w:w="6120" w:type="dxa"/>
            <w:vAlign w:val="bottom"/>
            <w:shd w:val="clear" w:color="auto" w:fill="CCFFCC"/>
          </w:tcPr>
          <w:p>
            <w:pPr>
              <w:spacing w:after="0" w:line="203" w:lineRule="exact"/>
              <w:rPr>
                <w:sz w:val="20"/>
                <w:szCs w:val="20"/>
                <w:color w:val="auto"/>
              </w:rPr>
            </w:pPr>
            <w:r>
              <w:rPr>
                <w:rFonts w:ascii="Arial" w:cs="Arial" w:eastAsia="Arial" w:hAnsi="Arial"/>
                <w:sz w:val="18"/>
                <w:szCs w:val="18"/>
                <w:color w:val="auto"/>
              </w:rPr>
              <w:t>Net interest margin</w:t>
            </w:r>
          </w:p>
        </w:tc>
        <w:tc>
          <w:tcPr>
            <w:tcW w:w="1220" w:type="dxa"/>
            <w:vAlign w:val="bottom"/>
            <w:gridSpan w:val="2"/>
            <w:shd w:val="clear" w:color="auto" w:fill="CCFFCC"/>
          </w:tcPr>
          <w:p>
            <w:pPr>
              <w:jc w:val="right"/>
              <w:ind w:right="100"/>
              <w:spacing w:after="0" w:line="203" w:lineRule="exact"/>
              <w:rPr>
                <w:sz w:val="20"/>
                <w:szCs w:val="20"/>
                <w:color w:val="auto"/>
              </w:rPr>
            </w:pPr>
            <w:r>
              <w:rPr>
                <w:rFonts w:ascii="Arial" w:cs="Arial" w:eastAsia="Arial" w:hAnsi="Arial"/>
                <w:sz w:val="18"/>
                <w:szCs w:val="18"/>
                <w:color w:val="auto"/>
              </w:rPr>
              <w:t>4.8%</w:t>
            </w:r>
          </w:p>
        </w:tc>
        <w:tc>
          <w:tcPr>
            <w:tcW w:w="1220" w:type="dxa"/>
            <w:vAlign w:val="bottom"/>
            <w:gridSpan w:val="2"/>
            <w:shd w:val="clear" w:color="auto" w:fill="CCFFCC"/>
          </w:tcPr>
          <w:p>
            <w:pPr>
              <w:jc w:val="right"/>
              <w:ind w:right="100"/>
              <w:spacing w:after="0" w:line="203" w:lineRule="exact"/>
              <w:rPr>
                <w:sz w:val="20"/>
                <w:szCs w:val="20"/>
                <w:color w:val="auto"/>
              </w:rPr>
            </w:pPr>
            <w:r>
              <w:rPr>
                <w:rFonts w:ascii="Arial" w:cs="Arial" w:eastAsia="Arial" w:hAnsi="Arial"/>
                <w:sz w:val="18"/>
                <w:szCs w:val="18"/>
                <w:color w:val="auto"/>
              </w:rPr>
              <w:t>4.8%</w:t>
            </w:r>
          </w:p>
        </w:tc>
        <w:tc>
          <w:tcPr>
            <w:tcW w:w="96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Efficiency ratio</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51.9%</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51.9%</w:t>
            </w: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6120" w:type="dxa"/>
            <w:vAlign w:val="bottom"/>
            <w:shd w:val="clear" w:color="auto" w:fill="CCFFCC"/>
          </w:tcPr>
          <w:p>
            <w:pPr>
              <w:spacing w:after="0"/>
              <w:rPr>
                <w:sz w:val="20"/>
                <w:szCs w:val="20"/>
                <w:color w:val="auto"/>
              </w:rPr>
            </w:pPr>
            <w:r>
              <w:rPr>
                <w:rFonts w:ascii="Arial" w:cs="Arial" w:eastAsia="Arial" w:hAnsi="Arial"/>
                <w:sz w:val="18"/>
                <w:szCs w:val="18"/>
                <w:color w:val="auto"/>
              </w:rPr>
              <w:t>Return on average equity</w:t>
            </w:r>
          </w:p>
        </w:tc>
        <w:tc>
          <w:tcPr>
            <w:tcW w:w="12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26.6%</w:t>
            </w:r>
          </w:p>
        </w:tc>
        <w:tc>
          <w:tcPr>
            <w:tcW w:w="12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32.8%</w:t>
            </w:r>
          </w:p>
        </w:tc>
        <w:tc>
          <w:tcPr>
            <w:tcW w:w="9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Growth in NII is primarily attributable to a 10.2% increase in interest income on loans that was reinforced by a 24.3% contraction in financial expenses, which in turn offset a decline in interest income on trading securities and deposits of 50.1% and 74.2%, respectively. In this context, NIM improved, going from 4.54% to 4.81% (2008 vs. 2009).</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increase in banking services commissions is attributable primarily to higher income in Corporate Finance, savings accounts, credit cards, collections and payments and foreign trade transactions.</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Higher loan provisions were made to cover requirements in the Retail Banking portfolio, particularly in the consumer loan segment. At the end of 2009, the past due ratio was 1.59% compared with 0.79% in 2008. Nevertheless, it is important to emphasize that this ratio’s upward trend began to slow down in the second half of the year. During the last quarter, the past due ratio did not increase due to end-of-year expansion in the loan portfolio. Coverage on the past due portfolio was 192.3%.</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terms of operating expenses, the increase observed during 2009 was due primarily to higher administrative expenses (+15.9%) associated with initiatives that were undertaken throughout the year to improve mid-term operating efficiency. However, it is important to highlight that the increase in administrative expenses were further exacerbated by the domestic currency’s annual revaluation of 8%. In this context, the efficiency ratio deteriorated slightly, going from 50.3% in 2008 to 51.9% in 2009.</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Finally, in terms of profitability, BCP achieved a ROAE of 26.6% and ROAA of 2.1%.</w:t>
      </w: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6"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6254750</wp:posOffset>
            </wp:positionH>
            <wp:positionV relativeFrom="page">
              <wp:posOffset>183515</wp:posOffset>
            </wp:positionV>
            <wp:extent cx="1149350" cy="3175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1149350" cy="317500"/>
                    </a:xfrm>
                    <a:prstGeom prst="rect">
                      <a:avLst/>
                    </a:prstGeom>
                    <a:noFill/>
                  </pic:spPr>
                </pic:pic>
              </a:graphicData>
            </a:graphic>
          </wp:anchor>
        </w:drawing>
        <w:t>II.1 Interest Earning Assets (IEA)</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A reactivation in demand for loans has led to real QoQ growth of 9.5% in current loans, which are the primary component of interest earning assets. This Q0Q growth was the highest registered in 2009.</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420" w:type="dxa"/>
            <w:vAlign w:val="bottom"/>
            <w:gridSpan w:val="2"/>
          </w:tcPr>
          <w:p>
            <w:pPr>
              <w:spacing w:after="0"/>
              <w:rPr>
                <w:sz w:val="20"/>
                <w:szCs w:val="20"/>
                <w:color w:val="auto"/>
              </w:rPr>
            </w:pPr>
            <w:r>
              <w:rPr>
                <w:rFonts w:ascii="Arial" w:cs="Arial" w:eastAsia="Arial" w:hAnsi="Arial"/>
                <w:sz w:val="18"/>
                <w:szCs w:val="18"/>
                <w:b w:val="1"/>
                <w:bCs w:val="1"/>
                <w:color w:val="auto"/>
              </w:rPr>
              <w:t>Interest Earning Assets</w:t>
            </w: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Quarter</w:t>
            </w: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720" w:type="dxa"/>
            <w:vAlign w:val="bottom"/>
            <w:gridSpan w:val="4"/>
          </w:tcPr>
          <w:p>
            <w:pPr>
              <w:jc w:val="right"/>
              <w:ind w:right="1040"/>
              <w:spacing w:after="0"/>
              <w:rPr>
                <w:sz w:val="20"/>
                <w:szCs w:val="20"/>
                <w:color w:val="auto"/>
              </w:rPr>
            </w:pPr>
            <w:r>
              <w:rPr>
                <w:rFonts w:ascii="Arial" w:cs="Arial" w:eastAsia="Arial" w:hAnsi="Arial"/>
                <w:sz w:val="18"/>
                <w:szCs w:val="18"/>
                <w:b w:val="1"/>
                <w:bCs w:val="1"/>
                <w:color w:val="auto"/>
              </w:rPr>
              <w:t>Change %</w:t>
            </w:r>
          </w:p>
        </w:tc>
        <w:tc>
          <w:tcPr>
            <w:tcW w:w="0" w:type="dxa"/>
            <w:vAlign w:val="bottom"/>
          </w:tcPr>
          <w:p>
            <w:pPr>
              <w:spacing w:after="0"/>
              <w:rPr>
                <w:sz w:val="1"/>
                <w:szCs w:val="1"/>
                <w:color w:val="auto"/>
              </w:rPr>
            </w:pPr>
          </w:p>
        </w:tc>
      </w:tr>
      <w:tr>
        <w:trPr>
          <w:trHeight w:val="216"/>
        </w:trPr>
        <w:tc>
          <w:tcPr>
            <w:tcW w:w="44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US$ 000</w:t>
            </w:r>
          </w:p>
        </w:tc>
        <w:tc>
          <w:tcPr>
            <w:tcW w:w="100" w:type="dxa"/>
            <w:vAlign w:val="bottom"/>
          </w:tcPr>
          <w:p>
            <w:pPr>
              <w:spacing w:after="0"/>
              <w:rPr>
                <w:sz w:val="18"/>
                <w:szCs w:val="18"/>
                <w:color w:val="auto"/>
              </w:rPr>
            </w:pPr>
          </w:p>
        </w:tc>
        <w:tc>
          <w:tcPr>
            <w:tcW w:w="1320" w:type="dxa"/>
            <w:vAlign w:val="bottom"/>
            <w:tcBorders>
              <w:top w:val="single" w:sz="8" w:color="auto"/>
            </w:tcBorders>
            <w:gridSpan w:val="2"/>
          </w:tcPr>
          <w:p>
            <w:pPr>
              <w:ind w:left="340"/>
              <w:spacing w:after="0"/>
              <w:rPr>
                <w:sz w:val="20"/>
                <w:szCs w:val="20"/>
                <w:color w:val="auto"/>
              </w:rPr>
            </w:pPr>
            <w:r>
              <w:rPr>
                <w:rFonts w:ascii="Arial" w:cs="Arial" w:eastAsia="Arial" w:hAnsi="Arial"/>
                <w:sz w:val="18"/>
                <w:szCs w:val="18"/>
                <w:b w:val="1"/>
                <w:bCs w:val="1"/>
                <w:color w:val="auto"/>
              </w:rPr>
              <w:t>4Q09</w:t>
            </w:r>
          </w:p>
        </w:tc>
        <w:tc>
          <w:tcPr>
            <w:tcW w:w="1320" w:type="dxa"/>
            <w:vAlign w:val="bottom"/>
            <w:tcBorders>
              <w:top w:val="single" w:sz="8" w:color="auto"/>
            </w:tcBorders>
            <w:gridSpan w:val="2"/>
          </w:tcPr>
          <w:p>
            <w:pPr>
              <w:jc w:val="right"/>
              <w:ind w:right="560"/>
              <w:spacing w:after="0"/>
              <w:rPr>
                <w:sz w:val="20"/>
                <w:szCs w:val="20"/>
                <w:color w:val="auto"/>
              </w:rPr>
            </w:pPr>
            <w:r>
              <w:rPr>
                <w:rFonts w:ascii="Arial" w:cs="Arial" w:eastAsia="Arial" w:hAnsi="Arial"/>
                <w:sz w:val="18"/>
                <w:szCs w:val="18"/>
                <w:b w:val="1"/>
                <w:bCs w:val="1"/>
                <w:color w:val="auto"/>
              </w:rPr>
              <w:t>3Q09</w:t>
            </w:r>
          </w:p>
        </w:tc>
        <w:tc>
          <w:tcPr>
            <w:tcW w:w="112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4Q08</w:t>
            </w:r>
          </w:p>
        </w:tc>
        <w:tc>
          <w:tcPr>
            <w:tcW w:w="200" w:type="dxa"/>
            <w:vAlign w:val="bottom"/>
          </w:tcPr>
          <w:p>
            <w:pPr>
              <w:spacing w:after="0"/>
              <w:rPr>
                <w:sz w:val="18"/>
                <w:szCs w:val="18"/>
                <w:color w:val="auto"/>
              </w:rPr>
            </w:pPr>
          </w:p>
        </w:tc>
        <w:tc>
          <w:tcPr>
            <w:tcW w:w="1420" w:type="dxa"/>
            <w:vAlign w:val="bottom"/>
            <w:tcBorders>
              <w:top w:val="single" w:sz="8" w:color="auto"/>
            </w:tcBorders>
            <w:gridSpan w:val="2"/>
          </w:tcPr>
          <w:p>
            <w:pPr>
              <w:jc w:val="right"/>
              <w:ind w:right="420"/>
              <w:spacing w:after="0"/>
              <w:rPr>
                <w:sz w:val="20"/>
                <w:szCs w:val="20"/>
                <w:color w:val="auto"/>
              </w:rPr>
            </w:pPr>
            <w:r>
              <w:rPr>
                <w:rFonts w:ascii="Arial" w:cs="Arial" w:eastAsia="Arial" w:hAnsi="Arial"/>
                <w:sz w:val="18"/>
                <w:szCs w:val="18"/>
                <w:b w:val="1"/>
                <w:bCs w:val="1"/>
                <w:color w:val="auto"/>
              </w:rPr>
              <w:t>4Q09/4Q08</w:t>
            </w:r>
          </w:p>
        </w:tc>
        <w:tc>
          <w:tcPr>
            <w:tcW w:w="11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4Q09/3Q09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shd w:val="clear" w:color="auto" w:fill="CCFFCC"/>
          </w:tcPr>
          <w:p>
            <w:pPr>
              <w:spacing w:after="0"/>
              <w:rPr>
                <w:sz w:val="20"/>
                <w:szCs w:val="20"/>
                <w:color w:val="auto"/>
              </w:rPr>
            </w:pPr>
            <w:r>
              <w:rPr>
                <w:rFonts w:ascii="Arial" w:cs="Arial" w:eastAsia="Arial" w:hAnsi="Arial"/>
                <w:sz w:val="18"/>
                <w:szCs w:val="18"/>
                <w:color w:val="auto"/>
              </w:rPr>
              <w:t>BCRP and Other Banks</w:t>
            </w:r>
          </w:p>
        </w:tc>
        <w:tc>
          <w:tcPr>
            <w:tcW w:w="100" w:type="dxa"/>
            <w:vAlign w:val="bottom"/>
            <w:shd w:val="clear" w:color="auto" w:fill="CCFFCC"/>
          </w:tcPr>
          <w:p>
            <w:pPr>
              <w:spacing w:after="0"/>
              <w:rPr>
                <w:sz w:val="18"/>
                <w:szCs w:val="18"/>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2,980,575</w:t>
            </w:r>
          </w:p>
        </w:tc>
        <w:tc>
          <w:tcPr>
            <w:tcW w:w="22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2,749,996</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2,875,230</w:t>
            </w:r>
          </w:p>
        </w:tc>
        <w:tc>
          <w:tcPr>
            <w:tcW w:w="200" w:type="dxa"/>
            <w:vAlign w:val="bottom"/>
            <w:shd w:val="clear" w:color="auto" w:fill="CCFFCC"/>
          </w:tcPr>
          <w:p>
            <w:pPr>
              <w:spacing w:after="0"/>
              <w:rPr>
                <w:sz w:val="18"/>
                <w:szCs w:val="18"/>
                <w:color w:val="auto"/>
              </w:rPr>
            </w:pPr>
          </w:p>
        </w:tc>
        <w:tc>
          <w:tcPr>
            <w:tcW w:w="14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3.7%</w:t>
            </w:r>
          </w:p>
        </w:tc>
        <w:tc>
          <w:tcPr>
            <w:tcW w:w="13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Interbank funds</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75,000</w:t>
            </w:r>
          </w:p>
        </w:tc>
        <w:tc>
          <w:tcPr>
            <w:tcW w:w="2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68,132</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28,662</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161.7%</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FFCC"/>
          </w:tcPr>
          <w:p>
            <w:pPr>
              <w:spacing w:after="0"/>
              <w:rPr>
                <w:sz w:val="20"/>
                <w:szCs w:val="20"/>
                <w:color w:val="auto"/>
              </w:rPr>
            </w:pPr>
            <w:r>
              <w:rPr>
                <w:rFonts w:ascii="Arial" w:cs="Arial" w:eastAsia="Arial" w:hAnsi="Arial"/>
                <w:sz w:val="18"/>
                <w:szCs w:val="18"/>
                <w:color w:val="auto"/>
              </w:rPr>
              <w:t>Trading Securities</w:t>
            </w:r>
          </w:p>
        </w:tc>
        <w:tc>
          <w:tcPr>
            <w:tcW w:w="12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70,318</w:t>
            </w:r>
          </w:p>
        </w:tc>
        <w:tc>
          <w:tcPr>
            <w:tcW w:w="22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89,718</w:t>
            </w:r>
          </w:p>
        </w:tc>
        <w:tc>
          <w:tcPr>
            <w:tcW w:w="13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36,084</w:t>
            </w:r>
          </w:p>
        </w:tc>
        <w:tc>
          <w:tcPr>
            <w:tcW w:w="14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94.9%</w:t>
            </w:r>
          </w:p>
        </w:tc>
        <w:tc>
          <w:tcPr>
            <w:tcW w:w="13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Available securities available for sale securities</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3,026,542</w:t>
            </w:r>
          </w:p>
        </w:tc>
        <w:tc>
          <w:tcPr>
            <w:tcW w:w="2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2,793,015</w:t>
            </w:r>
          </w:p>
        </w:tc>
        <w:tc>
          <w:tcPr>
            <w:tcW w:w="1120" w:type="dxa"/>
            <w:vAlign w:val="bottom"/>
          </w:tcPr>
          <w:p>
            <w:pPr>
              <w:jc w:val="right"/>
              <w:spacing w:after="0"/>
              <w:rPr>
                <w:sz w:val="20"/>
                <w:szCs w:val="20"/>
                <w:color w:val="auto"/>
              </w:rPr>
            </w:pPr>
            <w:r>
              <w:rPr>
                <w:rFonts w:ascii="Arial" w:cs="Arial" w:eastAsia="Arial" w:hAnsi="Arial"/>
                <w:sz w:val="18"/>
                <w:szCs w:val="18"/>
                <w:color w:val="auto"/>
              </w:rPr>
              <w:t>3,406,248</w:t>
            </w:r>
          </w:p>
        </w:tc>
        <w:tc>
          <w:tcPr>
            <w:tcW w:w="20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-11.1%</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FFCC"/>
          </w:tcPr>
          <w:p>
            <w:pPr>
              <w:spacing w:after="0"/>
              <w:rPr>
                <w:sz w:val="20"/>
                <w:szCs w:val="20"/>
                <w:color w:val="auto"/>
              </w:rPr>
            </w:pPr>
            <w:r>
              <w:rPr>
                <w:rFonts w:ascii="Arial" w:cs="Arial" w:eastAsia="Arial" w:hAnsi="Arial"/>
                <w:sz w:val="18"/>
                <w:szCs w:val="18"/>
                <w:color w:val="auto"/>
              </w:rPr>
              <w:t>Current Loans, net</w:t>
            </w:r>
          </w:p>
        </w:tc>
        <w:tc>
          <w:tcPr>
            <w:tcW w:w="100" w:type="dxa"/>
            <w:vAlign w:val="bottom"/>
            <w:shd w:val="clear" w:color="auto" w:fill="CCFFCC"/>
          </w:tcPr>
          <w:p>
            <w:pPr>
              <w:spacing w:after="0"/>
              <w:rPr>
                <w:sz w:val="18"/>
                <w:szCs w:val="18"/>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11,393,557</w:t>
            </w:r>
          </w:p>
        </w:tc>
        <w:tc>
          <w:tcPr>
            <w:tcW w:w="22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10,406,954</w:t>
            </w:r>
          </w:p>
        </w:tc>
        <w:tc>
          <w:tcPr>
            <w:tcW w:w="13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10,362,659</w:t>
            </w:r>
          </w:p>
        </w:tc>
        <w:tc>
          <w:tcPr>
            <w:tcW w:w="14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9.9%</w:t>
            </w:r>
          </w:p>
        </w:tc>
        <w:tc>
          <w:tcPr>
            <w:tcW w:w="13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0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b w:val="1"/>
                <w:bCs w:val="1"/>
                <w:color w:val="auto"/>
              </w:rPr>
              <w:t>Total interest earning assets</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17,545,992</w:t>
            </w:r>
          </w:p>
        </w:tc>
        <w:tc>
          <w:tcPr>
            <w:tcW w:w="2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16,107,815</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16,708,883</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5.0%</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8.9%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increase in funds obtained by growth in deposits and bond issues conducted throughout the last quarter of the year are reflected in the expansion in interest earning assets of 8.9% QoQ and 5.0% YoY. Loans capture the majority of growth in these assets and accounted for 64.9% of total interest earning assets at year end. This considerable 9.5% QoQ increase is attributable to an expansion in local currency denominated portfolio of Wholesale Banking and Retail Banking, which is a satisfactory evolution given that the Nuevo Sol remained relatively stable throughout the quarter, devaluating a mere 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1660525</wp:posOffset>
            </wp:positionH>
            <wp:positionV relativeFrom="paragraph">
              <wp:posOffset>124460</wp:posOffset>
            </wp:positionV>
            <wp:extent cx="3944620" cy="12350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944620" cy="1235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 Portfolio</w:t>
      </w:r>
    </w:p>
    <w:p>
      <w:pPr>
        <w:spacing w:after="0" w:line="25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At the end of year, BCP’s net loans totaled US$ 11,224 million, registering 9.4% growth QoQ and 9.8% YoY. The figure below shows the evolution in 2009 both in terms of quarter-end balances and average daily balances for each month and makes evident the recovery of growth in loans during 4Q09.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2440940</wp:posOffset>
            </wp:positionH>
            <wp:positionV relativeFrom="paragraph">
              <wp:posOffset>119380</wp:posOffset>
            </wp:positionV>
            <wp:extent cx="2375535" cy="12693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375535" cy="1269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If we analyze average daily balances on a per currency basis, it is clear that loan expansion in 4Q09 was basically seen in the domestic currency portfolio. Nevertheless, it is important to emphasize that for the first time this year, the foreign currency portfolio experienced no contractions and actually grew 0.9% QoQ.</w:t>
      </w:r>
    </w:p>
    <w:p>
      <w:pPr>
        <w:spacing w:after="0" w:line="20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17" w:right="239" w:bottom="1440" w:gutter="0" w:footer="0" w:header="0"/>
        </w:sectPr>
      </w:pPr>
    </w:p>
    <w:bookmarkStart w:id="11" w:name="page12"/>
    <w:bookmarkEnd w:id="11"/>
    <w:p>
      <w:pPr>
        <w:jc w:val="both"/>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6254750</wp:posOffset>
            </wp:positionH>
            <wp:positionV relativeFrom="page">
              <wp:posOffset>243205</wp:posOffset>
            </wp:positionV>
            <wp:extent cx="1149350" cy="3175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1149350" cy="317500"/>
                    </a:xfrm>
                    <a:prstGeom prst="rect">
                      <a:avLst/>
                    </a:prstGeom>
                    <a:noFill/>
                  </pic:spPr>
                </pic:pic>
              </a:graphicData>
            </a:graphic>
          </wp:anchor>
        </w:drawing>
        <w:t>Growth in the domestic currency portfolio can be explained primarily by an expansion in the Retail Banking Sector, which recorded the highest quarterly increase (7.3%) of this year. The most dynamic segments this quarter were mortgage loans which were up 10.2% for the Q, and SME, which grew 7.6% reflecting also the incorporation of Edyficar, probably one of the most important strategic moves for our future business growth and a real commitment to increasing bank penetration and formalization of our economy. Wholesale banking demonstrated 1.8% growth QoQ in the domestic currency portfolio that is mainly due to recovery in the middle market banking portfolio, which grew 5.7% QoQ following a decline in last quarter. In terms of the foreign currency portfolio, unlike the scenario seen last quarter, both the wholesale and retail banking portfolios registered a slight increase.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120" w:type="dxa"/>
            <w:vAlign w:val="bottom"/>
            <w:gridSpan w:val="5"/>
          </w:tcPr>
          <w:p>
            <w:pPr>
              <w:jc w:val="right"/>
              <w:ind w:right="280"/>
              <w:spacing w:after="0"/>
              <w:rPr>
                <w:sz w:val="20"/>
                <w:szCs w:val="20"/>
                <w:color w:val="auto"/>
              </w:rPr>
            </w:pPr>
            <w:r>
              <w:rPr>
                <w:rFonts w:ascii="Arial" w:cs="Arial" w:eastAsia="Arial" w:hAnsi="Arial"/>
                <w:sz w:val="18"/>
                <w:szCs w:val="18"/>
                <w:b w:val="1"/>
                <w:bCs w:val="1"/>
                <w:color w:val="auto"/>
                <w:w w:val="89"/>
              </w:rPr>
              <w:t>Average Daily Balances</w:t>
            </w: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59"/>
        </w:trPr>
        <w:tc>
          <w:tcPr>
            <w:tcW w:w="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60" w:type="dxa"/>
            <w:vAlign w:val="bottom"/>
            <w:gridSpan w:val="6"/>
          </w:tcPr>
          <w:p>
            <w:pPr>
              <w:jc w:val="right"/>
              <w:ind w:right="360"/>
              <w:spacing w:after="0"/>
              <w:rPr>
                <w:sz w:val="20"/>
                <w:szCs w:val="20"/>
                <w:color w:val="auto"/>
              </w:rPr>
            </w:pPr>
            <w:r>
              <w:rPr>
                <w:rFonts w:ascii="Arial" w:cs="Arial" w:eastAsia="Arial" w:hAnsi="Arial"/>
                <w:sz w:val="18"/>
                <w:szCs w:val="18"/>
                <w:b w:val="1"/>
                <w:bCs w:val="1"/>
                <w:color w:val="auto"/>
                <w:w w:val="95"/>
              </w:rPr>
              <w:t>Domestic Currency Loans (1)</w:t>
            </w: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60" w:type="dxa"/>
            <w:vAlign w:val="bottom"/>
            <w:gridSpan w:val="6"/>
          </w:tcPr>
          <w:p>
            <w:pPr>
              <w:jc w:val="right"/>
              <w:ind w:right="420"/>
              <w:spacing w:after="0"/>
              <w:rPr>
                <w:sz w:val="20"/>
                <w:szCs w:val="20"/>
                <w:color w:val="auto"/>
              </w:rPr>
            </w:pPr>
            <w:r>
              <w:rPr>
                <w:rFonts w:ascii="Arial" w:cs="Arial" w:eastAsia="Arial" w:hAnsi="Arial"/>
                <w:sz w:val="18"/>
                <w:szCs w:val="18"/>
                <w:b w:val="1"/>
                <w:bCs w:val="1"/>
                <w:color w:val="auto"/>
                <w:w w:val="98"/>
              </w:rPr>
              <w:t>Foreign Currency Loans (1)</w:t>
            </w: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50"/>
        </w:trPr>
        <w:tc>
          <w:tcPr>
            <w:tcW w:w="20" w:type="dxa"/>
            <w:vAlign w:val="bottom"/>
          </w:tcPr>
          <w:p>
            <w:pPr>
              <w:spacing w:after="0"/>
              <w:rPr>
                <w:sz w:val="21"/>
                <w:szCs w:val="21"/>
                <w:color w:val="auto"/>
              </w:rPr>
            </w:pPr>
          </w:p>
        </w:tc>
        <w:tc>
          <w:tcPr>
            <w:tcW w:w="2160" w:type="dxa"/>
            <w:vAlign w:val="bottom"/>
            <w:tcBorders>
              <w:bottom w:val="single" w:sz="8" w:color="auto"/>
            </w:tcBorders>
          </w:tcPr>
          <w:p>
            <w:pPr>
              <w:ind w:left="720"/>
              <w:spacing w:after="0"/>
              <w:rPr>
                <w:sz w:val="20"/>
                <w:szCs w:val="20"/>
                <w:color w:val="auto"/>
              </w:rPr>
            </w:pPr>
            <w:r>
              <w:rPr>
                <w:rFonts w:ascii="Arial" w:cs="Arial" w:eastAsia="Arial" w:hAnsi="Arial"/>
                <w:sz w:val="18"/>
                <w:szCs w:val="18"/>
                <w:b w:val="1"/>
                <w:bCs w:val="1"/>
                <w:color w:val="auto"/>
              </w:rPr>
              <w:t>Segments</w:t>
            </w:r>
          </w:p>
        </w:tc>
        <w:tc>
          <w:tcPr>
            <w:tcW w:w="120" w:type="dxa"/>
            <w:vAlign w:val="bottom"/>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760" w:type="dxa"/>
            <w:vAlign w:val="bottom"/>
            <w:tcBorders>
              <w:bottom w:val="single" w:sz="8" w:color="auto"/>
            </w:tcBorders>
            <w:gridSpan w:val="6"/>
          </w:tcPr>
          <w:p>
            <w:pPr>
              <w:jc w:val="right"/>
              <w:ind w:right="680"/>
              <w:spacing w:after="0"/>
              <w:rPr>
                <w:sz w:val="20"/>
                <w:szCs w:val="20"/>
                <w:color w:val="auto"/>
              </w:rPr>
            </w:pPr>
            <w:r>
              <w:rPr>
                <w:rFonts w:ascii="Arial" w:cs="Arial" w:eastAsia="Arial" w:hAnsi="Arial"/>
                <w:sz w:val="18"/>
                <w:szCs w:val="18"/>
                <w:i w:val="1"/>
                <w:iCs w:val="1"/>
                <w:color w:val="auto"/>
              </w:rPr>
              <w:t>(Nuevos Soles million)</w:t>
            </w:r>
          </w:p>
        </w:tc>
        <w:tc>
          <w:tcPr>
            <w:tcW w:w="680" w:type="dxa"/>
            <w:vAlign w:val="bottom"/>
            <w:tcBorders>
              <w:bottom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i w:val="1"/>
                <w:iCs w:val="1"/>
                <w:color w:val="auto"/>
                <w:w w:val="98"/>
              </w:rPr>
              <w:t>(US$ million)</w:t>
            </w:r>
          </w:p>
        </w:tc>
        <w:tc>
          <w:tcPr>
            <w:tcW w:w="68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r>
      <w:tr>
        <w:trPr>
          <w:trHeight w:val="223"/>
        </w:trPr>
        <w:tc>
          <w:tcPr>
            <w:tcW w:w="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4Q09</w:t>
            </w:r>
          </w:p>
        </w:tc>
        <w:tc>
          <w:tcPr>
            <w:tcW w:w="220" w:type="dxa"/>
            <w:vAlign w:val="bottom"/>
          </w:tcPr>
          <w:p>
            <w:pPr>
              <w:spacing w:after="0"/>
              <w:rPr>
                <w:sz w:val="19"/>
                <w:szCs w:val="19"/>
                <w:color w:val="auto"/>
              </w:rPr>
            </w:pPr>
          </w:p>
        </w:tc>
        <w:tc>
          <w:tcPr>
            <w:tcW w:w="6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3Q09</w:t>
            </w:r>
          </w:p>
        </w:tc>
        <w:tc>
          <w:tcPr>
            <w:tcW w:w="220" w:type="dxa"/>
            <w:vAlign w:val="bottom"/>
          </w:tcPr>
          <w:p>
            <w:pPr>
              <w:spacing w:after="0"/>
              <w:rPr>
                <w:sz w:val="19"/>
                <w:szCs w:val="19"/>
                <w:color w:val="auto"/>
              </w:rPr>
            </w:pPr>
          </w:p>
        </w:tc>
        <w:tc>
          <w:tcPr>
            <w:tcW w:w="70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4Q08</w:t>
            </w:r>
          </w:p>
        </w:tc>
        <w:tc>
          <w:tcPr>
            <w:tcW w:w="180" w:type="dxa"/>
            <w:vAlign w:val="bottom"/>
          </w:tcPr>
          <w:p>
            <w:pPr>
              <w:spacing w:after="0"/>
              <w:rPr>
                <w:sz w:val="19"/>
                <w:szCs w:val="19"/>
                <w:color w:val="auto"/>
              </w:rPr>
            </w:pPr>
          </w:p>
        </w:tc>
        <w:tc>
          <w:tcPr>
            <w:tcW w:w="6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YoY</w:t>
            </w:r>
          </w:p>
        </w:tc>
        <w:tc>
          <w:tcPr>
            <w:tcW w:w="300" w:type="dxa"/>
            <w:vAlign w:val="bottom"/>
          </w:tcPr>
          <w:p>
            <w:pPr>
              <w:spacing w:after="0"/>
              <w:rPr>
                <w:sz w:val="19"/>
                <w:szCs w:val="19"/>
                <w:color w:val="auto"/>
              </w:rPr>
            </w:pPr>
          </w:p>
        </w:tc>
        <w:tc>
          <w:tcPr>
            <w:tcW w:w="6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QoQ</w:t>
            </w:r>
          </w:p>
        </w:tc>
        <w:tc>
          <w:tcPr>
            <w:tcW w:w="280" w:type="dxa"/>
            <w:vAlign w:val="bottom"/>
          </w:tcPr>
          <w:p>
            <w:pPr>
              <w:spacing w:after="0"/>
              <w:rPr>
                <w:sz w:val="19"/>
                <w:szCs w:val="19"/>
                <w:color w:val="auto"/>
              </w:rPr>
            </w:pPr>
          </w:p>
        </w:tc>
        <w:tc>
          <w:tcPr>
            <w:tcW w:w="6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4Q09</w:t>
            </w:r>
          </w:p>
        </w:tc>
        <w:tc>
          <w:tcPr>
            <w:tcW w:w="220" w:type="dxa"/>
            <w:vAlign w:val="bottom"/>
          </w:tcPr>
          <w:p>
            <w:pPr>
              <w:spacing w:after="0"/>
              <w:rPr>
                <w:sz w:val="19"/>
                <w:szCs w:val="19"/>
                <w:color w:val="auto"/>
              </w:rPr>
            </w:pPr>
          </w:p>
        </w:tc>
        <w:tc>
          <w:tcPr>
            <w:tcW w:w="7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3Q09</w:t>
            </w:r>
          </w:p>
        </w:tc>
        <w:tc>
          <w:tcPr>
            <w:tcW w:w="180" w:type="dxa"/>
            <w:vAlign w:val="bottom"/>
          </w:tcPr>
          <w:p>
            <w:pPr>
              <w:spacing w:after="0"/>
              <w:rPr>
                <w:sz w:val="19"/>
                <w:szCs w:val="19"/>
                <w:color w:val="auto"/>
              </w:rPr>
            </w:pPr>
          </w:p>
        </w:tc>
        <w:tc>
          <w:tcPr>
            <w:tcW w:w="66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4Q08</w:t>
            </w:r>
          </w:p>
        </w:tc>
        <w:tc>
          <w:tcPr>
            <w:tcW w:w="220" w:type="dxa"/>
            <w:vAlign w:val="bottom"/>
          </w:tcPr>
          <w:p>
            <w:pPr>
              <w:spacing w:after="0"/>
              <w:rPr>
                <w:sz w:val="19"/>
                <w:szCs w:val="19"/>
                <w:color w:val="auto"/>
              </w:rPr>
            </w:pPr>
          </w:p>
        </w:tc>
        <w:tc>
          <w:tcPr>
            <w:tcW w:w="6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YoY</w:t>
            </w:r>
          </w:p>
        </w:tc>
        <w:tc>
          <w:tcPr>
            <w:tcW w:w="300" w:type="dxa"/>
            <w:vAlign w:val="bottom"/>
          </w:tcPr>
          <w:p>
            <w:pPr>
              <w:spacing w:after="0"/>
              <w:rPr>
                <w:sz w:val="19"/>
                <w:szCs w:val="19"/>
                <w:color w:val="auto"/>
              </w:rPr>
            </w:pPr>
          </w:p>
        </w:tc>
        <w:tc>
          <w:tcPr>
            <w:tcW w:w="68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QoQ</w:t>
            </w:r>
          </w:p>
        </w:tc>
        <w:tc>
          <w:tcPr>
            <w:tcW w:w="1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1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Wholesale Banking</w:t>
            </w:r>
          </w:p>
        </w:tc>
        <w:tc>
          <w:tcPr>
            <w:tcW w:w="78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4,706.6</w:t>
            </w:r>
          </w:p>
        </w:tc>
        <w:tc>
          <w:tcPr>
            <w:tcW w:w="220" w:type="dxa"/>
            <w:vAlign w:val="bottom"/>
            <w:shd w:val="clear" w:color="auto" w:fill="CCFFCC"/>
          </w:tcPr>
          <w:p>
            <w:pPr>
              <w:spacing w:after="0"/>
              <w:rPr>
                <w:sz w:val="18"/>
                <w:szCs w:val="18"/>
                <w:color w:val="auto"/>
              </w:rPr>
            </w:pPr>
          </w:p>
        </w:tc>
        <w:tc>
          <w:tcPr>
            <w:tcW w:w="6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4,624.1</w:t>
            </w:r>
          </w:p>
        </w:tc>
        <w:tc>
          <w:tcPr>
            <w:tcW w:w="220" w:type="dxa"/>
            <w:vAlign w:val="bottom"/>
            <w:shd w:val="clear" w:color="auto" w:fill="CCFFCC"/>
          </w:tcPr>
          <w:p>
            <w:pPr>
              <w:spacing w:after="0"/>
              <w:rPr>
                <w:sz w:val="18"/>
                <w:szCs w:val="18"/>
                <w:color w:val="auto"/>
              </w:rPr>
            </w:pPr>
          </w:p>
        </w:tc>
        <w:tc>
          <w:tcPr>
            <w:tcW w:w="700" w:type="dxa"/>
            <w:vAlign w:val="bottom"/>
            <w:tcBorders>
              <w:right w:val="single" w:sz="8" w:color="CCFFCC"/>
            </w:tcBorders>
            <w:shd w:val="clear" w:color="auto" w:fill="CCFFCC"/>
          </w:tcPr>
          <w:p>
            <w:pPr>
              <w:ind w:left="120"/>
              <w:spacing w:after="0"/>
              <w:rPr>
                <w:sz w:val="20"/>
                <w:szCs w:val="20"/>
                <w:color w:val="auto"/>
              </w:rPr>
            </w:pPr>
            <w:r>
              <w:rPr>
                <w:rFonts w:ascii="Arial" w:cs="Arial" w:eastAsia="Arial" w:hAnsi="Arial"/>
                <w:sz w:val="18"/>
                <w:szCs w:val="18"/>
                <w:b w:val="1"/>
                <w:bCs w:val="1"/>
                <w:color w:val="auto"/>
                <w:w w:val="89"/>
              </w:rPr>
              <w:t>4,256.2</w:t>
            </w:r>
          </w:p>
        </w:tc>
        <w:tc>
          <w:tcPr>
            <w:tcW w:w="116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10.6%</w:t>
            </w:r>
          </w:p>
        </w:tc>
        <w:tc>
          <w:tcPr>
            <w:tcW w:w="9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1.8%</w:t>
            </w:r>
          </w:p>
        </w:tc>
        <w:tc>
          <w:tcPr>
            <w:tcW w:w="6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4,263.3</w:t>
            </w:r>
          </w:p>
        </w:tc>
        <w:tc>
          <w:tcPr>
            <w:tcW w:w="220" w:type="dxa"/>
            <w:vAlign w:val="bottom"/>
            <w:shd w:val="clear" w:color="auto" w:fill="CCFFCC"/>
          </w:tcPr>
          <w:p>
            <w:pPr>
              <w:spacing w:after="0"/>
              <w:rPr>
                <w:sz w:val="18"/>
                <w:szCs w:val="18"/>
                <w:color w:val="auto"/>
              </w:rPr>
            </w:pPr>
          </w:p>
        </w:tc>
        <w:tc>
          <w:tcPr>
            <w:tcW w:w="72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4,242.9</w:t>
            </w:r>
          </w:p>
        </w:tc>
        <w:tc>
          <w:tcPr>
            <w:tcW w:w="106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4,594.2</w:t>
            </w:r>
          </w:p>
        </w:tc>
        <w:tc>
          <w:tcPr>
            <w:tcW w:w="9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-7.2%</w:t>
            </w:r>
          </w:p>
        </w:tc>
        <w:tc>
          <w:tcPr>
            <w:tcW w:w="86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0.5%</w:t>
            </w:r>
          </w:p>
        </w:tc>
      </w:tr>
      <w:tr>
        <w:trPr>
          <w:trHeight w:val="216"/>
        </w:trPr>
        <w:tc>
          <w:tcPr>
            <w:tcW w:w="20" w:type="dxa"/>
            <w:vAlign w:val="bottom"/>
          </w:tcPr>
          <w:p>
            <w:pPr>
              <w:spacing w:after="0"/>
              <w:rPr>
                <w:sz w:val="18"/>
                <w:szCs w:val="18"/>
                <w:color w:val="auto"/>
              </w:rPr>
            </w:pPr>
          </w:p>
        </w:tc>
        <w:tc>
          <w:tcPr>
            <w:tcW w:w="2160" w:type="dxa"/>
            <w:vAlign w:val="bottom"/>
          </w:tcPr>
          <w:p>
            <w:pPr>
              <w:ind w:left="160"/>
              <w:spacing w:after="0"/>
              <w:rPr>
                <w:sz w:val="20"/>
                <w:szCs w:val="20"/>
                <w:color w:val="auto"/>
              </w:rPr>
            </w:pPr>
            <w:r>
              <w:rPr>
                <w:rFonts w:ascii="Arial" w:cs="Arial" w:eastAsia="Arial" w:hAnsi="Arial"/>
                <w:sz w:val="18"/>
                <w:szCs w:val="18"/>
                <w:i w:val="1"/>
                <w:iCs w:val="1"/>
                <w:color w:val="auto"/>
              </w:rPr>
              <w:t>Corporate</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3,535.5</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3,516.5</w:t>
            </w:r>
          </w:p>
        </w:tc>
        <w:tc>
          <w:tcPr>
            <w:tcW w:w="220" w:type="dxa"/>
            <w:vAlign w:val="bottom"/>
          </w:tcPr>
          <w:p>
            <w:pPr>
              <w:spacing w:after="0"/>
              <w:rPr>
                <w:sz w:val="18"/>
                <w:szCs w:val="18"/>
                <w:color w:val="auto"/>
              </w:rPr>
            </w:pPr>
          </w:p>
        </w:tc>
        <w:tc>
          <w:tcPr>
            <w:tcW w:w="700" w:type="dxa"/>
            <w:vAlign w:val="bottom"/>
          </w:tcPr>
          <w:p>
            <w:pPr>
              <w:ind w:left="120"/>
              <w:spacing w:after="0"/>
              <w:rPr>
                <w:sz w:val="20"/>
                <w:szCs w:val="20"/>
                <w:color w:val="auto"/>
              </w:rPr>
            </w:pPr>
            <w:r>
              <w:rPr>
                <w:rFonts w:ascii="Arial" w:cs="Arial" w:eastAsia="Arial" w:hAnsi="Arial"/>
                <w:sz w:val="18"/>
                <w:szCs w:val="18"/>
                <w:color w:val="auto"/>
                <w:w w:val="89"/>
              </w:rPr>
              <w:t>2,998.8</w:t>
            </w:r>
          </w:p>
        </w:tc>
        <w:tc>
          <w:tcPr>
            <w:tcW w:w="1160" w:type="dxa"/>
            <w:vAlign w:val="bottom"/>
            <w:gridSpan w:val="3"/>
          </w:tcPr>
          <w:p>
            <w:pPr>
              <w:jc w:val="right"/>
              <w:ind w:right="160"/>
              <w:spacing w:after="0"/>
              <w:rPr>
                <w:sz w:val="20"/>
                <w:szCs w:val="20"/>
                <w:color w:val="auto"/>
              </w:rPr>
            </w:pPr>
            <w:r>
              <w:rPr>
                <w:rFonts w:ascii="Arial" w:cs="Arial" w:eastAsia="Arial" w:hAnsi="Arial"/>
                <w:sz w:val="18"/>
                <w:szCs w:val="18"/>
                <w:color w:val="auto"/>
              </w:rPr>
              <w:t>17.9%</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0.5%</w:t>
            </w:r>
          </w:p>
        </w:tc>
        <w:tc>
          <w:tcPr>
            <w:tcW w:w="680" w:type="dxa"/>
            <w:vAlign w:val="bottom"/>
          </w:tcPr>
          <w:p>
            <w:pPr>
              <w:jc w:val="right"/>
              <w:spacing w:after="0"/>
              <w:rPr>
                <w:sz w:val="20"/>
                <w:szCs w:val="20"/>
                <w:color w:val="auto"/>
              </w:rPr>
            </w:pPr>
            <w:r>
              <w:rPr>
                <w:rFonts w:ascii="Arial" w:cs="Arial" w:eastAsia="Arial" w:hAnsi="Arial"/>
                <w:sz w:val="18"/>
                <w:szCs w:val="18"/>
                <w:color w:val="auto"/>
              </w:rPr>
              <w:t>2,764.4</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2,743.1</w:t>
            </w:r>
          </w:p>
        </w:tc>
        <w:tc>
          <w:tcPr>
            <w:tcW w:w="1060" w:type="dxa"/>
            <w:vAlign w:val="bottom"/>
            <w:gridSpan w:val="3"/>
          </w:tcPr>
          <w:p>
            <w:pPr>
              <w:jc w:val="right"/>
              <w:ind w:right="220"/>
              <w:spacing w:after="0"/>
              <w:rPr>
                <w:sz w:val="20"/>
                <w:szCs w:val="20"/>
                <w:color w:val="auto"/>
              </w:rPr>
            </w:pPr>
            <w:r>
              <w:rPr>
                <w:rFonts w:ascii="Arial" w:cs="Arial" w:eastAsia="Arial" w:hAnsi="Arial"/>
                <w:sz w:val="18"/>
                <w:szCs w:val="18"/>
                <w:color w:val="auto"/>
              </w:rPr>
              <w:t>2,796.4</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-1.1%</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0.8%</w:t>
            </w:r>
          </w:p>
        </w:tc>
      </w:tr>
      <w:tr>
        <w:trPr>
          <w:trHeight w:val="216"/>
        </w:trPr>
        <w:tc>
          <w:tcPr>
            <w:tcW w:w="20" w:type="dxa"/>
            <w:vAlign w:val="bottom"/>
          </w:tcPr>
          <w:p>
            <w:pPr>
              <w:spacing w:after="0"/>
              <w:rPr>
                <w:sz w:val="18"/>
                <w:szCs w:val="18"/>
                <w:color w:val="auto"/>
              </w:rPr>
            </w:pPr>
          </w:p>
        </w:tc>
        <w:tc>
          <w:tcPr>
            <w:tcW w:w="2160" w:type="dxa"/>
            <w:vAlign w:val="bottom"/>
            <w:shd w:val="clear" w:color="auto" w:fill="CCFFCC"/>
          </w:tcPr>
          <w:p>
            <w:pPr>
              <w:ind w:left="160"/>
              <w:spacing w:after="0"/>
              <w:rPr>
                <w:sz w:val="20"/>
                <w:szCs w:val="20"/>
                <w:color w:val="auto"/>
              </w:rPr>
            </w:pPr>
            <w:r>
              <w:rPr>
                <w:rFonts w:ascii="Arial" w:cs="Arial" w:eastAsia="Arial" w:hAnsi="Arial"/>
                <w:sz w:val="18"/>
                <w:szCs w:val="18"/>
                <w:i w:val="1"/>
                <w:iCs w:val="1"/>
                <w:color w:val="auto"/>
              </w:rPr>
              <w:t>Middle Market</w:t>
            </w:r>
          </w:p>
        </w:tc>
        <w:tc>
          <w:tcPr>
            <w:tcW w:w="7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1,171.0</w:t>
            </w:r>
          </w:p>
        </w:tc>
        <w:tc>
          <w:tcPr>
            <w:tcW w:w="220" w:type="dxa"/>
            <w:vAlign w:val="bottom"/>
            <w:shd w:val="clear" w:color="auto" w:fill="CCFFCC"/>
          </w:tcPr>
          <w:p>
            <w:pPr>
              <w:spacing w:after="0"/>
              <w:rPr>
                <w:sz w:val="18"/>
                <w:szCs w:val="18"/>
                <w:color w:val="auto"/>
              </w:rPr>
            </w:pPr>
          </w:p>
        </w:tc>
        <w:tc>
          <w:tcPr>
            <w:tcW w:w="6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1,107.5</w:t>
            </w:r>
          </w:p>
        </w:tc>
        <w:tc>
          <w:tcPr>
            <w:tcW w:w="220" w:type="dxa"/>
            <w:vAlign w:val="bottom"/>
            <w:shd w:val="clear" w:color="auto" w:fill="CCFFCC"/>
          </w:tcPr>
          <w:p>
            <w:pPr>
              <w:spacing w:after="0"/>
              <w:rPr>
                <w:sz w:val="18"/>
                <w:szCs w:val="18"/>
                <w:color w:val="auto"/>
              </w:rPr>
            </w:pPr>
          </w:p>
        </w:tc>
        <w:tc>
          <w:tcPr>
            <w:tcW w:w="700" w:type="dxa"/>
            <w:vAlign w:val="bottom"/>
            <w:tcBorders>
              <w:right w:val="single" w:sz="8" w:color="CCFFCC"/>
            </w:tcBorders>
            <w:shd w:val="clear" w:color="auto" w:fill="CCFFCC"/>
          </w:tcPr>
          <w:p>
            <w:pPr>
              <w:ind w:left="120"/>
              <w:spacing w:after="0"/>
              <w:rPr>
                <w:sz w:val="20"/>
                <w:szCs w:val="20"/>
                <w:color w:val="auto"/>
              </w:rPr>
            </w:pPr>
            <w:r>
              <w:rPr>
                <w:rFonts w:ascii="Arial" w:cs="Arial" w:eastAsia="Arial" w:hAnsi="Arial"/>
                <w:sz w:val="18"/>
                <w:szCs w:val="18"/>
                <w:color w:val="auto"/>
                <w:w w:val="89"/>
              </w:rPr>
              <w:t>1,257.4</w:t>
            </w:r>
          </w:p>
        </w:tc>
        <w:tc>
          <w:tcPr>
            <w:tcW w:w="116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-6.9%</w:t>
            </w:r>
          </w:p>
        </w:tc>
        <w:tc>
          <w:tcPr>
            <w:tcW w:w="9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5.7%</w:t>
            </w:r>
          </w:p>
        </w:tc>
        <w:tc>
          <w:tcPr>
            <w:tcW w:w="6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1,499.0</w:t>
            </w:r>
          </w:p>
        </w:tc>
        <w:tc>
          <w:tcPr>
            <w:tcW w:w="220" w:type="dxa"/>
            <w:vAlign w:val="bottom"/>
            <w:shd w:val="clear" w:color="auto" w:fill="CCFFCC"/>
          </w:tcPr>
          <w:p>
            <w:pPr>
              <w:spacing w:after="0"/>
              <w:rPr>
                <w:sz w:val="18"/>
                <w:szCs w:val="18"/>
                <w:color w:val="auto"/>
              </w:rPr>
            </w:pPr>
          </w:p>
        </w:tc>
        <w:tc>
          <w:tcPr>
            <w:tcW w:w="72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1,499.7</w:t>
            </w:r>
          </w:p>
        </w:tc>
        <w:tc>
          <w:tcPr>
            <w:tcW w:w="106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1,797.7</w:t>
            </w:r>
          </w:p>
        </w:tc>
        <w:tc>
          <w:tcPr>
            <w:tcW w:w="9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-16.6%</w:t>
            </w:r>
          </w:p>
        </w:tc>
        <w:tc>
          <w:tcPr>
            <w:tcW w:w="8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-0.1%</w:t>
            </w:r>
          </w:p>
        </w:tc>
      </w:tr>
      <w:tr>
        <w:trPr>
          <w:trHeight w:val="216"/>
        </w:trPr>
        <w:tc>
          <w:tcPr>
            <w:tcW w:w="2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Arial" w:cs="Arial" w:eastAsia="Arial" w:hAnsi="Arial"/>
                <w:sz w:val="18"/>
                <w:szCs w:val="18"/>
                <w:b w:val="1"/>
                <w:bCs w:val="1"/>
                <w:color w:val="auto"/>
              </w:rPr>
              <w:t>Retail Banking</w:t>
            </w:r>
          </w:p>
        </w:tc>
        <w:tc>
          <w:tcPr>
            <w:tcW w:w="780" w:type="dxa"/>
            <w:vAlign w:val="bottom"/>
            <w:gridSpan w:val="2"/>
          </w:tcPr>
          <w:p>
            <w:pPr>
              <w:jc w:val="right"/>
              <w:spacing w:after="0"/>
              <w:rPr>
                <w:sz w:val="20"/>
                <w:szCs w:val="20"/>
                <w:color w:val="auto"/>
              </w:rPr>
            </w:pPr>
            <w:r>
              <w:rPr>
                <w:rFonts w:ascii="Arial" w:cs="Arial" w:eastAsia="Arial" w:hAnsi="Arial"/>
                <w:sz w:val="18"/>
                <w:szCs w:val="18"/>
                <w:b w:val="1"/>
                <w:bCs w:val="1"/>
                <w:color w:val="auto"/>
              </w:rPr>
              <w:t>7,172.3</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6,686.1</w:t>
            </w:r>
          </w:p>
        </w:tc>
        <w:tc>
          <w:tcPr>
            <w:tcW w:w="220" w:type="dxa"/>
            <w:vAlign w:val="bottom"/>
          </w:tcPr>
          <w:p>
            <w:pPr>
              <w:spacing w:after="0"/>
              <w:rPr>
                <w:sz w:val="18"/>
                <w:szCs w:val="18"/>
                <w:color w:val="auto"/>
              </w:rPr>
            </w:pPr>
          </w:p>
        </w:tc>
        <w:tc>
          <w:tcPr>
            <w:tcW w:w="700" w:type="dxa"/>
            <w:vAlign w:val="bottom"/>
          </w:tcPr>
          <w:p>
            <w:pPr>
              <w:ind w:left="120"/>
              <w:spacing w:after="0"/>
              <w:rPr>
                <w:sz w:val="20"/>
                <w:szCs w:val="20"/>
                <w:color w:val="auto"/>
              </w:rPr>
            </w:pPr>
            <w:r>
              <w:rPr>
                <w:rFonts w:ascii="Arial" w:cs="Arial" w:eastAsia="Arial" w:hAnsi="Arial"/>
                <w:sz w:val="18"/>
                <w:szCs w:val="18"/>
                <w:b w:val="1"/>
                <w:bCs w:val="1"/>
                <w:color w:val="auto"/>
                <w:w w:val="89"/>
              </w:rPr>
              <w:t>5,612.2</w:t>
            </w:r>
          </w:p>
        </w:tc>
        <w:tc>
          <w:tcPr>
            <w:tcW w:w="116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27.8%</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7.3%</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1,799.7</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1,782.5</w:t>
            </w:r>
          </w:p>
        </w:tc>
        <w:tc>
          <w:tcPr>
            <w:tcW w:w="106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1,831.1</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-1.7%</w:t>
            </w: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rPr>
              <w:t>1.0%</w:t>
            </w:r>
          </w:p>
        </w:tc>
      </w:tr>
      <w:tr>
        <w:trPr>
          <w:trHeight w:val="216"/>
        </w:trPr>
        <w:tc>
          <w:tcPr>
            <w:tcW w:w="20" w:type="dxa"/>
            <w:vAlign w:val="bottom"/>
          </w:tcPr>
          <w:p>
            <w:pPr>
              <w:spacing w:after="0"/>
              <w:rPr>
                <w:sz w:val="18"/>
                <w:szCs w:val="18"/>
                <w:color w:val="auto"/>
              </w:rPr>
            </w:pPr>
          </w:p>
        </w:tc>
        <w:tc>
          <w:tcPr>
            <w:tcW w:w="2160" w:type="dxa"/>
            <w:vAlign w:val="bottom"/>
            <w:shd w:val="clear" w:color="auto" w:fill="CCFFCC"/>
          </w:tcPr>
          <w:p>
            <w:pPr>
              <w:ind w:left="160"/>
              <w:spacing w:after="0"/>
              <w:rPr>
                <w:sz w:val="20"/>
                <w:szCs w:val="20"/>
                <w:color w:val="auto"/>
              </w:rPr>
            </w:pPr>
            <w:r>
              <w:rPr>
                <w:rFonts w:ascii="Arial" w:cs="Arial" w:eastAsia="Arial" w:hAnsi="Arial"/>
                <w:sz w:val="18"/>
                <w:szCs w:val="18"/>
                <w:i w:val="1"/>
                <w:iCs w:val="1"/>
                <w:color w:val="auto"/>
              </w:rPr>
              <w:t>SME</w:t>
            </w:r>
          </w:p>
        </w:tc>
        <w:tc>
          <w:tcPr>
            <w:tcW w:w="7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2,442.1</w:t>
            </w:r>
          </w:p>
        </w:tc>
        <w:tc>
          <w:tcPr>
            <w:tcW w:w="220" w:type="dxa"/>
            <w:vAlign w:val="bottom"/>
            <w:shd w:val="clear" w:color="auto" w:fill="CCFFCC"/>
          </w:tcPr>
          <w:p>
            <w:pPr>
              <w:spacing w:after="0"/>
              <w:rPr>
                <w:sz w:val="18"/>
                <w:szCs w:val="18"/>
                <w:color w:val="auto"/>
              </w:rPr>
            </w:pPr>
          </w:p>
        </w:tc>
        <w:tc>
          <w:tcPr>
            <w:tcW w:w="6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2,269.4</w:t>
            </w:r>
          </w:p>
        </w:tc>
        <w:tc>
          <w:tcPr>
            <w:tcW w:w="220" w:type="dxa"/>
            <w:vAlign w:val="bottom"/>
            <w:shd w:val="clear" w:color="auto" w:fill="CCFFCC"/>
          </w:tcPr>
          <w:p>
            <w:pPr>
              <w:spacing w:after="0"/>
              <w:rPr>
                <w:sz w:val="18"/>
                <w:szCs w:val="18"/>
                <w:color w:val="auto"/>
              </w:rPr>
            </w:pPr>
          </w:p>
        </w:tc>
        <w:tc>
          <w:tcPr>
            <w:tcW w:w="700" w:type="dxa"/>
            <w:vAlign w:val="bottom"/>
            <w:tcBorders>
              <w:right w:val="single" w:sz="8" w:color="CCFFCC"/>
            </w:tcBorders>
            <w:shd w:val="clear" w:color="auto" w:fill="CCFFCC"/>
          </w:tcPr>
          <w:p>
            <w:pPr>
              <w:ind w:left="120"/>
              <w:spacing w:after="0"/>
              <w:rPr>
                <w:sz w:val="20"/>
                <w:szCs w:val="20"/>
                <w:color w:val="auto"/>
              </w:rPr>
            </w:pPr>
            <w:r>
              <w:rPr>
                <w:rFonts w:ascii="Arial" w:cs="Arial" w:eastAsia="Arial" w:hAnsi="Arial"/>
                <w:sz w:val="18"/>
                <w:szCs w:val="18"/>
                <w:color w:val="auto"/>
                <w:w w:val="89"/>
              </w:rPr>
              <w:t>1,955.4</w:t>
            </w:r>
          </w:p>
        </w:tc>
        <w:tc>
          <w:tcPr>
            <w:tcW w:w="116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24.9%</w:t>
            </w:r>
          </w:p>
        </w:tc>
        <w:tc>
          <w:tcPr>
            <w:tcW w:w="9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7.6%</w:t>
            </w:r>
          </w:p>
        </w:tc>
        <w:tc>
          <w:tcPr>
            <w:tcW w:w="9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557.1</w:t>
            </w:r>
          </w:p>
        </w:tc>
        <w:tc>
          <w:tcPr>
            <w:tcW w:w="72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550.6</w:t>
            </w:r>
          </w:p>
        </w:tc>
        <w:tc>
          <w:tcPr>
            <w:tcW w:w="106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593.5</w:t>
            </w:r>
          </w:p>
        </w:tc>
        <w:tc>
          <w:tcPr>
            <w:tcW w:w="9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-6.1%</w:t>
            </w:r>
          </w:p>
        </w:tc>
        <w:tc>
          <w:tcPr>
            <w:tcW w:w="8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1.2%</w:t>
            </w:r>
          </w:p>
        </w:tc>
      </w:tr>
      <w:tr>
        <w:trPr>
          <w:trHeight w:val="216"/>
        </w:trPr>
        <w:tc>
          <w:tcPr>
            <w:tcW w:w="20" w:type="dxa"/>
            <w:vAlign w:val="bottom"/>
          </w:tcPr>
          <w:p>
            <w:pPr>
              <w:spacing w:after="0"/>
              <w:rPr>
                <w:sz w:val="18"/>
                <w:szCs w:val="18"/>
                <w:color w:val="auto"/>
              </w:rPr>
            </w:pPr>
          </w:p>
        </w:tc>
        <w:tc>
          <w:tcPr>
            <w:tcW w:w="2160" w:type="dxa"/>
            <w:vAlign w:val="bottom"/>
          </w:tcPr>
          <w:p>
            <w:pPr>
              <w:ind w:left="160"/>
              <w:spacing w:after="0"/>
              <w:rPr>
                <w:sz w:val="20"/>
                <w:szCs w:val="20"/>
                <w:color w:val="auto"/>
              </w:rPr>
            </w:pPr>
            <w:r>
              <w:rPr>
                <w:rFonts w:ascii="Arial" w:cs="Arial" w:eastAsia="Arial" w:hAnsi="Arial"/>
                <w:sz w:val="18"/>
                <w:szCs w:val="18"/>
                <w:i w:val="1"/>
                <w:iCs w:val="1"/>
                <w:color w:val="auto"/>
              </w:rPr>
              <w:t>Mortgages</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1,826.3</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1,656.9</w:t>
            </w:r>
          </w:p>
        </w:tc>
        <w:tc>
          <w:tcPr>
            <w:tcW w:w="220" w:type="dxa"/>
            <w:vAlign w:val="bottom"/>
          </w:tcPr>
          <w:p>
            <w:pPr>
              <w:spacing w:after="0"/>
              <w:rPr>
                <w:sz w:val="18"/>
                <w:szCs w:val="18"/>
                <w:color w:val="auto"/>
              </w:rPr>
            </w:pPr>
          </w:p>
        </w:tc>
        <w:tc>
          <w:tcPr>
            <w:tcW w:w="700" w:type="dxa"/>
            <w:vAlign w:val="bottom"/>
          </w:tcPr>
          <w:p>
            <w:pPr>
              <w:ind w:left="120"/>
              <w:spacing w:after="0"/>
              <w:rPr>
                <w:sz w:val="20"/>
                <w:szCs w:val="20"/>
                <w:color w:val="auto"/>
              </w:rPr>
            </w:pPr>
            <w:r>
              <w:rPr>
                <w:rFonts w:ascii="Arial" w:cs="Arial" w:eastAsia="Arial" w:hAnsi="Arial"/>
                <w:sz w:val="18"/>
                <w:szCs w:val="18"/>
                <w:color w:val="auto"/>
                <w:w w:val="89"/>
              </w:rPr>
              <w:t>1,306.9</w:t>
            </w:r>
          </w:p>
        </w:tc>
        <w:tc>
          <w:tcPr>
            <w:tcW w:w="1160" w:type="dxa"/>
            <w:vAlign w:val="bottom"/>
            <w:gridSpan w:val="3"/>
          </w:tcPr>
          <w:p>
            <w:pPr>
              <w:jc w:val="right"/>
              <w:ind w:right="160"/>
              <w:spacing w:after="0"/>
              <w:rPr>
                <w:sz w:val="20"/>
                <w:szCs w:val="20"/>
                <w:color w:val="auto"/>
              </w:rPr>
            </w:pPr>
            <w:r>
              <w:rPr>
                <w:rFonts w:ascii="Arial" w:cs="Arial" w:eastAsia="Arial" w:hAnsi="Arial"/>
                <w:sz w:val="18"/>
                <w:szCs w:val="18"/>
                <w:color w:val="auto"/>
              </w:rPr>
              <w:t>39.7%</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10.2%</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920.2</w:t>
            </w:r>
          </w:p>
        </w:tc>
        <w:tc>
          <w:tcPr>
            <w:tcW w:w="720" w:type="dxa"/>
            <w:vAlign w:val="bottom"/>
          </w:tcPr>
          <w:p>
            <w:pPr>
              <w:jc w:val="right"/>
              <w:spacing w:after="0"/>
              <w:rPr>
                <w:sz w:val="20"/>
                <w:szCs w:val="20"/>
                <w:color w:val="auto"/>
              </w:rPr>
            </w:pPr>
            <w:r>
              <w:rPr>
                <w:rFonts w:ascii="Arial" w:cs="Arial" w:eastAsia="Arial" w:hAnsi="Arial"/>
                <w:sz w:val="18"/>
                <w:szCs w:val="18"/>
                <w:color w:val="auto"/>
              </w:rPr>
              <w:t>905.9</w:t>
            </w:r>
          </w:p>
        </w:tc>
        <w:tc>
          <w:tcPr>
            <w:tcW w:w="1060" w:type="dxa"/>
            <w:vAlign w:val="bottom"/>
            <w:gridSpan w:val="3"/>
          </w:tcPr>
          <w:p>
            <w:pPr>
              <w:jc w:val="right"/>
              <w:ind w:right="220"/>
              <w:spacing w:after="0"/>
              <w:rPr>
                <w:sz w:val="20"/>
                <w:szCs w:val="20"/>
                <w:color w:val="auto"/>
              </w:rPr>
            </w:pPr>
            <w:r>
              <w:rPr>
                <w:rFonts w:ascii="Arial" w:cs="Arial" w:eastAsia="Arial" w:hAnsi="Arial"/>
                <w:sz w:val="18"/>
                <w:szCs w:val="18"/>
                <w:color w:val="auto"/>
              </w:rPr>
              <w:t>903.6</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1.8%</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r>
      <w:tr>
        <w:trPr>
          <w:trHeight w:val="216"/>
        </w:trPr>
        <w:tc>
          <w:tcPr>
            <w:tcW w:w="20" w:type="dxa"/>
            <w:vAlign w:val="bottom"/>
          </w:tcPr>
          <w:p>
            <w:pPr>
              <w:spacing w:after="0"/>
              <w:rPr>
                <w:sz w:val="18"/>
                <w:szCs w:val="18"/>
                <w:color w:val="auto"/>
              </w:rPr>
            </w:pPr>
          </w:p>
        </w:tc>
        <w:tc>
          <w:tcPr>
            <w:tcW w:w="2160" w:type="dxa"/>
            <w:vAlign w:val="bottom"/>
            <w:shd w:val="clear" w:color="auto" w:fill="CCFFCC"/>
          </w:tcPr>
          <w:p>
            <w:pPr>
              <w:ind w:left="160"/>
              <w:spacing w:after="0"/>
              <w:rPr>
                <w:sz w:val="20"/>
                <w:szCs w:val="20"/>
                <w:color w:val="auto"/>
              </w:rPr>
            </w:pPr>
            <w:r>
              <w:rPr>
                <w:rFonts w:ascii="Arial" w:cs="Arial" w:eastAsia="Arial" w:hAnsi="Arial"/>
                <w:sz w:val="18"/>
                <w:szCs w:val="18"/>
                <w:i w:val="1"/>
                <w:iCs w:val="1"/>
                <w:color w:val="auto"/>
              </w:rPr>
              <w:t>Consumer</w:t>
            </w:r>
          </w:p>
        </w:tc>
        <w:tc>
          <w:tcPr>
            <w:tcW w:w="7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1,657.7</w:t>
            </w:r>
          </w:p>
        </w:tc>
        <w:tc>
          <w:tcPr>
            <w:tcW w:w="220" w:type="dxa"/>
            <w:vAlign w:val="bottom"/>
            <w:shd w:val="clear" w:color="auto" w:fill="CCFFCC"/>
          </w:tcPr>
          <w:p>
            <w:pPr>
              <w:spacing w:after="0"/>
              <w:rPr>
                <w:sz w:val="18"/>
                <w:szCs w:val="18"/>
                <w:color w:val="auto"/>
              </w:rPr>
            </w:pPr>
          </w:p>
        </w:tc>
        <w:tc>
          <w:tcPr>
            <w:tcW w:w="6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1,586.7</w:t>
            </w:r>
          </w:p>
        </w:tc>
        <w:tc>
          <w:tcPr>
            <w:tcW w:w="220" w:type="dxa"/>
            <w:vAlign w:val="bottom"/>
            <w:shd w:val="clear" w:color="auto" w:fill="CCFFCC"/>
          </w:tcPr>
          <w:p>
            <w:pPr>
              <w:spacing w:after="0"/>
              <w:rPr>
                <w:sz w:val="18"/>
                <w:szCs w:val="18"/>
                <w:color w:val="auto"/>
              </w:rPr>
            </w:pPr>
          </w:p>
        </w:tc>
        <w:tc>
          <w:tcPr>
            <w:tcW w:w="700" w:type="dxa"/>
            <w:vAlign w:val="bottom"/>
            <w:tcBorders>
              <w:right w:val="single" w:sz="8" w:color="CCFFCC"/>
            </w:tcBorders>
            <w:shd w:val="clear" w:color="auto" w:fill="CCFFCC"/>
          </w:tcPr>
          <w:p>
            <w:pPr>
              <w:ind w:left="120"/>
              <w:spacing w:after="0"/>
              <w:rPr>
                <w:sz w:val="20"/>
                <w:szCs w:val="20"/>
                <w:color w:val="auto"/>
              </w:rPr>
            </w:pPr>
            <w:r>
              <w:rPr>
                <w:rFonts w:ascii="Arial" w:cs="Arial" w:eastAsia="Arial" w:hAnsi="Arial"/>
                <w:sz w:val="18"/>
                <w:szCs w:val="18"/>
                <w:color w:val="auto"/>
                <w:w w:val="89"/>
              </w:rPr>
              <w:t>1,331.4</w:t>
            </w:r>
          </w:p>
        </w:tc>
        <w:tc>
          <w:tcPr>
            <w:tcW w:w="116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24.5%</w:t>
            </w:r>
          </w:p>
        </w:tc>
        <w:tc>
          <w:tcPr>
            <w:tcW w:w="9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4.5%</w:t>
            </w:r>
          </w:p>
        </w:tc>
        <w:tc>
          <w:tcPr>
            <w:tcW w:w="9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255.5</w:t>
            </w:r>
          </w:p>
        </w:tc>
        <w:tc>
          <w:tcPr>
            <w:tcW w:w="72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260.6</w:t>
            </w:r>
          </w:p>
        </w:tc>
        <w:tc>
          <w:tcPr>
            <w:tcW w:w="106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268.7</w:t>
            </w:r>
          </w:p>
        </w:tc>
        <w:tc>
          <w:tcPr>
            <w:tcW w:w="9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-4.9%</w:t>
            </w:r>
          </w:p>
        </w:tc>
        <w:tc>
          <w:tcPr>
            <w:tcW w:w="8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-1.9%</w:t>
            </w:r>
          </w:p>
        </w:tc>
      </w:tr>
      <w:tr>
        <w:trPr>
          <w:trHeight w:val="216"/>
        </w:trPr>
        <w:tc>
          <w:tcPr>
            <w:tcW w:w="20" w:type="dxa"/>
            <w:vAlign w:val="bottom"/>
          </w:tcPr>
          <w:p>
            <w:pPr>
              <w:spacing w:after="0"/>
              <w:rPr>
                <w:sz w:val="18"/>
                <w:szCs w:val="18"/>
                <w:color w:val="auto"/>
              </w:rPr>
            </w:pPr>
          </w:p>
        </w:tc>
        <w:tc>
          <w:tcPr>
            <w:tcW w:w="2160" w:type="dxa"/>
            <w:vAlign w:val="bottom"/>
          </w:tcPr>
          <w:p>
            <w:pPr>
              <w:ind w:left="160"/>
              <w:spacing w:after="0"/>
              <w:rPr>
                <w:sz w:val="20"/>
                <w:szCs w:val="20"/>
                <w:color w:val="auto"/>
              </w:rPr>
            </w:pPr>
            <w:r>
              <w:rPr>
                <w:rFonts w:ascii="Arial" w:cs="Arial" w:eastAsia="Arial" w:hAnsi="Arial"/>
                <w:sz w:val="18"/>
                <w:szCs w:val="18"/>
                <w:i w:val="1"/>
                <w:iCs w:val="1"/>
                <w:color w:val="auto"/>
              </w:rPr>
              <w:t>Credit Cards</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1,246.3</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1,173.0</w:t>
            </w:r>
          </w:p>
        </w:tc>
        <w:tc>
          <w:tcPr>
            <w:tcW w:w="220" w:type="dxa"/>
            <w:vAlign w:val="bottom"/>
          </w:tcPr>
          <w:p>
            <w:pPr>
              <w:spacing w:after="0"/>
              <w:rPr>
                <w:sz w:val="18"/>
                <w:szCs w:val="18"/>
                <w:color w:val="auto"/>
              </w:rPr>
            </w:pPr>
          </w:p>
        </w:tc>
        <w:tc>
          <w:tcPr>
            <w:tcW w:w="700" w:type="dxa"/>
            <w:vAlign w:val="bottom"/>
          </w:tcPr>
          <w:p>
            <w:pPr>
              <w:ind w:left="120"/>
              <w:spacing w:after="0"/>
              <w:rPr>
                <w:sz w:val="20"/>
                <w:szCs w:val="20"/>
                <w:color w:val="auto"/>
              </w:rPr>
            </w:pPr>
            <w:r>
              <w:rPr>
                <w:rFonts w:ascii="Arial" w:cs="Arial" w:eastAsia="Arial" w:hAnsi="Arial"/>
                <w:sz w:val="18"/>
                <w:szCs w:val="18"/>
                <w:color w:val="auto"/>
                <w:w w:val="89"/>
              </w:rPr>
              <w:t>1,018.4</w:t>
            </w:r>
          </w:p>
        </w:tc>
        <w:tc>
          <w:tcPr>
            <w:tcW w:w="1160" w:type="dxa"/>
            <w:vAlign w:val="bottom"/>
            <w:gridSpan w:val="3"/>
          </w:tcPr>
          <w:p>
            <w:pPr>
              <w:jc w:val="right"/>
              <w:ind w:right="160"/>
              <w:spacing w:after="0"/>
              <w:rPr>
                <w:sz w:val="20"/>
                <w:szCs w:val="20"/>
                <w:color w:val="auto"/>
              </w:rPr>
            </w:pPr>
            <w:r>
              <w:rPr>
                <w:rFonts w:ascii="Arial" w:cs="Arial" w:eastAsia="Arial" w:hAnsi="Arial"/>
                <w:sz w:val="18"/>
                <w:szCs w:val="18"/>
                <w:color w:val="auto"/>
              </w:rPr>
              <w:t>22.4%</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6.2%</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67.0</w:t>
            </w:r>
          </w:p>
        </w:tc>
        <w:tc>
          <w:tcPr>
            <w:tcW w:w="720" w:type="dxa"/>
            <w:vAlign w:val="bottom"/>
          </w:tcPr>
          <w:p>
            <w:pPr>
              <w:jc w:val="right"/>
              <w:spacing w:after="0"/>
              <w:rPr>
                <w:sz w:val="20"/>
                <w:szCs w:val="20"/>
                <w:color w:val="auto"/>
              </w:rPr>
            </w:pPr>
            <w:r>
              <w:rPr>
                <w:rFonts w:ascii="Arial" w:cs="Arial" w:eastAsia="Arial" w:hAnsi="Arial"/>
                <w:sz w:val="18"/>
                <w:szCs w:val="18"/>
                <w:color w:val="auto"/>
              </w:rPr>
              <w:t>65.5</w:t>
            </w:r>
          </w:p>
        </w:tc>
        <w:tc>
          <w:tcPr>
            <w:tcW w:w="1060" w:type="dxa"/>
            <w:vAlign w:val="bottom"/>
            <w:gridSpan w:val="3"/>
          </w:tcPr>
          <w:p>
            <w:pPr>
              <w:jc w:val="right"/>
              <w:ind w:right="220"/>
              <w:spacing w:after="0"/>
              <w:rPr>
                <w:sz w:val="20"/>
                <w:szCs w:val="20"/>
                <w:color w:val="auto"/>
              </w:rPr>
            </w:pPr>
            <w:r>
              <w:rPr>
                <w:rFonts w:ascii="Arial" w:cs="Arial" w:eastAsia="Arial" w:hAnsi="Arial"/>
                <w:sz w:val="18"/>
                <w:szCs w:val="18"/>
                <w:color w:val="auto"/>
              </w:rPr>
              <w:t>65.3</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2.6%</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2.4%</w:t>
            </w:r>
          </w:p>
        </w:tc>
      </w:tr>
      <w:tr>
        <w:trPr>
          <w:trHeight w:val="216"/>
        </w:trPr>
        <w:tc>
          <w:tcPr>
            <w:tcW w:w="20" w:type="dxa"/>
            <w:vAlign w:val="bottom"/>
          </w:tcPr>
          <w:p>
            <w:pPr>
              <w:spacing w:after="0"/>
              <w:rPr>
                <w:sz w:val="18"/>
                <w:szCs w:val="18"/>
                <w:color w:val="auto"/>
              </w:rPr>
            </w:pPr>
          </w:p>
        </w:tc>
        <w:tc>
          <w:tcPr>
            <w:tcW w:w="21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w w:val="90"/>
              </w:rPr>
              <w:t>Consolidated total loans (2)</w:t>
            </w:r>
          </w:p>
        </w:tc>
        <w:tc>
          <w:tcPr>
            <w:tcW w:w="120" w:type="dxa"/>
            <w:vAlign w:val="bottom"/>
            <w:shd w:val="clear" w:color="auto" w:fill="CCFFCC"/>
          </w:tcPr>
          <w:p>
            <w:pPr>
              <w:spacing w:after="0"/>
              <w:rPr>
                <w:sz w:val="18"/>
                <w:szCs w:val="18"/>
                <w:color w:val="auto"/>
              </w:rPr>
            </w:pPr>
          </w:p>
        </w:tc>
        <w:tc>
          <w:tcPr>
            <w:tcW w:w="8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12,018</w:t>
            </w:r>
          </w:p>
        </w:tc>
        <w:tc>
          <w:tcPr>
            <w:tcW w:w="9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11,419</w:t>
            </w:r>
          </w:p>
        </w:tc>
        <w:tc>
          <w:tcPr>
            <w:tcW w:w="700" w:type="dxa"/>
            <w:vAlign w:val="bottom"/>
            <w:tcBorders>
              <w:right w:val="single" w:sz="8" w:color="CCFFCC"/>
            </w:tcBorders>
            <w:shd w:val="clear" w:color="auto" w:fill="CCFFCC"/>
          </w:tcPr>
          <w:p>
            <w:pPr>
              <w:ind w:left="120"/>
              <w:spacing w:after="0"/>
              <w:rPr>
                <w:sz w:val="20"/>
                <w:szCs w:val="20"/>
                <w:color w:val="auto"/>
              </w:rPr>
            </w:pPr>
            <w:r>
              <w:rPr>
                <w:rFonts w:ascii="Arial" w:cs="Arial" w:eastAsia="Arial" w:hAnsi="Arial"/>
                <w:sz w:val="18"/>
                <w:szCs w:val="18"/>
                <w:b w:val="1"/>
                <w:bCs w:val="1"/>
                <w:color w:val="auto"/>
                <w:w w:val="89"/>
              </w:rPr>
              <w:t>9,905.1</w:t>
            </w:r>
          </w:p>
        </w:tc>
        <w:tc>
          <w:tcPr>
            <w:tcW w:w="116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21.3%</w:t>
            </w:r>
          </w:p>
        </w:tc>
        <w:tc>
          <w:tcPr>
            <w:tcW w:w="9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5.2%</w:t>
            </w:r>
          </w:p>
        </w:tc>
        <w:tc>
          <w:tcPr>
            <w:tcW w:w="9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6,675</w:t>
            </w:r>
          </w:p>
        </w:tc>
        <w:tc>
          <w:tcPr>
            <w:tcW w:w="72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6,615</w:t>
            </w:r>
          </w:p>
        </w:tc>
        <w:tc>
          <w:tcPr>
            <w:tcW w:w="106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7,015.7</w:t>
            </w:r>
          </w:p>
        </w:tc>
        <w:tc>
          <w:tcPr>
            <w:tcW w:w="9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-4.8%</w:t>
            </w:r>
          </w:p>
        </w:tc>
        <w:tc>
          <w:tcPr>
            <w:tcW w:w="86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0.9%</w:t>
            </w:r>
          </w:p>
        </w:tc>
      </w:tr>
      <w:tr>
        <w:trPr>
          <w:trHeight w:val="27"/>
        </w:trPr>
        <w:tc>
          <w:tcPr>
            <w:tcW w:w="20" w:type="dxa"/>
            <w:vAlign w:val="bottom"/>
          </w:tcPr>
          <w:p>
            <w:pPr>
              <w:spacing w:after="0"/>
              <w:rPr>
                <w:sz w:val="2"/>
                <w:szCs w:val="2"/>
                <w:color w:val="auto"/>
              </w:rPr>
            </w:pPr>
          </w:p>
        </w:tc>
        <w:tc>
          <w:tcPr>
            <w:tcW w:w="216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700" w:type="dxa"/>
            <w:vAlign w:val="bottom"/>
            <w:tcBorders>
              <w:right w:val="single" w:sz="8" w:color="CCFFCC"/>
            </w:tcBorders>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720" w:type="dxa"/>
            <w:vAlign w:val="bottom"/>
            <w:tcBorders>
              <w:right w:val="single" w:sz="8" w:color="CCFFCC"/>
            </w:tcBorders>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r>
    </w:tbl>
    <w:p>
      <w:pPr>
        <w:ind w:left="260" w:hanging="252"/>
        <w:spacing w:after="0"/>
        <w:tabs>
          <w:tab w:leader="none" w:pos="26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Average daily balance</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Includes work out unit, other banking and BCP Bolivia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845820</wp:posOffset>
            </wp:positionH>
            <wp:positionV relativeFrom="paragraph">
              <wp:posOffset>160020</wp:posOffset>
            </wp:positionV>
            <wp:extent cx="5574030" cy="14922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574030" cy="1492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11"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6254750</wp:posOffset>
            </wp:positionH>
            <wp:positionV relativeFrom="page">
              <wp:posOffset>243205</wp:posOffset>
            </wp:positionV>
            <wp:extent cx="1149350" cy="3175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1149350" cy="317500"/>
                    </a:xfrm>
                    <a:prstGeom prst="rect">
                      <a:avLst/>
                    </a:prstGeom>
                    <a:noFill/>
                  </pic:spPr>
                </pic:pic>
              </a:graphicData>
            </a:graphic>
          </wp:anchor>
        </w:drawing>
        <w:t>Market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2020570</wp:posOffset>
            </wp:positionH>
            <wp:positionV relativeFrom="paragraph">
              <wp:posOffset>169545</wp:posOffset>
            </wp:positionV>
            <wp:extent cx="3224530" cy="12865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224530" cy="128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BCP reported a 33.7% market share in loans at the end of December. This result not only maintains BCP as the market leader in loans but also represents an improvement in QoQ and YoY results, which were 32.2% and 31.8%, respectively. This growth is particularly noteworthy in a context characterized by low loan growth during the better part of 2009 and strong competition in all segments.</w:t>
      </w:r>
    </w:p>
    <w:p>
      <w:pPr>
        <w:spacing w:after="0" w:line="20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At the end of November, market shares for Corporate and Middle Market banking increased slightly QoQ, registering 44.3% and 32.5%, respectively (43.4% and 31.8%, respectively, at the end of September 2009). Within Retail Banking, market shares per product also increased, particularly in the SME segment, which went from 15.7% to 20.1% due to the acquisition of Financiera Edyficar, which makes BCP the market leader in this segment.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Dollarization</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9.4% QoQ growth in total loans was primarily the result of expansion in the domestic currency portfolio, which represented 39.6% of the total portfolio at the end of 2009. This percentage exceeded the figure registered at the end of 3Q09.</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evolution is particularly notable if we compare the end-of-year positions in 2009 with those of 2008 when the domestic currency portfolio represented 32.5% of the total portfolio. This can be explained by the dynamism observed in loans in Nuevos Soles, which, unlike foreign currency loans, maintained their growth throughout 2009.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color w:val="auto"/>
        </w:rPr>
        <w:t>II.2 Deposits and Mutual Funds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Improvements in market value and an increase in fund affiliations produced a significant 12.7% increase QoQ for BCP’s mutual funds (Peru and Bolivia).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Deposits grew 3.7% QoQ, primarily due to in increase in company deposits. As a result, customer funds grew 4.8% QoQ.</w:t>
      </w:r>
    </w:p>
    <w:p>
      <w:pPr>
        <w:spacing w:after="0" w:line="23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11" w:right="2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41"/>
        </w:trPr>
        <w:tc>
          <w:tcPr>
            <w:tcW w:w="4500" w:type="dxa"/>
            <w:vAlign w:val="bottom"/>
            <w:gridSpan w:val="2"/>
          </w:tcPr>
          <w:p>
            <w:pPr>
              <w:spacing w:after="0"/>
              <w:rPr>
                <w:sz w:val="20"/>
                <w:szCs w:val="20"/>
                <w:color w:val="auto"/>
              </w:rPr>
            </w:pPr>
            <w:r>
              <w:rPr>
                <w:rFonts w:ascii="Arial" w:cs="Arial" w:eastAsia="Arial" w:hAnsi="Arial"/>
                <w:sz w:val="18"/>
                <w:szCs w:val="18"/>
                <w:b w:val="1"/>
                <w:bCs w:val="1"/>
                <w:color w:val="auto"/>
              </w:rPr>
              <w:t>Deposits and Obligations</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Quarter</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60" w:type="dxa"/>
            <w:vAlign w:val="bottom"/>
            <w:gridSpan w:val="4"/>
          </w:tcPr>
          <w:p>
            <w:pPr>
              <w:jc w:val="right"/>
              <w:ind w:right="1060"/>
              <w:spacing w:after="0"/>
              <w:rPr>
                <w:sz w:val="20"/>
                <w:szCs w:val="20"/>
                <w:color w:val="auto"/>
              </w:rPr>
            </w:pPr>
            <w:r>
              <w:rPr>
                <w:rFonts w:ascii="Arial" w:cs="Arial" w:eastAsia="Arial" w:hAnsi="Arial"/>
                <w:sz w:val="18"/>
                <w:szCs w:val="18"/>
                <w:b w:val="1"/>
                <w:bCs w:val="1"/>
                <w:color w:val="auto"/>
              </w:rPr>
              <w:t>Change %</w:t>
            </w:r>
          </w:p>
        </w:tc>
        <w:tc>
          <w:tcPr>
            <w:tcW w:w="0" w:type="dxa"/>
            <w:vAlign w:val="bottom"/>
          </w:tcPr>
          <w:p>
            <w:pPr>
              <w:spacing w:after="0"/>
              <w:rPr>
                <w:sz w:val="1"/>
                <w:szCs w:val="1"/>
                <w:color w:val="auto"/>
              </w:rPr>
            </w:pPr>
          </w:p>
        </w:tc>
      </w:tr>
      <w:tr>
        <w:trPr>
          <w:trHeight w:val="216"/>
        </w:trPr>
        <w:tc>
          <w:tcPr>
            <w:tcW w:w="45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US$ (000)</w:t>
            </w:r>
          </w:p>
        </w:tc>
        <w:tc>
          <w:tcPr>
            <w:tcW w:w="120" w:type="dxa"/>
            <w:vAlign w:val="bottom"/>
          </w:tcPr>
          <w:p>
            <w:pPr>
              <w:spacing w:after="0"/>
              <w:rPr>
                <w:sz w:val="18"/>
                <w:szCs w:val="18"/>
                <w:color w:val="auto"/>
              </w:rPr>
            </w:pPr>
          </w:p>
        </w:tc>
        <w:tc>
          <w:tcPr>
            <w:tcW w:w="1340" w:type="dxa"/>
            <w:vAlign w:val="bottom"/>
            <w:tcBorders>
              <w:top w:val="single" w:sz="8" w:color="auto"/>
            </w:tcBorders>
            <w:gridSpan w:val="2"/>
          </w:tcPr>
          <w:p>
            <w:pPr>
              <w:jc w:val="right"/>
              <w:ind w:right="580"/>
              <w:spacing w:after="0"/>
              <w:rPr>
                <w:sz w:val="20"/>
                <w:szCs w:val="20"/>
                <w:color w:val="auto"/>
              </w:rPr>
            </w:pPr>
            <w:r>
              <w:rPr>
                <w:rFonts w:ascii="Arial" w:cs="Arial" w:eastAsia="Arial" w:hAnsi="Arial"/>
                <w:sz w:val="18"/>
                <w:szCs w:val="18"/>
                <w:b w:val="1"/>
                <w:bCs w:val="1"/>
                <w:color w:val="auto"/>
              </w:rPr>
              <w:t>4Q09</w:t>
            </w:r>
          </w:p>
        </w:tc>
        <w:tc>
          <w:tcPr>
            <w:tcW w:w="1360" w:type="dxa"/>
            <w:vAlign w:val="bottom"/>
            <w:tcBorders>
              <w:top w:val="single" w:sz="8" w:color="auto"/>
            </w:tcBorders>
            <w:gridSpan w:val="2"/>
          </w:tcPr>
          <w:p>
            <w:pPr>
              <w:jc w:val="center"/>
              <w:ind w:right="220"/>
              <w:spacing w:after="0"/>
              <w:rPr>
                <w:sz w:val="20"/>
                <w:szCs w:val="20"/>
                <w:color w:val="auto"/>
              </w:rPr>
            </w:pPr>
            <w:r>
              <w:rPr>
                <w:rFonts w:ascii="Arial" w:cs="Arial" w:eastAsia="Arial" w:hAnsi="Arial"/>
                <w:sz w:val="18"/>
                <w:szCs w:val="18"/>
                <w:b w:val="1"/>
                <w:bCs w:val="1"/>
                <w:color w:val="auto"/>
                <w:w w:val="95"/>
              </w:rPr>
              <w:t>3Q09</w:t>
            </w:r>
          </w:p>
        </w:tc>
        <w:tc>
          <w:tcPr>
            <w:tcW w:w="112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4Q08</w:t>
            </w:r>
          </w:p>
        </w:tc>
        <w:tc>
          <w:tcPr>
            <w:tcW w:w="220" w:type="dxa"/>
            <w:vAlign w:val="bottom"/>
          </w:tcPr>
          <w:p>
            <w:pPr>
              <w:spacing w:after="0"/>
              <w:rPr>
                <w:sz w:val="18"/>
                <w:szCs w:val="18"/>
                <w:color w:val="auto"/>
              </w:rPr>
            </w:pPr>
          </w:p>
        </w:tc>
        <w:tc>
          <w:tcPr>
            <w:tcW w:w="1440" w:type="dxa"/>
            <w:vAlign w:val="bottom"/>
            <w:tcBorders>
              <w:top w:val="single" w:sz="8" w:color="auto"/>
            </w:tcBorders>
            <w:gridSpan w:val="2"/>
          </w:tcPr>
          <w:p>
            <w:pPr>
              <w:jc w:val="right"/>
              <w:ind w:right="440"/>
              <w:spacing w:after="0"/>
              <w:rPr>
                <w:sz w:val="20"/>
                <w:szCs w:val="20"/>
                <w:color w:val="auto"/>
              </w:rPr>
            </w:pPr>
            <w:r>
              <w:rPr>
                <w:rFonts w:ascii="Arial" w:cs="Arial" w:eastAsia="Arial" w:hAnsi="Arial"/>
                <w:sz w:val="18"/>
                <w:szCs w:val="18"/>
                <w:b w:val="1"/>
                <w:bCs w:val="1"/>
                <w:color w:val="auto"/>
              </w:rPr>
              <w:t>4Q09/4Q08</w:t>
            </w:r>
          </w:p>
        </w:tc>
        <w:tc>
          <w:tcPr>
            <w:tcW w:w="11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4Q09/3Q09</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FFCC"/>
          </w:tcPr>
          <w:p>
            <w:pPr>
              <w:spacing w:after="0"/>
              <w:rPr>
                <w:sz w:val="20"/>
                <w:szCs w:val="20"/>
                <w:color w:val="auto"/>
              </w:rPr>
            </w:pPr>
            <w:r>
              <w:rPr>
                <w:rFonts w:ascii="Arial" w:cs="Arial" w:eastAsia="Arial" w:hAnsi="Arial"/>
                <w:sz w:val="18"/>
                <w:szCs w:val="18"/>
                <w:color w:val="auto"/>
              </w:rPr>
              <w:t>Non-interest bearing deposits</w:t>
            </w:r>
          </w:p>
        </w:tc>
        <w:tc>
          <w:tcPr>
            <w:tcW w:w="12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3,261,009</w:t>
            </w: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3,415,360</w:t>
            </w:r>
          </w:p>
        </w:tc>
        <w:tc>
          <w:tcPr>
            <w:tcW w:w="22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4,260,406</w:t>
            </w:r>
          </w:p>
        </w:tc>
        <w:tc>
          <w:tcPr>
            <w:tcW w:w="220" w:type="dxa"/>
            <w:vAlign w:val="bottom"/>
            <w:shd w:val="clear" w:color="auto" w:fill="CCFFCC"/>
          </w:tcPr>
          <w:p>
            <w:pPr>
              <w:spacing w:after="0"/>
              <w:rPr>
                <w:sz w:val="18"/>
                <w:szCs w:val="18"/>
                <w:color w:val="auto"/>
              </w:rPr>
            </w:pPr>
          </w:p>
        </w:tc>
        <w:tc>
          <w:tcPr>
            <w:tcW w:w="14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-23.5%</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Demand deposits</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1,179,634</w:t>
            </w:r>
          </w:p>
        </w:tc>
        <w:tc>
          <w:tcPr>
            <w:tcW w:w="2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883,553</w:t>
            </w:r>
          </w:p>
        </w:tc>
        <w:tc>
          <w:tcPr>
            <w:tcW w:w="1120" w:type="dxa"/>
            <w:vAlign w:val="bottom"/>
          </w:tcPr>
          <w:p>
            <w:pPr>
              <w:jc w:val="right"/>
              <w:spacing w:after="0"/>
              <w:rPr>
                <w:sz w:val="20"/>
                <w:szCs w:val="20"/>
                <w:color w:val="auto"/>
              </w:rPr>
            </w:pPr>
            <w:r>
              <w:rPr>
                <w:rFonts w:ascii="Arial" w:cs="Arial" w:eastAsia="Arial" w:hAnsi="Arial"/>
                <w:sz w:val="18"/>
                <w:szCs w:val="18"/>
                <w:color w:val="auto"/>
              </w:rPr>
              <w:t>1,630,976</w:t>
            </w:r>
          </w:p>
        </w:tc>
        <w:tc>
          <w:tcPr>
            <w:tcW w:w="22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-27.7%</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FFCC"/>
          </w:tcPr>
          <w:p>
            <w:pPr>
              <w:spacing w:after="0"/>
              <w:rPr>
                <w:sz w:val="20"/>
                <w:szCs w:val="20"/>
                <w:color w:val="auto"/>
              </w:rPr>
            </w:pPr>
            <w:r>
              <w:rPr>
                <w:rFonts w:ascii="Arial" w:cs="Arial" w:eastAsia="Arial" w:hAnsi="Arial"/>
                <w:sz w:val="18"/>
                <w:szCs w:val="18"/>
                <w:color w:val="auto"/>
              </w:rPr>
              <w:t>Saving deposits</w:t>
            </w:r>
          </w:p>
        </w:tc>
        <w:tc>
          <w:tcPr>
            <w:tcW w:w="12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3,539,917</w:t>
            </w: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3,387,339</w:t>
            </w:r>
          </w:p>
        </w:tc>
        <w:tc>
          <w:tcPr>
            <w:tcW w:w="22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2,968,842</w:t>
            </w:r>
          </w:p>
        </w:tc>
        <w:tc>
          <w:tcPr>
            <w:tcW w:w="220" w:type="dxa"/>
            <w:vAlign w:val="bottom"/>
            <w:shd w:val="clear" w:color="auto" w:fill="CCFFCC"/>
          </w:tcPr>
          <w:p>
            <w:pPr>
              <w:spacing w:after="0"/>
              <w:rPr>
                <w:sz w:val="18"/>
                <w:szCs w:val="18"/>
                <w:color w:val="auto"/>
              </w:rPr>
            </w:pPr>
          </w:p>
        </w:tc>
        <w:tc>
          <w:tcPr>
            <w:tcW w:w="14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19.2%</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Time deposits</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5,361,410</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5,179,047</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4,090,043</w:t>
            </w:r>
          </w:p>
        </w:tc>
        <w:tc>
          <w:tcPr>
            <w:tcW w:w="22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31.1%</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FFCC"/>
          </w:tcPr>
          <w:p>
            <w:pPr>
              <w:spacing w:after="0"/>
              <w:rPr>
                <w:sz w:val="20"/>
                <w:szCs w:val="20"/>
                <w:color w:val="auto"/>
              </w:rPr>
            </w:pPr>
            <w:r>
              <w:rPr>
                <w:rFonts w:ascii="Arial" w:cs="Arial" w:eastAsia="Arial" w:hAnsi="Arial"/>
                <w:sz w:val="18"/>
                <w:szCs w:val="18"/>
                <w:color w:val="auto"/>
              </w:rPr>
              <w:t>Severance indemnity deposits (CTS)</w:t>
            </w:r>
          </w:p>
        </w:tc>
        <w:tc>
          <w:tcPr>
            <w:tcW w:w="12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1,069,267</w:t>
            </w: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1,012,534</w:t>
            </w:r>
          </w:p>
        </w:tc>
        <w:tc>
          <w:tcPr>
            <w:tcW w:w="22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1,039,887</w:t>
            </w:r>
          </w:p>
        </w:tc>
        <w:tc>
          <w:tcPr>
            <w:tcW w:w="220" w:type="dxa"/>
            <w:vAlign w:val="bottom"/>
            <w:shd w:val="clear" w:color="auto" w:fill="CCFFCC"/>
          </w:tcPr>
          <w:p>
            <w:pPr>
              <w:spacing w:after="0"/>
              <w:rPr>
                <w:sz w:val="18"/>
                <w:szCs w:val="18"/>
                <w:color w:val="auto"/>
              </w:rPr>
            </w:pPr>
          </w:p>
        </w:tc>
        <w:tc>
          <w:tcPr>
            <w:tcW w:w="14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2.8%</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Interest payable</w:t>
            </w: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54,572</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68,881</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73,566</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-25.8%</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Total customer deposits</w:t>
            </w:r>
          </w:p>
        </w:tc>
        <w:tc>
          <w:tcPr>
            <w:tcW w:w="12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14,465,809</w:t>
            </w: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13,946,714</w:t>
            </w:r>
          </w:p>
        </w:tc>
        <w:tc>
          <w:tcPr>
            <w:tcW w:w="22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14,063,720</w:t>
            </w:r>
          </w:p>
        </w:tc>
        <w:tc>
          <w:tcPr>
            <w:tcW w:w="14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2.9%</w:t>
            </w:r>
          </w:p>
        </w:tc>
        <w:tc>
          <w:tcPr>
            <w:tcW w:w="132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3.7%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8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Mutual funds in Perú</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2,042,159</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1,779,085</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1,273,566</w:t>
            </w:r>
          </w:p>
        </w:tc>
        <w:tc>
          <w:tcPr>
            <w:tcW w:w="22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60.3%</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FFCC"/>
          </w:tcPr>
          <w:p>
            <w:pPr>
              <w:spacing w:after="0"/>
              <w:rPr>
                <w:sz w:val="20"/>
                <w:szCs w:val="20"/>
                <w:color w:val="auto"/>
              </w:rPr>
            </w:pPr>
            <w:r>
              <w:rPr>
                <w:rFonts w:ascii="Arial" w:cs="Arial" w:eastAsia="Arial" w:hAnsi="Arial"/>
                <w:sz w:val="18"/>
                <w:szCs w:val="18"/>
                <w:color w:val="auto"/>
              </w:rPr>
              <w:t>Mutual funds in Bolivia</w:t>
            </w:r>
          </w:p>
        </w:tc>
        <w:tc>
          <w:tcPr>
            <w:tcW w:w="12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139,709</w:t>
            </w: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156,339</w:t>
            </w:r>
          </w:p>
        </w:tc>
        <w:tc>
          <w:tcPr>
            <w:tcW w:w="22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109,862</w:t>
            </w:r>
          </w:p>
        </w:tc>
        <w:tc>
          <w:tcPr>
            <w:tcW w:w="220" w:type="dxa"/>
            <w:vAlign w:val="bottom"/>
            <w:shd w:val="clear" w:color="auto" w:fill="CCFFCC"/>
          </w:tcPr>
          <w:p>
            <w:pPr>
              <w:spacing w:after="0"/>
              <w:rPr>
                <w:sz w:val="18"/>
                <w:szCs w:val="18"/>
                <w:color w:val="auto"/>
              </w:rPr>
            </w:pPr>
          </w:p>
        </w:tc>
        <w:tc>
          <w:tcPr>
            <w:tcW w:w="14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27.2%</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8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b w:val="1"/>
                <w:bCs w:val="1"/>
                <w:color w:val="auto"/>
              </w:rPr>
              <w:t>Total customer funds</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16,647,677</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15,882,138</w:t>
            </w:r>
          </w:p>
        </w:tc>
        <w:tc>
          <w:tcPr>
            <w:tcW w:w="2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15,447,148</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7.8%</w:t>
            </w:r>
          </w:p>
        </w:tc>
        <w:tc>
          <w:tcPr>
            <w:tcW w:w="1320" w:type="dxa"/>
            <w:vAlign w:val="bottom"/>
            <w:gridSpan w:val="2"/>
          </w:tcPr>
          <w:p>
            <w:pPr>
              <w:jc w:val="right"/>
              <w:spacing w:after="0"/>
              <w:rPr>
                <w:sz w:val="20"/>
                <w:szCs w:val="20"/>
                <w:color w:val="auto"/>
              </w:rPr>
            </w:pPr>
            <w:r>
              <w:rPr>
                <w:rFonts w:ascii="Arial" w:cs="Arial" w:eastAsia="Arial" w:hAnsi="Arial"/>
                <w:sz w:val="18"/>
                <w:szCs w:val="18"/>
                <w:b w:val="1"/>
                <w:bCs w:val="1"/>
                <w:color w:val="auto"/>
              </w:rPr>
              <w:t>4.8%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6254750</wp:posOffset>
            </wp:positionH>
            <wp:positionV relativeFrom="page">
              <wp:posOffset>243205</wp:posOffset>
            </wp:positionV>
            <wp:extent cx="1149350" cy="3175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1149350" cy="3175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Total customer funds grew 4.8% QoQ and 7.8% YoY due to increases in both customer deposits and mutual funds.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funds managed by Credifondo were US$ 2,042 million at the end of the year, which represents a 14.8% increase with regard to the US$ 1,779 million registered at the close of 3Q09. This evolution was the result of both an increase in market value and customer migration from time deposits to mutual funds managed by BCP following a campaign to promote transfers. In this context, Credifondo maintains leadership in FuM and the number of clients, with shares of 42.0% and 38.9%, respectively.</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Although a group of clients migrated from mutual funds during 4Q09, time deposits grew 3.5% QoQ due to an increase in deposits from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2406650</wp:posOffset>
            </wp:positionH>
            <wp:positionV relativeFrom="paragraph">
              <wp:posOffset>176530</wp:posOffset>
            </wp:positionV>
            <wp:extent cx="2444115" cy="2040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444115" cy="2040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 Share</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At the end of 4Q09, BCP maintained its leadership in deposits with a market share of 34.2%, which was higher than the 32.8% recorded 3Q09. The table below shows market shares for each kind of deposits in domestic and foreign currency:</w:t>
      </w:r>
    </w:p>
    <w:p>
      <w:pPr>
        <w:spacing w:after="0" w:line="197"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07" w:right="239" w:bottom="1440" w:gutter="0" w:footer="0" w:header="0"/>
        </w:sectPr>
      </w:pPr>
    </w:p>
    <w:bookmarkStart w:id="14" w:name="page15"/>
    <w:bookmarkEnd w:id="14"/>
    <w:p>
      <w:pPr>
        <w:ind w:left="16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6254750</wp:posOffset>
            </wp:positionH>
            <wp:positionV relativeFrom="page">
              <wp:posOffset>243205</wp:posOffset>
            </wp:positionV>
            <wp:extent cx="1149350" cy="3175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1149350" cy="317500"/>
                    </a:xfrm>
                    <a:prstGeom prst="rect">
                      <a:avLst/>
                    </a:prstGeom>
                    <a:noFill/>
                  </pic:spPr>
                </pic:pic>
              </a:graphicData>
            </a:graphic>
          </wp:anchor>
        </w:drawing>
        <w:t>Market share by type of deposit and currency</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Demand</w:t>
            </w:r>
          </w:p>
        </w:tc>
        <w:tc>
          <w:tcPr>
            <w:tcW w:w="3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gridSpan w:val="2"/>
          </w:tcPr>
          <w:p>
            <w:pPr>
              <w:jc w:val="center"/>
              <w:ind w:right="240"/>
              <w:spacing w:after="0"/>
              <w:rPr>
                <w:sz w:val="20"/>
                <w:szCs w:val="20"/>
                <w:color w:val="auto"/>
              </w:rPr>
            </w:pPr>
            <w:r>
              <w:rPr>
                <w:rFonts w:ascii="Arial" w:cs="Arial" w:eastAsia="Arial" w:hAnsi="Arial"/>
                <w:sz w:val="18"/>
                <w:szCs w:val="18"/>
                <w:color w:val="auto"/>
                <w:w w:val="90"/>
              </w:rPr>
              <w:t>Saving</w:t>
            </w:r>
          </w:p>
        </w:tc>
        <w:tc>
          <w:tcPr>
            <w:tcW w:w="1460" w:type="dxa"/>
            <w:vAlign w:val="bottom"/>
            <w:tcBorders>
              <w:top w:val="single" w:sz="8" w:color="auto"/>
            </w:tcBorders>
            <w:gridSpan w:val="2"/>
          </w:tcPr>
          <w:p>
            <w:pPr>
              <w:jc w:val="center"/>
              <w:ind w:right="240"/>
              <w:spacing w:after="0"/>
              <w:rPr>
                <w:sz w:val="20"/>
                <w:szCs w:val="20"/>
                <w:color w:val="auto"/>
              </w:rPr>
            </w:pPr>
            <w:r>
              <w:rPr>
                <w:rFonts w:ascii="Arial" w:cs="Arial" w:eastAsia="Arial" w:hAnsi="Arial"/>
                <w:sz w:val="18"/>
                <w:szCs w:val="18"/>
                <w:color w:val="auto"/>
                <w:w w:val="94"/>
              </w:rPr>
              <w:t>Time</w:t>
            </w:r>
          </w:p>
        </w:tc>
        <w:tc>
          <w:tcPr>
            <w:tcW w:w="1240" w:type="dxa"/>
            <w:vAlign w:val="bottom"/>
            <w:tcBorders>
              <w:top w:val="single" w:sz="8" w:color="auto"/>
            </w:tcBorders>
          </w:tcPr>
          <w:p>
            <w:pPr>
              <w:ind w:left="240"/>
              <w:spacing w:after="0"/>
              <w:rPr>
                <w:sz w:val="20"/>
                <w:szCs w:val="20"/>
                <w:color w:val="auto"/>
              </w:rPr>
            </w:pPr>
            <w:r>
              <w:rPr>
                <w:rFonts w:ascii="Arial" w:cs="Arial" w:eastAsia="Arial" w:hAnsi="Arial"/>
                <w:sz w:val="18"/>
                <w:szCs w:val="18"/>
                <w:color w:val="auto"/>
              </w:rPr>
              <w:t>Severance</w:t>
            </w:r>
          </w:p>
        </w:tc>
        <w:tc>
          <w:tcPr>
            <w:tcW w:w="160" w:type="dxa"/>
            <w:vAlign w:val="bottom"/>
          </w:tcPr>
          <w:p>
            <w:pPr>
              <w:spacing w:after="0"/>
              <w:rPr>
                <w:sz w:val="18"/>
                <w:szCs w:val="18"/>
                <w:color w:val="auto"/>
              </w:rPr>
            </w:pPr>
          </w:p>
        </w:tc>
      </w:tr>
      <w:tr>
        <w:trPr>
          <w:trHeight w:val="237"/>
        </w:trPr>
        <w:tc>
          <w:tcPr>
            <w:tcW w:w="1100" w:type="dxa"/>
            <w:vAlign w:val="bottom"/>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deposits</w:t>
            </w:r>
          </w:p>
        </w:tc>
        <w:tc>
          <w:tcPr>
            <w:tcW w:w="32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deposits</w:t>
            </w:r>
          </w:p>
        </w:tc>
        <w:tc>
          <w:tcPr>
            <w:tcW w:w="220" w:type="dxa"/>
            <w:vAlign w:val="bottom"/>
          </w:tcPr>
          <w:p>
            <w:pPr>
              <w:spacing w:after="0"/>
              <w:rPr>
                <w:sz w:val="20"/>
                <w:szCs w:val="20"/>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deposits</w:t>
            </w:r>
          </w:p>
        </w:tc>
        <w:tc>
          <w:tcPr>
            <w:tcW w:w="240" w:type="dxa"/>
            <w:vAlign w:val="bottom"/>
          </w:tcPr>
          <w:p>
            <w:pPr>
              <w:spacing w:after="0"/>
              <w:rPr>
                <w:sz w:val="20"/>
                <w:szCs w:val="20"/>
                <w:color w:val="auto"/>
              </w:rPr>
            </w:pPr>
          </w:p>
        </w:tc>
        <w:tc>
          <w:tcPr>
            <w:tcW w:w="124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indemnity</w:t>
            </w:r>
          </w:p>
        </w:tc>
        <w:tc>
          <w:tcPr>
            <w:tcW w:w="160" w:type="dxa"/>
            <w:vAlign w:val="bottom"/>
          </w:tcPr>
          <w:p>
            <w:pPr>
              <w:spacing w:after="0"/>
              <w:rPr>
                <w:sz w:val="20"/>
                <w:szCs w:val="20"/>
                <w:color w:val="auto"/>
              </w:rPr>
            </w:pPr>
          </w:p>
        </w:tc>
      </w:tr>
      <w:tr>
        <w:trPr>
          <w:trHeight w:val="216"/>
        </w:trPr>
        <w:tc>
          <w:tcPr>
            <w:tcW w:w="1100" w:type="dxa"/>
            <w:vAlign w:val="bottom"/>
            <w:shd w:val="clear" w:color="auto" w:fill="CCFFCC"/>
          </w:tcPr>
          <w:p>
            <w:pPr>
              <w:ind w:left="400"/>
              <w:spacing w:after="0"/>
              <w:rPr>
                <w:sz w:val="20"/>
                <w:szCs w:val="20"/>
                <w:color w:val="auto"/>
              </w:rPr>
            </w:pPr>
            <w:r>
              <w:rPr>
                <w:rFonts w:ascii="Arial" w:cs="Arial" w:eastAsia="Arial" w:hAnsi="Arial"/>
                <w:sz w:val="18"/>
                <w:szCs w:val="18"/>
                <w:color w:val="auto"/>
              </w:rPr>
              <w:t>LC</w:t>
            </w:r>
          </w:p>
        </w:tc>
        <w:tc>
          <w:tcPr>
            <w:tcW w:w="920" w:type="dxa"/>
            <w:vAlign w:val="bottom"/>
            <w:shd w:val="clear" w:color="auto" w:fill="CCFFCC"/>
          </w:tcPr>
          <w:p>
            <w:pPr>
              <w:spacing w:after="0"/>
              <w:rPr>
                <w:sz w:val="18"/>
                <w:szCs w:val="18"/>
                <w:color w:val="auto"/>
              </w:rPr>
            </w:pPr>
          </w:p>
        </w:tc>
        <w:tc>
          <w:tcPr>
            <w:tcW w:w="5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w w:val="90"/>
              </w:rPr>
              <w:t>38.8%</w:t>
            </w:r>
          </w:p>
        </w:tc>
        <w:tc>
          <w:tcPr>
            <w:tcW w:w="14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36.8%</w:t>
            </w:r>
          </w:p>
        </w:tc>
        <w:tc>
          <w:tcPr>
            <w:tcW w:w="14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21.6%</w:t>
            </w:r>
          </w:p>
        </w:tc>
        <w:tc>
          <w:tcPr>
            <w:tcW w:w="14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39.0%</w:t>
            </w:r>
          </w:p>
        </w:tc>
      </w:tr>
      <w:tr>
        <w:trPr>
          <w:trHeight w:val="27"/>
        </w:trPr>
        <w:tc>
          <w:tcPr>
            <w:tcW w:w="1100" w:type="dxa"/>
            <w:vAlign w:val="bottom"/>
            <w:shd w:val="clear" w:color="auto" w:fill="CCFFCC"/>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60" w:type="dxa"/>
            <w:vAlign w:val="bottom"/>
            <w:shd w:val="clear" w:color="auto" w:fill="CCFFCC"/>
          </w:tcPr>
          <w:p>
            <w:pPr>
              <w:spacing w:after="0"/>
              <w:rPr>
                <w:sz w:val="2"/>
                <w:szCs w:val="2"/>
                <w:color w:val="auto"/>
              </w:rPr>
            </w:pPr>
          </w:p>
        </w:tc>
      </w:tr>
      <w:tr>
        <w:trPr>
          <w:trHeight w:val="230"/>
        </w:trPr>
        <w:tc>
          <w:tcPr>
            <w:tcW w:w="1100" w:type="dxa"/>
            <w:vAlign w:val="bottom"/>
          </w:tcPr>
          <w:p>
            <w:pPr>
              <w:ind w:left="420"/>
              <w:spacing w:after="0"/>
              <w:rPr>
                <w:sz w:val="20"/>
                <w:szCs w:val="20"/>
                <w:color w:val="auto"/>
              </w:rPr>
            </w:pPr>
            <w:r>
              <w:rPr>
                <w:rFonts w:ascii="Arial" w:cs="Arial" w:eastAsia="Arial" w:hAnsi="Arial"/>
                <w:sz w:val="18"/>
                <w:szCs w:val="18"/>
                <w:color w:val="auto"/>
              </w:rPr>
              <w:t>FC</w:t>
            </w:r>
          </w:p>
        </w:tc>
        <w:tc>
          <w:tcPr>
            <w:tcW w:w="920" w:type="dxa"/>
            <w:vAlign w:val="bottom"/>
          </w:tcPr>
          <w:p>
            <w:pPr>
              <w:spacing w:after="0"/>
              <w:rPr>
                <w:sz w:val="20"/>
                <w:szCs w:val="20"/>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w w:val="90"/>
              </w:rPr>
              <w:t>42.4%</w:t>
            </w: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41.4%</w:t>
            </w: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40.2%</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56.1%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-8255</wp:posOffset>
            </wp:positionV>
            <wp:extent cx="355028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550285" cy="1714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i w:val="1"/>
          <w:iCs w:val="1"/>
          <w:color w:val="auto"/>
        </w:rPr>
        <w:t>LC: Local Currency</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FC: Foreign Currency</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Dollarization</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Deposit de-dollarization continued in 2009 due to a context of appreciation of the Nuevo Sol against the US Dollar, which in annual terms represented an 8% revaluation of the domestic currency.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2234565</wp:posOffset>
            </wp:positionH>
            <wp:positionV relativeFrom="paragraph">
              <wp:posOffset>134620</wp:posOffset>
            </wp:positionV>
            <wp:extent cx="2795905" cy="14579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795905" cy="1457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II.3 Net Interest Income</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NII grew 7.1% QoQ due to a 3.1% increase in interest income, which was strengthened by the 5.2% QoQ reduction in interest expenses. This also led to an increase in NIM, which went from 4.87% to 5.02%.</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Net interest income</w:t>
            </w:r>
          </w:p>
        </w:tc>
        <w:tc>
          <w:tcPr>
            <w:tcW w:w="10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4"/>
                <w:szCs w:val="14"/>
                <w:b w:val="1"/>
                <w:bCs w:val="1"/>
                <w:color w:val="auto"/>
              </w:rPr>
              <w:t>Quarter</w:t>
            </w:r>
          </w:p>
        </w:tc>
        <w:tc>
          <w:tcPr>
            <w:tcW w:w="86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2020" w:type="dxa"/>
            <w:vAlign w:val="bottom"/>
            <w:tcBorders>
              <w:bottom w:val="single" w:sz="8" w:color="auto"/>
            </w:tcBorders>
            <w:gridSpan w:val="3"/>
          </w:tcPr>
          <w:p>
            <w:pPr>
              <w:jc w:val="right"/>
              <w:ind w:right="608"/>
              <w:spacing w:after="0"/>
              <w:rPr>
                <w:sz w:val="20"/>
                <w:szCs w:val="20"/>
                <w:color w:val="auto"/>
              </w:rPr>
            </w:pPr>
            <w:r>
              <w:rPr>
                <w:rFonts w:ascii="Arial" w:cs="Arial" w:eastAsia="Arial" w:hAnsi="Arial"/>
                <w:sz w:val="14"/>
                <w:szCs w:val="14"/>
                <w:b w:val="1"/>
                <w:bCs w:val="1"/>
                <w:color w:val="auto"/>
              </w:rPr>
              <w:t>Change %</w:t>
            </w:r>
          </w:p>
        </w:tc>
        <w:tc>
          <w:tcPr>
            <w:tcW w:w="260" w:type="dxa"/>
            <w:vAlign w:val="bottom"/>
          </w:tcPr>
          <w:p>
            <w:pPr>
              <w:spacing w:after="0"/>
              <w:rPr>
                <w:sz w:val="15"/>
                <w:szCs w:val="15"/>
                <w:color w:val="auto"/>
              </w:rPr>
            </w:pPr>
          </w:p>
        </w:tc>
        <w:tc>
          <w:tcPr>
            <w:tcW w:w="1360" w:type="dxa"/>
            <w:vAlign w:val="bottom"/>
            <w:tcBorders>
              <w:bottom w:val="single" w:sz="8" w:color="auto"/>
            </w:tcBorders>
            <w:gridSpan w:val="3"/>
          </w:tcPr>
          <w:p>
            <w:pPr>
              <w:ind w:left="660"/>
              <w:spacing w:after="0"/>
              <w:rPr>
                <w:sz w:val="20"/>
                <w:szCs w:val="20"/>
                <w:color w:val="auto"/>
              </w:rPr>
            </w:pPr>
            <w:r>
              <w:rPr>
                <w:rFonts w:ascii="Arial" w:cs="Arial" w:eastAsia="Arial" w:hAnsi="Arial"/>
                <w:sz w:val="14"/>
                <w:szCs w:val="14"/>
                <w:b w:val="1"/>
                <w:bCs w:val="1"/>
                <w:color w:val="auto"/>
                <w:w w:val="90"/>
              </w:rPr>
              <w:t>Year ended</w:t>
            </w:r>
          </w:p>
        </w:tc>
        <w:tc>
          <w:tcPr>
            <w:tcW w:w="64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120" w:type="dxa"/>
            <w:vAlign w:val="bottom"/>
            <w:gridSpan w:val="2"/>
          </w:tcPr>
          <w:p>
            <w:pPr>
              <w:spacing w:after="0"/>
              <w:rPr>
                <w:sz w:val="20"/>
                <w:szCs w:val="20"/>
                <w:color w:val="auto"/>
              </w:rPr>
            </w:pPr>
            <w:r>
              <w:rPr>
                <w:rFonts w:ascii="Arial" w:cs="Arial" w:eastAsia="Arial" w:hAnsi="Arial"/>
                <w:sz w:val="14"/>
                <w:szCs w:val="14"/>
                <w:b w:val="1"/>
                <w:bCs w:val="1"/>
                <w:color w:val="auto"/>
              </w:rPr>
              <w:t>US$ 000</w:t>
            </w:r>
          </w:p>
        </w:tc>
        <w:tc>
          <w:tcPr>
            <w:tcW w:w="100" w:type="dxa"/>
            <w:vAlign w:val="bottom"/>
          </w:tcPr>
          <w:p>
            <w:pPr>
              <w:spacing w:after="0"/>
              <w:rPr>
                <w:sz w:val="21"/>
                <w:szCs w:val="21"/>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4Q09</w:t>
            </w:r>
          </w:p>
        </w:tc>
        <w:tc>
          <w:tcPr>
            <w:tcW w:w="11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3Q09</w:t>
            </w:r>
          </w:p>
        </w:tc>
        <w:tc>
          <w:tcPr>
            <w:tcW w:w="11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4Q08</w:t>
            </w:r>
          </w:p>
        </w:tc>
        <w:tc>
          <w:tcPr>
            <w:tcW w:w="11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4Q09/4Q08</w:t>
            </w:r>
          </w:p>
        </w:tc>
        <w:tc>
          <w:tcPr>
            <w:tcW w:w="11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4Q09/3Q09</w:t>
            </w:r>
          </w:p>
        </w:tc>
        <w:tc>
          <w:tcPr>
            <w:tcW w:w="880" w:type="dxa"/>
            <w:vAlign w:val="bottom"/>
          </w:tcPr>
          <w:p>
            <w:pPr>
              <w:jc w:val="right"/>
              <w:ind w:right="228"/>
              <w:spacing w:after="0"/>
              <w:rPr>
                <w:sz w:val="20"/>
                <w:szCs w:val="20"/>
                <w:color w:val="auto"/>
              </w:rPr>
            </w:pPr>
            <w:r>
              <w:rPr>
                <w:rFonts w:ascii="Arial" w:cs="Arial" w:eastAsia="Arial" w:hAnsi="Arial"/>
                <w:sz w:val="14"/>
                <w:szCs w:val="14"/>
                <w:b w:val="1"/>
                <w:bCs w:val="1"/>
                <w:color w:val="auto"/>
              </w:rPr>
              <w:t>2009</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40" w:type="dxa"/>
            <w:vAlign w:val="bottom"/>
          </w:tcPr>
          <w:p>
            <w:pPr>
              <w:jc w:val="right"/>
              <w:ind w:right="208"/>
              <w:spacing w:after="0"/>
              <w:rPr>
                <w:sz w:val="20"/>
                <w:szCs w:val="20"/>
                <w:color w:val="auto"/>
              </w:rPr>
            </w:pPr>
            <w:r>
              <w:rPr>
                <w:rFonts w:ascii="Arial" w:cs="Arial" w:eastAsia="Arial" w:hAnsi="Arial"/>
                <w:sz w:val="14"/>
                <w:szCs w:val="14"/>
                <w:b w:val="1"/>
                <w:bCs w:val="1"/>
                <w:color w:val="auto"/>
              </w:rPr>
              <w:t>2008</w:t>
            </w:r>
          </w:p>
        </w:tc>
        <w:tc>
          <w:tcPr>
            <w:tcW w:w="260" w:type="dxa"/>
            <w:vAlign w:val="bottom"/>
          </w:tcPr>
          <w:p>
            <w:pPr>
              <w:spacing w:after="0"/>
              <w:rPr>
                <w:sz w:val="21"/>
                <w:szCs w:val="21"/>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Change %</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10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Interest income</w:t>
            </w:r>
          </w:p>
        </w:tc>
        <w:tc>
          <w:tcPr>
            <w:tcW w:w="100" w:type="dxa"/>
            <w:vAlign w:val="bottom"/>
            <w:shd w:val="clear" w:color="auto" w:fill="CCFFCC"/>
          </w:tcPr>
          <w:p>
            <w:pPr>
              <w:spacing w:after="0"/>
              <w:rPr>
                <w:sz w:val="12"/>
                <w:szCs w:val="12"/>
                <w:color w:val="auto"/>
              </w:rPr>
            </w:pPr>
          </w:p>
        </w:tc>
        <w:tc>
          <w:tcPr>
            <w:tcW w:w="114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b w:val="1"/>
                <w:bCs w:val="1"/>
                <w:color w:val="auto"/>
              </w:rPr>
              <w:t>301,319</w:t>
            </w:r>
          </w:p>
        </w:tc>
        <w:tc>
          <w:tcPr>
            <w:tcW w:w="114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b w:val="1"/>
                <w:bCs w:val="1"/>
                <w:color w:val="auto"/>
              </w:rPr>
              <w:t>292,292</w:t>
            </w:r>
          </w:p>
        </w:tc>
        <w:tc>
          <w:tcPr>
            <w:tcW w:w="112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b w:val="1"/>
                <w:bCs w:val="1"/>
                <w:color w:val="auto"/>
              </w:rPr>
              <w:t>327,007</w:t>
            </w:r>
          </w:p>
        </w:tc>
        <w:tc>
          <w:tcPr>
            <w:tcW w:w="11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-7.9%</w:t>
            </w:r>
          </w:p>
        </w:tc>
        <w:tc>
          <w:tcPr>
            <w:tcW w:w="11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3.1%</w:t>
            </w:r>
          </w:p>
        </w:tc>
        <w:tc>
          <w:tcPr>
            <w:tcW w:w="112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1,204,914</w:t>
            </w:r>
          </w:p>
        </w:tc>
        <w:tc>
          <w:tcPr>
            <w:tcW w:w="240" w:type="dxa"/>
            <w:vAlign w:val="bottom"/>
            <w:shd w:val="clear" w:color="auto" w:fill="CCFFCC"/>
          </w:tcPr>
          <w:p>
            <w:pPr>
              <w:spacing w:after="0"/>
              <w:rPr>
                <w:sz w:val="12"/>
                <w:szCs w:val="12"/>
                <w:color w:val="auto"/>
              </w:rPr>
            </w:pPr>
          </w:p>
        </w:tc>
        <w:tc>
          <w:tcPr>
            <w:tcW w:w="90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b w:val="1"/>
                <w:bCs w:val="1"/>
                <w:color w:val="auto"/>
                <w:w w:val="99"/>
              </w:rPr>
              <w:t>1,266,009</w:t>
            </w:r>
          </w:p>
        </w:tc>
        <w:tc>
          <w:tcPr>
            <w:tcW w:w="104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b w:val="1"/>
                <w:bCs w:val="1"/>
                <w:color w:val="auto"/>
              </w:rPr>
              <w:t>-4.8%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tcPr>
          <w:p>
            <w:pPr>
              <w:ind w:left="160"/>
              <w:spacing w:after="0" w:line="149" w:lineRule="exact"/>
              <w:rPr>
                <w:sz w:val="20"/>
                <w:szCs w:val="20"/>
                <w:color w:val="auto"/>
              </w:rPr>
            </w:pPr>
            <w:r>
              <w:rPr>
                <w:rFonts w:ascii="Arial" w:cs="Arial" w:eastAsia="Arial" w:hAnsi="Arial"/>
                <w:sz w:val="14"/>
                <w:szCs w:val="14"/>
                <w:color w:val="auto"/>
              </w:rPr>
              <w:t>Interest on loans</w:t>
            </w:r>
          </w:p>
        </w:tc>
        <w:tc>
          <w:tcPr>
            <w:tcW w:w="124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274,340</w:t>
            </w:r>
          </w:p>
        </w:tc>
        <w:tc>
          <w:tcPr>
            <w:tcW w:w="11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260,705</w:t>
            </w:r>
          </w:p>
        </w:tc>
        <w:tc>
          <w:tcPr>
            <w:tcW w:w="11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269,851</w:t>
            </w:r>
          </w:p>
        </w:tc>
        <w:tc>
          <w:tcPr>
            <w:tcW w:w="11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1.7%</w:t>
            </w:r>
          </w:p>
        </w:tc>
        <w:tc>
          <w:tcPr>
            <w:tcW w:w="11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5.2%</w:t>
            </w:r>
          </w:p>
        </w:tc>
        <w:tc>
          <w:tcPr>
            <w:tcW w:w="11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1,057,384</w:t>
            </w:r>
          </w:p>
        </w:tc>
        <w:tc>
          <w:tcPr>
            <w:tcW w:w="240" w:type="dxa"/>
            <w:vAlign w:val="bottom"/>
          </w:tcPr>
          <w:p>
            <w:pPr>
              <w:spacing w:after="0"/>
              <w:rPr>
                <w:sz w:val="12"/>
                <w:szCs w:val="12"/>
                <w:color w:val="auto"/>
              </w:rPr>
            </w:pPr>
          </w:p>
        </w:tc>
        <w:tc>
          <w:tcPr>
            <w:tcW w:w="9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959,490</w:t>
            </w:r>
          </w:p>
        </w:tc>
        <w:tc>
          <w:tcPr>
            <w:tcW w:w="10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10.2%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100" w:type="dxa"/>
            <w:vAlign w:val="bottom"/>
            <w:shd w:val="clear" w:color="auto" w:fill="CCFFCC"/>
          </w:tcPr>
          <w:p>
            <w:pPr>
              <w:ind w:left="160"/>
              <w:spacing w:after="0" w:line="130" w:lineRule="exact"/>
              <w:rPr>
                <w:sz w:val="20"/>
                <w:szCs w:val="20"/>
                <w:color w:val="auto"/>
              </w:rPr>
            </w:pPr>
            <w:r>
              <w:rPr>
                <w:rFonts w:ascii="Arial" w:cs="Arial" w:eastAsia="Arial" w:hAnsi="Arial"/>
                <w:sz w:val="14"/>
                <w:szCs w:val="14"/>
                <w:color w:val="auto"/>
              </w:rPr>
              <w:t>Interest and dividends on</w:t>
            </w:r>
          </w:p>
        </w:tc>
        <w:tc>
          <w:tcPr>
            <w:tcW w:w="100" w:type="dxa"/>
            <w:vAlign w:val="bottom"/>
            <w:shd w:val="clear" w:color="auto" w:fill="CCFFCC"/>
          </w:tcPr>
          <w:p>
            <w:pPr>
              <w:spacing w:after="0"/>
              <w:rPr>
                <w:sz w:val="11"/>
                <w:szCs w:val="11"/>
                <w:color w:val="auto"/>
              </w:rPr>
            </w:pPr>
          </w:p>
        </w:tc>
        <w:tc>
          <w:tcPr>
            <w:tcW w:w="88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88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86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88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88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88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88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00" w:type="dxa"/>
            <w:vAlign w:val="bottom"/>
            <w:shd w:val="clear" w:color="auto" w:fill="CCFFCC"/>
          </w:tcPr>
          <w:p>
            <w:pPr>
              <w:ind w:left="160"/>
              <w:spacing w:after="0"/>
              <w:rPr>
                <w:sz w:val="20"/>
                <w:szCs w:val="20"/>
                <w:color w:val="auto"/>
              </w:rPr>
            </w:pPr>
            <w:r>
              <w:rPr>
                <w:rFonts w:ascii="Arial" w:cs="Arial" w:eastAsia="Arial" w:hAnsi="Arial"/>
                <w:sz w:val="14"/>
                <w:szCs w:val="14"/>
                <w:color w:val="auto"/>
              </w:rPr>
              <w:t>investments</w:t>
            </w:r>
          </w:p>
        </w:tc>
        <w:tc>
          <w:tcPr>
            <w:tcW w:w="1240" w:type="dxa"/>
            <w:vAlign w:val="bottom"/>
            <w:gridSpan w:val="3"/>
            <w:shd w:val="clear" w:color="auto" w:fill="CCFFCC"/>
          </w:tcPr>
          <w:p>
            <w:pPr>
              <w:jc w:val="right"/>
              <w:ind w:right="260"/>
              <w:spacing w:after="0"/>
              <w:rPr>
                <w:sz w:val="20"/>
                <w:szCs w:val="20"/>
                <w:color w:val="auto"/>
              </w:rPr>
            </w:pPr>
            <w:r>
              <w:rPr>
                <w:rFonts w:ascii="Arial" w:cs="Arial" w:eastAsia="Arial" w:hAnsi="Arial"/>
                <w:sz w:val="14"/>
                <w:szCs w:val="14"/>
                <w:color w:val="auto"/>
              </w:rPr>
              <w:t>43</w:t>
            </w:r>
          </w:p>
        </w:tc>
        <w:tc>
          <w:tcPr>
            <w:tcW w:w="1140" w:type="dxa"/>
            <w:vAlign w:val="bottom"/>
            <w:gridSpan w:val="2"/>
            <w:shd w:val="clear" w:color="auto" w:fill="CCFFCC"/>
          </w:tcPr>
          <w:p>
            <w:pPr>
              <w:jc w:val="right"/>
              <w:ind w:right="260"/>
              <w:spacing w:after="0"/>
              <w:rPr>
                <w:sz w:val="20"/>
                <w:szCs w:val="20"/>
                <w:color w:val="auto"/>
              </w:rPr>
            </w:pPr>
            <w:r>
              <w:rPr>
                <w:rFonts w:ascii="Arial" w:cs="Arial" w:eastAsia="Arial" w:hAnsi="Arial"/>
                <w:sz w:val="14"/>
                <w:szCs w:val="14"/>
                <w:color w:val="auto"/>
              </w:rPr>
              <w:t>384</w:t>
            </w:r>
          </w:p>
        </w:tc>
        <w:tc>
          <w:tcPr>
            <w:tcW w:w="86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CFFCC"/>
          </w:tcPr>
          <w:p>
            <w:pPr>
              <w:spacing w:after="0"/>
              <w:rPr>
                <w:sz w:val="14"/>
                <w:szCs w:val="14"/>
                <w:color w:val="auto"/>
              </w:rPr>
            </w:pPr>
          </w:p>
        </w:tc>
        <w:tc>
          <w:tcPr>
            <w:tcW w:w="114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100.0%</w:t>
            </w:r>
          </w:p>
        </w:tc>
        <w:tc>
          <w:tcPr>
            <w:tcW w:w="114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-88.8%</w:t>
            </w:r>
          </w:p>
        </w:tc>
        <w:tc>
          <w:tcPr>
            <w:tcW w:w="112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3,131</w:t>
            </w:r>
          </w:p>
        </w:tc>
        <w:tc>
          <w:tcPr>
            <w:tcW w:w="240" w:type="dxa"/>
            <w:vAlign w:val="bottom"/>
            <w:shd w:val="clear" w:color="auto" w:fill="CCFFCC"/>
          </w:tcPr>
          <w:p>
            <w:pPr>
              <w:spacing w:after="0"/>
              <w:rPr>
                <w:sz w:val="14"/>
                <w:szCs w:val="14"/>
                <w:color w:val="auto"/>
              </w:rPr>
            </w:pPr>
          </w:p>
        </w:tc>
        <w:tc>
          <w:tcPr>
            <w:tcW w:w="900" w:type="dxa"/>
            <w:vAlign w:val="bottom"/>
            <w:gridSpan w:val="2"/>
            <w:shd w:val="clear" w:color="auto" w:fill="CCFFCC"/>
          </w:tcPr>
          <w:p>
            <w:pPr>
              <w:jc w:val="right"/>
              <w:ind w:right="260"/>
              <w:spacing w:after="0"/>
              <w:rPr>
                <w:sz w:val="20"/>
                <w:szCs w:val="20"/>
                <w:color w:val="auto"/>
              </w:rPr>
            </w:pPr>
            <w:r>
              <w:rPr>
                <w:rFonts w:ascii="Arial" w:cs="Arial" w:eastAsia="Arial" w:hAnsi="Arial"/>
                <w:sz w:val="14"/>
                <w:szCs w:val="14"/>
                <w:color w:val="auto"/>
              </w:rPr>
              <w:t>4,326</w:t>
            </w:r>
          </w:p>
        </w:tc>
        <w:tc>
          <w:tcPr>
            <w:tcW w:w="1040" w:type="dxa"/>
            <w:vAlign w:val="bottom"/>
            <w:gridSpan w:val="2"/>
            <w:shd w:val="clear" w:color="auto" w:fill="CCFFCC"/>
          </w:tcPr>
          <w:p>
            <w:pPr>
              <w:jc w:val="right"/>
              <w:ind w:right="40"/>
              <w:spacing w:after="0"/>
              <w:rPr>
                <w:sz w:val="20"/>
                <w:szCs w:val="20"/>
                <w:color w:val="auto"/>
              </w:rPr>
            </w:pPr>
            <w:r>
              <w:rPr>
                <w:rFonts w:ascii="Arial" w:cs="Arial" w:eastAsia="Arial" w:hAnsi="Arial"/>
                <w:sz w:val="14"/>
                <w:szCs w:val="14"/>
                <w:color w:val="auto"/>
              </w:rPr>
              <w:t>-27.6%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tcPr>
          <w:p>
            <w:pPr>
              <w:ind w:left="160"/>
              <w:spacing w:after="0" w:line="149" w:lineRule="exact"/>
              <w:rPr>
                <w:sz w:val="20"/>
                <w:szCs w:val="20"/>
                <w:color w:val="auto"/>
              </w:rPr>
            </w:pPr>
            <w:r>
              <w:rPr>
                <w:rFonts w:ascii="Arial" w:cs="Arial" w:eastAsia="Arial" w:hAnsi="Arial"/>
                <w:sz w:val="14"/>
                <w:szCs w:val="14"/>
                <w:color w:val="auto"/>
                <w:w w:val="99"/>
              </w:rPr>
              <w:t>Interest on deposits with banks</w:t>
            </w:r>
          </w:p>
        </w:tc>
        <w:tc>
          <w:tcPr>
            <w:tcW w:w="124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2,327</w:t>
            </w:r>
          </w:p>
        </w:tc>
        <w:tc>
          <w:tcPr>
            <w:tcW w:w="11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2,351</w:t>
            </w:r>
          </w:p>
        </w:tc>
        <w:tc>
          <w:tcPr>
            <w:tcW w:w="11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13,944</w:t>
            </w:r>
          </w:p>
        </w:tc>
        <w:tc>
          <w:tcPr>
            <w:tcW w:w="11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-83.3%</w:t>
            </w:r>
          </w:p>
        </w:tc>
        <w:tc>
          <w:tcPr>
            <w:tcW w:w="11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-1.0%</w:t>
            </w:r>
          </w:p>
        </w:tc>
        <w:tc>
          <w:tcPr>
            <w:tcW w:w="11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13,775</w:t>
            </w:r>
          </w:p>
        </w:tc>
        <w:tc>
          <w:tcPr>
            <w:tcW w:w="240" w:type="dxa"/>
            <w:vAlign w:val="bottom"/>
          </w:tcPr>
          <w:p>
            <w:pPr>
              <w:spacing w:after="0"/>
              <w:rPr>
                <w:sz w:val="12"/>
                <w:szCs w:val="12"/>
                <w:color w:val="auto"/>
              </w:rPr>
            </w:pPr>
          </w:p>
        </w:tc>
        <w:tc>
          <w:tcPr>
            <w:tcW w:w="9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53,451</w:t>
            </w:r>
          </w:p>
        </w:tc>
        <w:tc>
          <w:tcPr>
            <w:tcW w:w="10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-74.2%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Interest on trading securities</w:t>
            </w:r>
          </w:p>
        </w:tc>
        <w:tc>
          <w:tcPr>
            <w:tcW w:w="1240" w:type="dxa"/>
            <w:vAlign w:val="bottom"/>
            <w:gridSpan w:val="3"/>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22,008</w:t>
            </w:r>
          </w:p>
        </w:tc>
        <w:tc>
          <w:tcPr>
            <w:tcW w:w="114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27,730</w:t>
            </w:r>
          </w:p>
        </w:tc>
        <w:tc>
          <w:tcPr>
            <w:tcW w:w="112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38,598</w:t>
            </w:r>
          </w:p>
        </w:tc>
        <w:tc>
          <w:tcPr>
            <w:tcW w:w="11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-43.0%</w:t>
            </w:r>
          </w:p>
        </w:tc>
        <w:tc>
          <w:tcPr>
            <w:tcW w:w="11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-20.6%</w:t>
            </w:r>
          </w:p>
        </w:tc>
        <w:tc>
          <w:tcPr>
            <w:tcW w:w="112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109,723</w:t>
            </w:r>
          </w:p>
        </w:tc>
        <w:tc>
          <w:tcPr>
            <w:tcW w:w="240" w:type="dxa"/>
            <w:vAlign w:val="bottom"/>
            <w:shd w:val="clear" w:color="auto" w:fill="CCFFCC"/>
          </w:tcPr>
          <w:p>
            <w:pPr>
              <w:spacing w:after="0"/>
              <w:rPr>
                <w:sz w:val="12"/>
                <w:szCs w:val="12"/>
                <w:color w:val="auto"/>
              </w:rPr>
            </w:pPr>
          </w:p>
        </w:tc>
        <w:tc>
          <w:tcPr>
            <w:tcW w:w="90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219,679</w:t>
            </w:r>
          </w:p>
        </w:tc>
        <w:tc>
          <w:tcPr>
            <w:tcW w:w="1040" w:type="dxa"/>
            <w:vAlign w:val="bottom"/>
            <w:gridSpan w:val="2"/>
            <w:shd w:val="clear" w:color="auto" w:fill="CCFFCC"/>
          </w:tcPr>
          <w:p>
            <w:pPr>
              <w:jc w:val="right"/>
              <w:ind w:right="40"/>
              <w:spacing w:after="0" w:line="149" w:lineRule="exact"/>
              <w:rPr>
                <w:sz w:val="20"/>
                <w:szCs w:val="20"/>
                <w:color w:val="auto"/>
              </w:rPr>
            </w:pPr>
            <w:r>
              <w:rPr>
                <w:rFonts w:ascii="Arial" w:cs="Arial" w:eastAsia="Arial" w:hAnsi="Arial"/>
                <w:sz w:val="14"/>
                <w:szCs w:val="14"/>
                <w:color w:val="auto"/>
              </w:rPr>
              <w:t>-50.1%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tcPr>
          <w:p>
            <w:pPr>
              <w:ind w:left="160"/>
              <w:spacing w:after="0" w:line="149" w:lineRule="exact"/>
              <w:rPr>
                <w:sz w:val="20"/>
                <w:szCs w:val="20"/>
                <w:color w:val="auto"/>
              </w:rPr>
            </w:pPr>
            <w:r>
              <w:rPr>
                <w:rFonts w:ascii="Arial" w:cs="Arial" w:eastAsia="Arial" w:hAnsi="Arial"/>
                <w:sz w:val="14"/>
                <w:szCs w:val="14"/>
                <w:color w:val="auto"/>
              </w:rPr>
              <w:t>Other interest income</w:t>
            </w:r>
          </w:p>
        </w:tc>
        <w:tc>
          <w:tcPr>
            <w:tcW w:w="124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2,601</w:t>
            </w:r>
          </w:p>
        </w:tc>
        <w:tc>
          <w:tcPr>
            <w:tcW w:w="11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1,122</w:t>
            </w:r>
          </w:p>
        </w:tc>
        <w:tc>
          <w:tcPr>
            <w:tcW w:w="11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4,614</w:t>
            </w:r>
          </w:p>
        </w:tc>
        <w:tc>
          <w:tcPr>
            <w:tcW w:w="11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-43.6%</w:t>
            </w:r>
          </w:p>
        </w:tc>
        <w:tc>
          <w:tcPr>
            <w:tcW w:w="11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131.8%</w:t>
            </w:r>
          </w:p>
        </w:tc>
        <w:tc>
          <w:tcPr>
            <w:tcW w:w="11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20,901</w:t>
            </w:r>
          </w:p>
        </w:tc>
        <w:tc>
          <w:tcPr>
            <w:tcW w:w="240" w:type="dxa"/>
            <w:vAlign w:val="bottom"/>
          </w:tcPr>
          <w:p>
            <w:pPr>
              <w:spacing w:after="0"/>
              <w:rPr>
                <w:sz w:val="12"/>
                <w:szCs w:val="12"/>
                <w:color w:val="auto"/>
              </w:rPr>
            </w:pPr>
          </w:p>
        </w:tc>
        <w:tc>
          <w:tcPr>
            <w:tcW w:w="9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29,063</w:t>
            </w:r>
          </w:p>
        </w:tc>
        <w:tc>
          <w:tcPr>
            <w:tcW w:w="10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-28.1%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Interest expense</w:t>
            </w:r>
          </w:p>
        </w:tc>
        <w:tc>
          <w:tcPr>
            <w:tcW w:w="1240" w:type="dxa"/>
            <w:vAlign w:val="bottom"/>
            <w:gridSpan w:val="3"/>
            <w:shd w:val="clear" w:color="auto" w:fill="CCFFCC"/>
          </w:tcPr>
          <w:p>
            <w:pPr>
              <w:jc w:val="right"/>
              <w:ind w:right="260"/>
              <w:spacing w:after="0" w:line="149" w:lineRule="exact"/>
              <w:rPr>
                <w:sz w:val="20"/>
                <w:szCs w:val="20"/>
                <w:color w:val="auto"/>
              </w:rPr>
            </w:pPr>
            <w:r>
              <w:rPr>
                <w:rFonts w:ascii="Arial" w:cs="Arial" w:eastAsia="Arial" w:hAnsi="Arial"/>
                <w:sz w:val="14"/>
                <w:szCs w:val="14"/>
                <w:b w:val="1"/>
                <w:bCs w:val="1"/>
                <w:color w:val="auto"/>
              </w:rPr>
              <w:t>90,086</w:t>
            </w:r>
          </w:p>
        </w:tc>
        <w:tc>
          <w:tcPr>
            <w:tcW w:w="114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b w:val="1"/>
                <w:bCs w:val="1"/>
                <w:color w:val="auto"/>
              </w:rPr>
              <w:t>95,030</w:t>
            </w:r>
          </w:p>
        </w:tc>
        <w:tc>
          <w:tcPr>
            <w:tcW w:w="112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b w:val="1"/>
                <w:bCs w:val="1"/>
                <w:color w:val="auto"/>
              </w:rPr>
              <w:t>137,685</w:t>
            </w:r>
          </w:p>
        </w:tc>
        <w:tc>
          <w:tcPr>
            <w:tcW w:w="11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-34.6%</w:t>
            </w:r>
          </w:p>
        </w:tc>
        <w:tc>
          <w:tcPr>
            <w:tcW w:w="11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-5.2%</w:t>
            </w:r>
          </w:p>
        </w:tc>
        <w:tc>
          <w:tcPr>
            <w:tcW w:w="112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406,697</w:t>
            </w:r>
          </w:p>
        </w:tc>
        <w:tc>
          <w:tcPr>
            <w:tcW w:w="240" w:type="dxa"/>
            <w:vAlign w:val="bottom"/>
            <w:shd w:val="clear" w:color="auto" w:fill="CCFFCC"/>
          </w:tcPr>
          <w:p>
            <w:pPr>
              <w:spacing w:after="0"/>
              <w:rPr>
                <w:sz w:val="12"/>
                <w:szCs w:val="12"/>
                <w:color w:val="auto"/>
              </w:rPr>
            </w:pPr>
          </w:p>
        </w:tc>
        <w:tc>
          <w:tcPr>
            <w:tcW w:w="90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b w:val="1"/>
                <w:bCs w:val="1"/>
                <w:color w:val="auto"/>
              </w:rPr>
              <w:t>537,426</w:t>
            </w:r>
          </w:p>
        </w:tc>
        <w:tc>
          <w:tcPr>
            <w:tcW w:w="104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b w:val="1"/>
                <w:bCs w:val="1"/>
                <w:color w:val="auto"/>
              </w:rPr>
              <w:t>-24.3%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tcPr>
          <w:p>
            <w:pPr>
              <w:ind w:left="160"/>
              <w:spacing w:after="0" w:line="149" w:lineRule="exact"/>
              <w:rPr>
                <w:sz w:val="20"/>
                <w:szCs w:val="20"/>
                <w:color w:val="auto"/>
              </w:rPr>
            </w:pPr>
            <w:r>
              <w:rPr>
                <w:rFonts w:ascii="Arial" w:cs="Arial" w:eastAsia="Arial" w:hAnsi="Arial"/>
                <w:sz w:val="14"/>
                <w:szCs w:val="14"/>
                <w:color w:val="auto"/>
              </w:rPr>
              <w:t>Interest on deposits</w:t>
            </w:r>
          </w:p>
        </w:tc>
        <w:tc>
          <w:tcPr>
            <w:tcW w:w="124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49,258</w:t>
            </w:r>
          </w:p>
        </w:tc>
        <w:tc>
          <w:tcPr>
            <w:tcW w:w="11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61,505</w:t>
            </w:r>
          </w:p>
        </w:tc>
        <w:tc>
          <w:tcPr>
            <w:tcW w:w="11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97,842</w:t>
            </w:r>
          </w:p>
        </w:tc>
        <w:tc>
          <w:tcPr>
            <w:tcW w:w="11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-49.7%</w:t>
            </w:r>
          </w:p>
        </w:tc>
        <w:tc>
          <w:tcPr>
            <w:tcW w:w="11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-19.9%</w:t>
            </w:r>
          </w:p>
        </w:tc>
        <w:tc>
          <w:tcPr>
            <w:tcW w:w="11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269,361</w:t>
            </w:r>
          </w:p>
        </w:tc>
        <w:tc>
          <w:tcPr>
            <w:tcW w:w="240" w:type="dxa"/>
            <w:vAlign w:val="bottom"/>
          </w:tcPr>
          <w:p>
            <w:pPr>
              <w:spacing w:after="0"/>
              <w:rPr>
                <w:sz w:val="12"/>
                <w:szCs w:val="12"/>
                <w:color w:val="auto"/>
              </w:rPr>
            </w:pPr>
          </w:p>
        </w:tc>
        <w:tc>
          <w:tcPr>
            <w:tcW w:w="9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389,969</w:t>
            </w:r>
          </w:p>
        </w:tc>
        <w:tc>
          <w:tcPr>
            <w:tcW w:w="10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Interest on borrowed funds</w:t>
            </w:r>
          </w:p>
        </w:tc>
        <w:tc>
          <w:tcPr>
            <w:tcW w:w="1240" w:type="dxa"/>
            <w:vAlign w:val="bottom"/>
            <w:gridSpan w:val="3"/>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6,681</w:t>
            </w:r>
          </w:p>
        </w:tc>
        <w:tc>
          <w:tcPr>
            <w:tcW w:w="114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4,746</w:t>
            </w:r>
          </w:p>
        </w:tc>
        <w:tc>
          <w:tcPr>
            <w:tcW w:w="112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16,816</w:t>
            </w:r>
          </w:p>
        </w:tc>
        <w:tc>
          <w:tcPr>
            <w:tcW w:w="11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-60.3%</w:t>
            </w:r>
          </w:p>
        </w:tc>
        <w:tc>
          <w:tcPr>
            <w:tcW w:w="11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40.8%</w:t>
            </w:r>
          </w:p>
        </w:tc>
        <w:tc>
          <w:tcPr>
            <w:tcW w:w="112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27,925</w:t>
            </w:r>
          </w:p>
        </w:tc>
        <w:tc>
          <w:tcPr>
            <w:tcW w:w="240" w:type="dxa"/>
            <w:vAlign w:val="bottom"/>
            <w:shd w:val="clear" w:color="auto" w:fill="CCFFCC"/>
          </w:tcPr>
          <w:p>
            <w:pPr>
              <w:spacing w:after="0"/>
              <w:rPr>
                <w:sz w:val="12"/>
                <w:szCs w:val="12"/>
                <w:color w:val="auto"/>
              </w:rPr>
            </w:pPr>
          </w:p>
        </w:tc>
        <w:tc>
          <w:tcPr>
            <w:tcW w:w="90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66,542</w:t>
            </w:r>
          </w:p>
        </w:tc>
        <w:tc>
          <w:tcPr>
            <w:tcW w:w="1040" w:type="dxa"/>
            <w:vAlign w:val="bottom"/>
            <w:gridSpan w:val="2"/>
            <w:shd w:val="clear" w:color="auto" w:fill="CCFFCC"/>
          </w:tcPr>
          <w:p>
            <w:pPr>
              <w:jc w:val="right"/>
              <w:ind w:right="40"/>
              <w:spacing w:after="0" w:line="149" w:lineRule="exact"/>
              <w:rPr>
                <w:sz w:val="20"/>
                <w:szCs w:val="20"/>
                <w:color w:val="auto"/>
              </w:rPr>
            </w:pPr>
            <w:r>
              <w:rPr>
                <w:rFonts w:ascii="Arial" w:cs="Arial" w:eastAsia="Arial" w:hAnsi="Arial"/>
                <w:sz w:val="14"/>
                <w:szCs w:val="14"/>
                <w:color w:val="auto"/>
              </w:rPr>
              <w:t>-58.0%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100" w:type="dxa"/>
            <w:vAlign w:val="bottom"/>
          </w:tcPr>
          <w:p>
            <w:pPr>
              <w:ind w:left="160"/>
              <w:spacing w:after="0" w:line="130" w:lineRule="exact"/>
              <w:rPr>
                <w:sz w:val="20"/>
                <w:szCs w:val="20"/>
                <w:color w:val="auto"/>
              </w:rPr>
            </w:pPr>
            <w:r>
              <w:rPr>
                <w:rFonts w:ascii="Arial" w:cs="Arial" w:eastAsia="Arial" w:hAnsi="Arial"/>
                <w:sz w:val="14"/>
                <w:szCs w:val="14"/>
                <w:color w:val="auto"/>
              </w:rPr>
              <w:t>Interest on bonds and</w:t>
            </w: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00" w:type="dxa"/>
            <w:vAlign w:val="bottom"/>
          </w:tcPr>
          <w:p>
            <w:pPr>
              <w:ind w:left="160"/>
              <w:spacing w:after="0"/>
              <w:rPr>
                <w:sz w:val="20"/>
                <w:szCs w:val="20"/>
                <w:color w:val="auto"/>
              </w:rPr>
            </w:pPr>
            <w:r>
              <w:rPr>
                <w:rFonts w:ascii="Arial" w:cs="Arial" w:eastAsia="Arial" w:hAnsi="Arial"/>
                <w:sz w:val="14"/>
                <w:szCs w:val="14"/>
                <w:color w:val="auto"/>
              </w:rPr>
              <w:t>subordinated note</w:t>
            </w:r>
          </w:p>
        </w:tc>
        <w:tc>
          <w:tcPr>
            <w:tcW w:w="1240" w:type="dxa"/>
            <w:vAlign w:val="bottom"/>
            <w:gridSpan w:val="3"/>
          </w:tcPr>
          <w:p>
            <w:pPr>
              <w:jc w:val="right"/>
              <w:ind w:right="260"/>
              <w:spacing w:after="0"/>
              <w:rPr>
                <w:sz w:val="20"/>
                <w:szCs w:val="20"/>
                <w:color w:val="auto"/>
              </w:rPr>
            </w:pPr>
            <w:r>
              <w:rPr>
                <w:rFonts w:ascii="Arial" w:cs="Arial" w:eastAsia="Arial" w:hAnsi="Arial"/>
                <w:sz w:val="14"/>
                <w:szCs w:val="14"/>
                <w:color w:val="auto"/>
              </w:rPr>
              <w:t>20,916</w:t>
            </w:r>
          </w:p>
        </w:tc>
        <w:tc>
          <w:tcPr>
            <w:tcW w:w="1140" w:type="dxa"/>
            <w:vAlign w:val="bottom"/>
            <w:gridSpan w:val="2"/>
          </w:tcPr>
          <w:p>
            <w:pPr>
              <w:jc w:val="right"/>
              <w:ind w:right="260"/>
              <w:spacing w:after="0"/>
              <w:rPr>
                <w:sz w:val="20"/>
                <w:szCs w:val="20"/>
                <w:color w:val="auto"/>
              </w:rPr>
            </w:pPr>
            <w:r>
              <w:rPr>
                <w:rFonts w:ascii="Arial" w:cs="Arial" w:eastAsia="Arial" w:hAnsi="Arial"/>
                <w:sz w:val="14"/>
                <w:szCs w:val="14"/>
                <w:color w:val="auto"/>
              </w:rPr>
              <w:t>16,501</w:t>
            </w:r>
          </w:p>
        </w:tc>
        <w:tc>
          <w:tcPr>
            <w:tcW w:w="1120" w:type="dxa"/>
            <w:vAlign w:val="bottom"/>
            <w:gridSpan w:val="2"/>
          </w:tcPr>
          <w:p>
            <w:pPr>
              <w:jc w:val="right"/>
              <w:ind w:right="260"/>
              <w:spacing w:after="0"/>
              <w:rPr>
                <w:sz w:val="20"/>
                <w:szCs w:val="20"/>
                <w:color w:val="auto"/>
              </w:rPr>
            </w:pPr>
            <w:r>
              <w:rPr>
                <w:rFonts w:ascii="Arial" w:cs="Arial" w:eastAsia="Arial" w:hAnsi="Arial"/>
                <w:sz w:val="14"/>
                <w:szCs w:val="14"/>
                <w:color w:val="auto"/>
              </w:rPr>
              <w:t>14,386</w:t>
            </w:r>
          </w:p>
        </w:tc>
        <w:tc>
          <w:tcPr>
            <w:tcW w:w="1140" w:type="dxa"/>
            <w:vAlign w:val="bottom"/>
            <w:gridSpan w:val="2"/>
          </w:tcPr>
          <w:p>
            <w:pPr>
              <w:jc w:val="right"/>
              <w:ind w:right="140"/>
              <w:spacing w:after="0"/>
              <w:rPr>
                <w:sz w:val="20"/>
                <w:szCs w:val="20"/>
                <w:color w:val="auto"/>
              </w:rPr>
            </w:pPr>
            <w:r>
              <w:rPr>
                <w:rFonts w:ascii="Arial" w:cs="Arial" w:eastAsia="Arial" w:hAnsi="Arial"/>
                <w:sz w:val="14"/>
                <w:szCs w:val="14"/>
                <w:color w:val="auto"/>
              </w:rPr>
              <w:t>45.4%</w:t>
            </w:r>
          </w:p>
        </w:tc>
        <w:tc>
          <w:tcPr>
            <w:tcW w:w="1140" w:type="dxa"/>
            <w:vAlign w:val="bottom"/>
            <w:gridSpan w:val="2"/>
          </w:tcPr>
          <w:p>
            <w:pPr>
              <w:jc w:val="right"/>
              <w:ind w:right="140"/>
              <w:spacing w:after="0"/>
              <w:rPr>
                <w:sz w:val="20"/>
                <w:szCs w:val="20"/>
                <w:color w:val="auto"/>
              </w:rPr>
            </w:pPr>
            <w:r>
              <w:rPr>
                <w:rFonts w:ascii="Arial" w:cs="Arial" w:eastAsia="Arial" w:hAnsi="Arial"/>
                <w:sz w:val="14"/>
                <w:szCs w:val="14"/>
                <w:color w:val="auto"/>
              </w:rPr>
              <w:t>26.8%</w:t>
            </w: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67,929</w:t>
            </w:r>
          </w:p>
        </w:tc>
        <w:tc>
          <w:tcPr>
            <w:tcW w:w="240" w:type="dxa"/>
            <w:vAlign w:val="bottom"/>
          </w:tcPr>
          <w:p>
            <w:pPr>
              <w:spacing w:after="0"/>
              <w:rPr>
                <w:sz w:val="14"/>
                <w:szCs w:val="14"/>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54,262</w:t>
            </w:r>
          </w:p>
        </w:tc>
        <w:tc>
          <w:tcPr>
            <w:tcW w:w="1040" w:type="dxa"/>
            <w:vAlign w:val="bottom"/>
            <w:gridSpan w:val="2"/>
          </w:tcPr>
          <w:p>
            <w:pPr>
              <w:jc w:val="right"/>
              <w:ind w:right="40"/>
              <w:spacing w:after="0"/>
              <w:rPr>
                <w:sz w:val="20"/>
                <w:szCs w:val="20"/>
                <w:color w:val="auto"/>
              </w:rPr>
            </w:pPr>
            <w:r>
              <w:rPr>
                <w:rFonts w:ascii="Arial" w:cs="Arial" w:eastAsia="Arial" w:hAnsi="Arial"/>
                <w:sz w:val="14"/>
                <w:szCs w:val="14"/>
                <w:color w:val="auto"/>
              </w:rPr>
              <w:t>25.2%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Other interest expense</w:t>
            </w:r>
          </w:p>
        </w:tc>
        <w:tc>
          <w:tcPr>
            <w:tcW w:w="100" w:type="dxa"/>
            <w:vAlign w:val="bottom"/>
            <w:shd w:val="clear" w:color="auto" w:fill="CCFFCC"/>
          </w:tcPr>
          <w:p>
            <w:pPr>
              <w:spacing w:after="0"/>
              <w:rPr>
                <w:sz w:val="12"/>
                <w:szCs w:val="12"/>
                <w:color w:val="auto"/>
              </w:rPr>
            </w:pPr>
          </w:p>
        </w:tc>
        <w:tc>
          <w:tcPr>
            <w:tcW w:w="114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13,231</w:t>
            </w:r>
          </w:p>
        </w:tc>
        <w:tc>
          <w:tcPr>
            <w:tcW w:w="114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12,278</w:t>
            </w:r>
          </w:p>
        </w:tc>
        <w:tc>
          <w:tcPr>
            <w:tcW w:w="112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8,641</w:t>
            </w:r>
          </w:p>
        </w:tc>
        <w:tc>
          <w:tcPr>
            <w:tcW w:w="11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53.1%</w:t>
            </w:r>
          </w:p>
        </w:tc>
        <w:tc>
          <w:tcPr>
            <w:tcW w:w="11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7.8%</w:t>
            </w:r>
          </w:p>
        </w:tc>
        <w:tc>
          <w:tcPr>
            <w:tcW w:w="112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41,482</w:t>
            </w:r>
          </w:p>
        </w:tc>
        <w:tc>
          <w:tcPr>
            <w:tcW w:w="240" w:type="dxa"/>
            <w:vAlign w:val="bottom"/>
            <w:shd w:val="clear" w:color="auto" w:fill="CCFFCC"/>
          </w:tcPr>
          <w:p>
            <w:pPr>
              <w:spacing w:after="0"/>
              <w:rPr>
                <w:sz w:val="12"/>
                <w:szCs w:val="12"/>
                <w:color w:val="auto"/>
              </w:rPr>
            </w:pPr>
          </w:p>
        </w:tc>
        <w:tc>
          <w:tcPr>
            <w:tcW w:w="90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26,653</w:t>
            </w:r>
          </w:p>
        </w:tc>
        <w:tc>
          <w:tcPr>
            <w:tcW w:w="1040" w:type="dxa"/>
            <w:vAlign w:val="bottom"/>
            <w:gridSpan w:val="2"/>
            <w:shd w:val="clear" w:color="auto" w:fill="CCFFCC"/>
          </w:tcPr>
          <w:p>
            <w:pPr>
              <w:jc w:val="right"/>
              <w:ind w:right="40"/>
              <w:spacing w:after="0" w:line="149" w:lineRule="exact"/>
              <w:rPr>
                <w:sz w:val="20"/>
                <w:szCs w:val="20"/>
                <w:color w:val="auto"/>
              </w:rPr>
            </w:pPr>
            <w:r>
              <w:rPr>
                <w:rFonts w:ascii="Arial" w:cs="Arial" w:eastAsia="Arial" w:hAnsi="Arial"/>
                <w:sz w:val="14"/>
                <w:szCs w:val="14"/>
                <w:color w:val="auto"/>
              </w:rPr>
              <w:t>55.6%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10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100" w:type="dxa"/>
            <w:vAlign w:val="bottom"/>
          </w:tcPr>
          <w:p>
            <w:pPr>
              <w:spacing w:after="0" w:line="149" w:lineRule="exact"/>
              <w:rPr>
                <w:sz w:val="20"/>
                <w:szCs w:val="20"/>
                <w:color w:val="auto"/>
              </w:rPr>
            </w:pPr>
            <w:r>
              <w:rPr>
                <w:rFonts w:ascii="Arial" w:cs="Arial" w:eastAsia="Arial" w:hAnsi="Arial"/>
                <w:sz w:val="14"/>
                <w:szCs w:val="14"/>
                <w:b w:val="1"/>
                <w:bCs w:val="1"/>
                <w:color w:val="auto"/>
              </w:rPr>
              <w:t>Net interest income</w:t>
            </w:r>
          </w:p>
        </w:tc>
        <w:tc>
          <w:tcPr>
            <w:tcW w:w="100" w:type="dxa"/>
            <w:vAlign w:val="bottom"/>
          </w:tcPr>
          <w:p>
            <w:pPr>
              <w:spacing w:after="0"/>
              <w:rPr>
                <w:sz w:val="12"/>
                <w:szCs w:val="12"/>
                <w:color w:val="auto"/>
              </w:rPr>
            </w:pPr>
          </w:p>
        </w:tc>
        <w:tc>
          <w:tcPr>
            <w:tcW w:w="114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211,233</w:t>
            </w:r>
          </w:p>
        </w:tc>
        <w:tc>
          <w:tcPr>
            <w:tcW w:w="114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197,262</w:t>
            </w:r>
          </w:p>
        </w:tc>
        <w:tc>
          <w:tcPr>
            <w:tcW w:w="112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189,322</w:t>
            </w:r>
          </w:p>
        </w:tc>
        <w:tc>
          <w:tcPr>
            <w:tcW w:w="11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11.6%</w:t>
            </w:r>
          </w:p>
        </w:tc>
        <w:tc>
          <w:tcPr>
            <w:tcW w:w="11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7.1%</w:t>
            </w:r>
          </w:p>
        </w:tc>
        <w:tc>
          <w:tcPr>
            <w:tcW w:w="112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798,217</w:t>
            </w:r>
          </w:p>
        </w:tc>
        <w:tc>
          <w:tcPr>
            <w:tcW w:w="240" w:type="dxa"/>
            <w:vAlign w:val="bottom"/>
          </w:tcPr>
          <w:p>
            <w:pPr>
              <w:spacing w:after="0"/>
              <w:rPr>
                <w:sz w:val="12"/>
                <w:szCs w:val="12"/>
                <w:color w:val="auto"/>
              </w:rPr>
            </w:pPr>
          </w:p>
        </w:tc>
        <w:tc>
          <w:tcPr>
            <w:tcW w:w="90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728,583</w:t>
            </w:r>
          </w:p>
        </w:tc>
        <w:tc>
          <w:tcPr>
            <w:tcW w:w="104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9.6%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10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Average interest earning assets</w:t>
            </w:r>
          </w:p>
        </w:tc>
        <w:tc>
          <w:tcPr>
            <w:tcW w:w="100" w:type="dxa"/>
            <w:vAlign w:val="bottom"/>
            <w:shd w:val="clear" w:color="auto" w:fill="CCFFCC"/>
          </w:tcPr>
          <w:p>
            <w:pPr>
              <w:spacing w:after="0"/>
              <w:rPr>
                <w:sz w:val="12"/>
                <w:szCs w:val="12"/>
                <w:color w:val="auto"/>
              </w:rPr>
            </w:pPr>
          </w:p>
        </w:tc>
        <w:tc>
          <w:tcPr>
            <w:tcW w:w="114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b w:val="1"/>
                <w:bCs w:val="1"/>
                <w:color w:val="auto"/>
              </w:rPr>
              <w:t>16,826,904</w:t>
            </w:r>
          </w:p>
        </w:tc>
        <w:tc>
          <w:tcPr>
            <w:tcW w:w="114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b w:val="1"/>
                <w:bCs w:val="1"/>
                <w:color w:val="auto"/>
              </w:rPr>
              <w:t>16,203,524</w:t>
            </w:r>
          </w:p>
        </w:tc>
        <w:tc>
          <w:tcPr>
            <w:tcW w:w="86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16,661,248</w:t>
            </w:r>
          </w:p>
        </w:tc>
        <w:tc>
          <w:tcPr>
            <w:tcW w:w="260" w:type="dxa"/>
            <w:vAlign w:val="bottom"/>
            <w:shd w:val="clear" w:color="auto" w:fill="CCFFCC"/>
          </w:tcPr>
          <w:p>
            <w:pPr>
              <w:spacing w:after="0"/>
              <w:rPr>
                <w:sz w:val="12"/>
                <w:szCs w:val="12"/>
                <w:color w:val="auto"/>
              </w:rPr>
            </w:pPr>
          </w:p>
        </w:tc>
        <w:tc>
          <w:tcPr>
            <w:tcW w:w="11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1.0%</w:t>
            </w:r>
          </w:p>
        </w:tc>
        <w:tc>
          <w:tcPr>
            <w:tcW w:w="11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3.8%</w:t>
            </w:r>
          </w:p>
        </w:tc>
        <w:tc>
          <w:tcPr>
            <w:tcW w:w="112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16,579,634</w:t>
            </w:r>
          </w:p>
        </w:tc>
        <w:tc>
          <w:tcPr>
            <w:tcW w:w="240" w:type="dxa"/>
            <w:vAlign w:val="bottom"/>
            <w:shd w:val="clear" w:color="auto" w:fill="CCFFCC"/>
          </w:tcPr>
          <w:p>
            <w:pPr>
              <w:spacing w:after="0"/>
              <w:rPr>
                <w:sz w:val="12"/>
                <w:szCs w:val="12"/>
                <w:color w:val="auto"/>
              </w:rPr>
            </w:pPr>
          </w:p>
        </w:tc>
        <w:tc>
          <w:tcPr>
            <w:tcW w:w="90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b w:val="1"/>
                <w:bCs w:val="1"/>
                <w:color w:val="auto"/>
                <w:w w:val="88"/>
              </w:rPr>
              <w:t>16,064,491</w:t>
            </w:r>
          </w:p>
        </w:tc>
        <w:tc>
          <w:tcPr>
            <w:tcW w:w="104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b w:val="1"/>
                <w:bCs w:val="1"/>
                <w:color w:val="auto"/>
              </w:rPr>
              <w:t>3.2%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10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100" w:type="dxa"/>
            <w:vAlign w:val="bottom"/>
          </w:tcPr>
          <w:p>
            <w:pPr>
              <w:spacing w:after="0" w:line="149" w:lineRule="exact"/>
              <w:rPr>
                <w:sz w:val="20"/>
                <w:szCs w:val="20"/>
                <w:color w:val="auto"/>
              </w:rPr>
            </w:pPr>
            <w:r>
              <w:rPr>
                <w:rFonts w:ascii="Arial" w:cs="Arial" w:eastAsia="Arial" w:hAnsi="Arial"/>
                <w:sz w:val="14"/>
                <w:szCs w:val="14"/>
                <w:b w:val="1"/>
                <w:bCs w:val="1"/>
                <w:color w:val="auto"/>
              </w:rPr>
              <w:t>Net interest margin*</w:t>
            </w:r>
          </w:p>
        </w:tc>
        <w:tc>
          <w:tcPr>
            <w:tcW w:w="100" w:type="dxa"/>
            <w:vAlign w:val="bottom"/>
          </w:tcPr>
          <w:p>
            <w:pPr>
              <w:spacing w:after="0"/>
              <w:rPr>
                <w:sz w:val="12"/>
                <w:szCs w:val="12"/>
                <w:color w:val="auto"/>
              </w:rPr>
            </w:pPr>
          </w:p>
        </w:tc>
        <w:tc>
          <w:tcPr>
            <w:tcW w:w="11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5.02%</w:t>
            </w:r>
          </w:p>
        </w:tc>
        <w:tc>
          <w:tcPr>
            <w:tcW w:w="11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4.87%</w:t>
            </w: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4.55%</w:t>
            </w: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4.81%</w:t>
            </w:r>
          </w:p>
        </w:tc>
        <w:tc>
          <w:tcPr>
            <w:tcW w:w="24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4.54%</w:t>
            </w: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180"/>
        <w:spacing w:after="0"/>
        <w:rPr>
          <w:sz w:val="20"/>
          <w:szCs w:val="20"/>
          <w:color w:val="auto"/>
        </w:rPr>
      </w:pPr>
      <w:r>
        <w:rPr>
          <w:rFonts w:ascii="Arial" w:cs="Arial" w:eastAsia="Arial" w:hAnsi="Arial"/>
          <w:sz w:val="18"/>
          <w:szCs w:val="18"/>
          <w:i w:val="1"/>
          <w:iCs w:val="1"/>
          <w:color w:val="auto"/>
        </w:rPr>
        <w:t>*Annualized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The quarterly evolution of NII indicates 7.1% growth that can be explained by:</w:t>
      </w:r>
    </w:p>
    <w:p>
      <w:pPr>
        <w:spacing w:after="0" w:line="252"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color w:val="auto"/>
        </w:rPr>
        <w:t>i)The 5.2% increase in interest income on loans stemming from 5.2% growth in the average daily balance of the domestic currency portfolio, which offset lower yields on deposits and investments; and</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ii)The significant contraction in expenses attributable to lower interest expenses on deposits, which fell 19.9% QoQ due primarily to lower interest rates.</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This offset the increase in interest on borrowed funds and on newly issued bonds in the international markets, which grew in 4Q09.</w:t>
      </w:r>
    </w:p>
    <w:p>
      <w:pPr>
        <w:spacing w:after="0" w:line="23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864" w:right="239" w:bottom="1440" w:gutter="0" w:footer="0" w:header="0"/>
        </w:sectPr>
      </w:pPr>
    </w:p>
    <w:bookmarkStart w:id="15" w:name="page16"/>
    <w:bookmarkEnd w:id="15"/>
    <w:p>
      <w:pPr>
        <w:jc w:val="both"/>
        <w:ind w:right="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6254750</wp:posOffset>
            </wp:positionH>
            <wp:positionV relativeFrom="page">
              <wp:posOffset>243205</wp:posOffset>
            </wp:positionV>
            <wp:extent cx="1149350" cy="3175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clrChange>
                        <a:clrFrom>
                          <a:srgbClr val="FFFFFF"/>
                        </a:clrFrom>
                        <a:clrTo>
                          <a:srgbClr val="FFFFFF">
                            <a:alpha val="0"/>
                          </a:srgbClr>
                        </a:clrTo>
                      </a:clrChange>
                      <a:extLst>
                        <a:ext uri="{28A0092B-C50C-407E-A947-70E740481C1C}"/>
                      </a:extLst>
                    </a:blip>
                    <a:srcRect/>
                    <a:stretch>
                      <a:fillRect/>
                    </a:stretch>
                  </pic:blipFill>
                  <pic:spPr bwMode="auto">
                    <a:xfrm>
                      <a:off x="0" y="0"/>
                      <a:ext cx="1149350" cy="317500"/>
                    </a:xfrm>
                    <a:prstGeom prst="rect">
                      <a:avLst/>
                    </a:prstGeom>
                    <a:noFill/>
                  </pic:spPr>
                </pic:pic>
              </a:graphicData>
            </a:graphic>
          </wp:anchor>
        </w:drawing>
        <w:t>The aforementioned explains the improvement in NIM, which went from 4.87% in 3Q09 to 5.02% in 4Q09 and an increase in NIM on loans, which reached 7.9% in 4Q09.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2432050</wp:posOffset>
            </wp:positionH>
            <wp:positionV relativeFrom="paragraph">
              <wp:posOffset>134620</wp:posOffset>
            </wp:positionV>
            <wp:extent cx="2400935" cy="13976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400935" cy="1397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the full year 2009, overall NIM improved from 4.54% to 4.81%. This improvement is the result of adequate asset &amp; liability management, management of our funding structure, liquidity position and their impact on interest expenses and interest income. On the income side, it is important to highlight the significant 10.2% increase in interest income on loans. This improvement is primarily due to continued growth in the Retail Banking’s domestic currency portfolio that was further strengthened by Wholesale Banking’s 4Q09 expansion in the same portfolio. This helped mitigate the 50.1% and 74.2% contraction in interest on investments and deposits, respectively. This reduction can be explained by the fact that yields were low throughout 2009 due to the strong contraction in interest rates generated by the international crisis.</w:t>
      </w:r>
    </w:p>
    <w:p>
      <w:pPr>
        <w:spacing w:after="0" w:line="22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Finally, accumulated financial expenses fell 24.3% due to adequate financial management, which focused on obtaining lower funding costs, compensating higher interest income on 2009 bond issuances, which include an additional US$ 2.0 million per month of interest expenses from the issuance of hybrid bonds in November of 2009.</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II.4 Loan Provisions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Provisions increased 14.7% QoQ, primarily due to the consolidation of Edyficar’s results, which represented an increase of US$5.8 million in BCP’s total provisions. Although past due loans increased 11.3% over 3Q09’s levels, the past due ratio was basically flat due to loan growth.</w:t>
      </w:r>
    </w:p>
    <w:p>
      <w:pPr>
        <w:spacing w:after="0" w:line="197"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11" w:right="2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41"/>
        </w:trPr>
        <w:tc>
          <w:tcPr>
            <w:tcW w:w="3880" w:type="dxa"/>
            <w:vAlign w:val="bottom"/>
            <w:gridSpan w:val="2"/>
          </w:tcPr>
          <w:p>
            <w:pPr>
              <w:spacing w:after="0"/>
              <w:rPr>
                <w:sz w:val="20"/>
                <w:szCs w:val="20"/>
                <w:color w:val="auto"/>
              </w:rPr>
            </w:pPr>
            <w:r>
              <w:rPr>
                <w:rFonts w:ascii="Arial" w:cs="Arial" w:eastAsia="Arial" w:hAnsi="Arial"/>
                <w:sz w:val="18"/>
                <w:szCs w:val="18"/>
                <w:b w:val="1"/>
                <w:bCs w:val="1"/>
                <w:color w:val="auto"/>
              </w:rPr>
              <w:t>Provisión for loan losses</w:t>
            </w: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0"/>
              </w:rPr>
              <w:t>Quarter ended</w:t>
            </w: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500" w:type="dxa"/>
            <w:vAlign w:val="bottom"/>
            <w:gridSpan w:val="4"/>
          </w:tcPr>
          <w:p>
            <w:pPr>
              <w:jc w:val="right"/>
              <w:ind w:right="940"/>
              <w:spacing w:after="0"/>
              <w:rPr>
                <w:sz w:val="20"/>
                <w:szCs w:val="20"/>
                <w:color w:val="auto"/>
              </w:rPr>
            </w:pPr>
            <w:r>
              <w:rPr>
                <w:rFonts w:ascii="Arial" w:cs="Arial" w:eastAsia="Arial" w:hAnsi="Arial"/>
                <w:sz w:val="18"/>
                <w:szCs w:val="18"/>
                <w:b w:val="1"/>
                <w:bCs w:val="1"/>
                <w:color w:val="auto"/>
              </w:rPr>
              <w:t>Change %</w:t>
            </w:r>
          </w:p>
        </w:tc>
        <w:tc>
          <w:tcPr>
            <w:tcW w:w="0" w:type="dxa"/>
            <w:vAlign w:val="bottom"/>
          </w:tcPr>
          <w:p>
            <w:pPr>
              <w:spacing w:after="0"/>
              <w:rPr>
                <w:sz w:val="1"/>
                <w:szCs w:val="1"/>
                <w:color w:val="auto"/>
              </w:rPr>
            </w:pPr>
          </w:p>
        </w:tc>
      </w:tr>
      <w:tr>
        <w:trPr>
          <w:trHeight w:val="216"/>
        </w:trPr>
        <w:tc>
          <w:tcPr>
            <w:tcW w:w="38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US$ 000</w:t>
            </w:r>
          </w:p>
        </w:tc>
        <w:tc>
          <w:tcPr>
            <w:tcW w:w="80" w:type="dxa"/>
            <w:vAlign w:val="bottom"/>
          </w:tcPr>
          <w:p>
            <w:pPr>
              <w:spacing w:after="0"/>
              <w:rPr>
                <w:sz w:val="18"/>
                <w:szCs w:val="18"/>
                <w:color w:val="auto"/>
              </w:rPr>
            </w:pPr>
          </w:p>
        </w:tc>
        <w:tc>
          <w:tcPr>
            <w:tcW w:w="1200" w:type="dxa"/>
            <w:vAlign w:val="bottom"/>
            <w:tcBorders>
              <w:top w:val="single" w:sz="8" w:color="auto"/>
            </w:tcBorders>
            <w:gridSpan w:val="2"/>
          </w:tcPr>
          <w:p>
            <w:pPr>
              <w:jc w:val="right"/>
              <w:ind w:right="480"/>
              <w:spacing w:after="0"/>
              <w:rPr>
                <w:sz w:val="20"/>
                <w:szCs w:val="20"/>
                <w:color w:val="auto"/>
              </w:rPr>
            </w:pPr>
            <w:r>
              <w:rPr>
                <w:rFonts w:ascii="Arial" w:cs="Arial" w:eastAsia="Arial" w:hAnsi="Arial"/>
                <w:sz w:val="18"/>
                <w:szCs w:val="18"/>
                <w:b w:val="1"/>
                <w:bCs w:val="1"/>
                <w:color w:val="auto"/>
              </w:rPr>
              <w:t>4Q09</w:t>
            </w:r>
          </w:p>
        </w:tc>
        <w:tc>
          <w:tcPr>
            <w:tcW w:w="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gridSpan w:val="2"/>
          </w:tcPr>
          <w:p>
            <w:pPr>
              <w:jc w:val="right"/>
              <w:ind w:right="560"/>
              <w:spacing w:after="0"/>
              <w:rPr>
                <w:sz w:val="20"/>
                <w:szCs w:val="20"/>
                <w:color w:val="auto"/>
              </w:rPr>
            </w:pPr>
            <w:r>
              <w:rPr>
                <w:rFonts w:ascii="Arial" w:cs="Arial" w:eastAsia="Arial" w:hAnsi="Arial"/>
                <w:sz w:val="18"/>
                <w:szCs w:val="18"/>
                <w:b w:val="1"/>
                <w:bCs w:val="1"/>
                <w:color w:val="auto"/>
              </w:rPr>
              <w:t>3Q09</w:t>
            </w:r>
          </w:p>
        </w:tc>
        <w:tc>
          <w:tcPr>
            <w:tcW w:w="10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4Q08</w:t>
            </w:r>
          </w:p>
        </w:tc>
        <w:tc>
          <w:tcPr>
            <w:tcW w:w="260" w:type="dxa"/>
            <w:vAlign w:val="bottom"/>
          </w:tcPr>
          <w:p>
            <w:pPr>
              <w:spacing w:after="0"/>
              <w:rPr>
                <w:sz w:val="18"/>
                <w:szCs w:val="18"/>
                <w:color w:val="auto"/>
              </w:rPr>
            </w:pPr>
          </w:p>
        </w:tc>
        <w:tc>
          <w:tcPr>
            <w:tcW w:w="1300" w:type="dxa"/>
            <w:vAlign w:val="bottom"/>
            <w:tcBorders>
              <w:top w:val="single" w:sz="8" w:color="auto"/>
            </w:tcBorders>
            <w:gridSpan w:val="2"/>
          </w:tcPr>
          <w:p>
            <w:pPr>
              <w:jc w:val="right"/>
              <w:ind w:right="360"/>
              <w:spacing w:after="0"/>
              <w:rPr>
                <w:sz w:val="20"/>
                <w:szCs w:val="20"/>
                <w:color w:val="auto"/>
              </w:rPr>
            </w:pPr>
            <w:r>
              <w:rPr>
                <w:rFonts w:ascii="Arial" w:cs="Arial" w:eastAsia="Arial" w:hAnsi="Arial"/>
                <w:sz w:val="18"/>
                <w:szCs w:val="18"/>
                <w:b w:val="1"/>
                <w:bCs w:val="1"/>
                <w:color w:val="auto"/>
                <w:w w:val="98"/>
              </w:rPr>
              <w:t>4Q09/4Q08</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4Q09/3Q09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shd w:val="clear" w:color="auto" w:fill="CCFFCC"/>
          </w:tcPr>
          <w:p>
            <w:pPr>
              <w:spacing w:after="0"/>
              <w:rPr>
                <w:sz w:val="20"/>
                <w:szCs w:val="20"/>
                <w:color w:val="auto"/>
              </w:rPr>
            </w:pPr>
            <w:r>
              <w:rPr>
                <w:rFonts w:ascii="Arial" w:cs="Arial" w:eastAsia="Arial" w:hAnsi="Arial"/>
                <w:sz w:val="18"/>
                <w:szCs w:val="18"/>
                <w:color w:val="auto"/>
              </w:rPr>
              <w:t>Provisions</w:t>
            </w:r>
          </w:p>
        </w:tc>
        <w:tc>
          <w:tcPr>
            <w:tcW w:w="8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(50,554)</w:t>
            </w:r>
          </w:p>
        </w:tc>
        <w:tc>
          <w:tcPr>
            <w:tcW w:w="1340" w:type="dxa"/>
            <w:vAlign w:val="bottom"/>
            <w:gridSpan w:val="3"/>
            <w:shd w:val="clear" w:color="auto" w:fill="CCFFCC"/>
          </w:tcPr>
          <w:p>
            <w:pPr>
              <w:jc w:val="right"/>
              <w:ind w:right="200"/>
              <w:spacing w:after="0"/>
              <w:rPr>
                <w:sz w:val="20"/>
                <w:szCs w:val="20"/>
                <w:color w:val="auto"/>
              </w:rPr>
            </w:pPr>
            <w:r>
              <w:rPr>
                <w:rFonts w:ascii="Arial" w:cs="Arial" w:eastAsia="Arial" w:hAnsi="Arial"/>
                <w:sz w:val="18"/>
                <w:szCs w:val="18"/>
                <w:color w:val="auto"/>
              </w:rPr>
              <w:t>(44,080)</w:t>
            </w:r>
          </w:p>
        </w:tc>
        <w:tc>
          <w:tcPr>
            <w:tcW w:w="12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(12,903)</w:t>
            </w:r>
          </w:p>
        </w:tc>
        <w:tc>
          <w:tcPr>
            <w:tcW w:w="13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291.8%</w:t>
            </w:r>
          </w:p>
        </w:tc>
        <w:tc>
          <w:tcPr>
            <w:tcW w:w="12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Loan loss recoveries</w:t>
            </w: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5,620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5,163</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6,474</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-13.2%</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Total provisions, net of recoveries</w:t>
            </w:r>
          </w:p>
        </w:tc>
        <w:tc>
          <w:tcPr>
            <w:tcW w:w="8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(44,933)</w:t>
            </w:r>
          </w:p>
        </w:tc>
        <w:tc>
          <w:tcPr>
            <w:tcW w:w="1340" w:type="dxa"/>
            <w:vAlign w:val="bottom"/>
            <w:gridSpan w:val="3"/>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(38,917)</w:t>
            </w:r>
          </w:p>
        </w:tc>
        <w:tc>
          <w:tcPr>
            <w:tcW w:w="12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(6,429)</w:t>
            </w:r>
          </w:p>
        </w:tc>
        <w:tc>
          <w:tcPr>
            <w:tcW w:w="13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598.9%</w:t>
            </w:r>
          </w:p>
        </w:tc>
        <w:tc>
          <w:tcPr>
            <w:tcW w:w="12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15.5%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60" w:type="dxa"/>
            <w:vAlign w:val="bottom"/>
            <w:shd w:val="clear" w:color="auto" w:fill="CCFFCC"/>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b w:val="1"/>
                <w:bCs w:val="1"/>
                <w:color w:val="auto"/>
              </w:rPr>
              <w:t>Total loans</w:t>
            </w: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11,577,303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10,572,063</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10,444,723</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10.8%</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Reserve for loan losses (RLL)</w:t>
            </w:r>
          </w:p>
        </w:tc>
        <w:tc>
          <w:tcPr>
            <w:tcW w:w="80" w:type="dxa"/>
            <w:vAlign w:val="bottom"/>
            <w:shd w:val="clear" w:color="auto" w:fill="CCFFCC"/>
          </w:tcPr>
          <w:p>
            <w:pPr>
              <w:spacing w:after="0"/>
              <w:rPr>
                <w:sz w:val="18"/>
                <w:szCs w:val="18"/>
                <w:color w:val="auto"/>
              </w:rPr>
            </w:pP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353,348</w:t>
            </w:r>
          </w:p>
        </w:tc>
        <w:tc>
          <w:tcPr>
            <w:tcW w:w="1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b w:val="1"/>
                <w:bCs w:val="1"/>
                <w:color w:val="auto"/>
              </w:rPr>
              <w:t>316,718</w:t>
            </w:r>
          </w:p>
        </w:tc>
        <w:tc>
          <w:tcPr>
            <w:tcW w:w="128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b w:val="1"/>
                <w:bCs w:val="1"/>
                <w:color w:val="auto"/>
              </w:rPr>
              <w:t>223,161</w:t>
            </w:r>
          </w:p>
        </w:tc>
        <w:tc>
          <w:tcPr>
            <w:tcW w:w="13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58.3%</w:t>
            </w:r>
          </w:p>
        </w:tc>
        <w:tc>
          <w:tcPr>
            <w:tcW w:w="12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11.6%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60" w:type="dxa"/>
            <w:vAlign w:val="bottom"/>
            <w:shd w:val="clear" w:color="auto" w:fill="CCFFCC"/>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b w:val="1"/>
                <w:bCs w:val="1"/>
                <w:color w:val="auto"/>
              </w:rPr>
              <w:t>Charge-Off amount</w:t>
            </w: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31,652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20,709</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13,160</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140.5%</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52.8%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Past due loans (PDL)</w:t>
            </w:r>
          </w:p>
        </w:tc>
        <w:tc>
          <w:tcPr>
            <w:tcW w:w="80" w:type="dxa"/>
            <w:vAlign w:val="bottom"/>
            <w:shd w:val="clear" w:color="auto" w:fill="CCFFCC"/>
          </w:tcPr>
          <w:p>
            <w:pPr>
              <w:spacing w:after="0"/>
              <w:rPr>
                <w:sz w:val="18"/>
                <w:szCs w:val="18"/>
                <w:color w:val="auto"/>
              </w:rPr>
            </w:pP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183,746</w:t>
            </w:r>
          </w:p>
        </w:tc>
        <w:tc>
          <w:tcPr>
            <w:tcW w:w="1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b w:val="1"/>
                <w:bCs w:val="1"/>
                <w:color w:val="auto"/>
              </w:rPr>
              <w:t>165,109</w:t>
            </w:r>
          </w:p>
        </w:tc>
        <w:tc>
          <w:tcPr>
            <w:tcW w:w="128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b w:val="1"/>
                <w:bCs w:val="1"/>
                <w:color w:val="auto"/>
              </w:rPr>
              <w:t>82,064</w:t>
            </w:r>
          </w:p>
        </w:tc>
        <w:tc>
          <w:tcPr>
            <w:tcW w:w="13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123.9%</w:t>
            </w:r>
          </w:p>
        </w:tc>
        <w:tc>
          <w:tcPr>
            <w:tcW w:w="12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11.3%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60" w:type="dxa"/>
            <w:vAlign w:val="bottom"/>
            <w:shd w:val="clear" w:color="auto" w:fill="CCFFCC"/>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PDL/Total loans</w:t>
            </w:r>
          </w:p>
        </w:tc>
        <w:tc>
          <w:tcPr>
            <w:tcW w:w="8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1.59%</w:t>
            </w: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1.56%</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0.79%</w:t>
            </w: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FFCC"/>
          </w:tcPr>
          <w:p>
            <w:pPr>
              <w:spacing w:after="0"/>
              <w:rPr>
                <w:sz w:val="20"/>
                <w:szCs w:val="20"/>
                <w:color w:val="auto"/>
              </w:rPr>
            </w:pPr>
            <w:r>
              <w:rPr>
                <w:rFonts w:ascii="Arial" w:cs="Arial" w:eastAsia="Arial" w:hAnsi="Arial"/>
                <w:sz w:val="18"/>
                <w:szCs w:val="18"/>
                <w:color w:val="auto"/>
              </w:rPr>
              <w:t>Coverage</w:t>
            </w:r>
          </w:p>
        </w:tc>
        <w:tc>
          <w:tcPr>
            <w:tcW w:w="8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192.30%</w:t>
            </w:r>
          </w:p>
        </w:tc>
        <w:tc>
          <w:tcPr>
            <w:tcW w:w="134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191.82%</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271.94%</w:t>
            </w:r>
          </w:p>
        </w:tc>
        <w:tc>
          <w:tcPr>
            <w:tcW w:w="100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60" w:type="dxa"/>
            <w:vAlign w:val="bottom"/>
            <w:shd w:val="clear" w:color="auto" w:fill="CCFFCC"/>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1000" w:type="dxa"/>
            <w:vAlign w:val="bottom"/>
            <w:shd w:val="clear" w:color="auto" w:fill="CCFFCC"/>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1000" w:type="dxa"/>
            <w:vAlign w:val="bottom"/>
            <w:shd w:val="clear" w:color="auto" w:fill="CCFFCC"/>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6254750</wp:posOffset>
            </wp:positionH>
            <wp:positionV relativeFrom="page">
              <wp:posOffset>243205</wp:posOffset>
            </wp:positionV>
            <wp:extent cx="1149350" cy="3175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clrChange>
                        <a:clrFrom>
                          <a:srgbClr val="FFFFFF"/>
                        </a:clrFrom>
                        <a:clrTo>
                          <a:srgbClr val="FFFFFF">
                            <a:alpha val="0"/>
                          </a:srgbClr>
                        </a:clrTo>
                      </a:clrChange>
                      <a:extLst>
                        <a:ext uri="{28A0092B-C50C-407E-A947-70E740481C1C}"/>
                      </a:extLst>
                    </a:blip>
                    <a:srcRect/>
                    <a:stretch>
                      <a:fillRect/>
                    </a:stretch>
                  </pic:blipFill>
                  <pic:spPr bwMode="auto">
                    <a:xfrm>
                      <a:off x="0" y="0"/>
                      <a:ext cx="1149350" cy="317500"/>
                    </a:xfrm>
                    <a:prstGeom prst="rect">
                      <a:avLst/>
                    </a:prstGeom>
                    <a:noFill/>
                  </pic:spPr>
                </pic:pic>
              </a:graphicData>
            </a:graphic>
          </wp:anchor>
        </w:drawing>
      </w:r>
    </w:p>
    <w:p>
      <w:pPr>
        <w:jc w:val="both"/>
        <w:spacing w:after="0" w:line="277" w:lineRule="auto"/>
        <w:rPr>
          <w:sz w:val="20"/>
          <w:szCs w:val="20"/>
          <w:color w:val="auto"/>
        </w:rPr>
      </w:pPr>
      <w:r>
        <w:rPr>
          <w:rFonts w:ascii="Arial" w:cs="Arial" w:eastAsia="Arial" w:hAnsi="Arial"/>
          <w:sz w:val="18"/>
          <w:szCs w:val="18"/>
          <w:color w:val="auto"/>
        </w:rPr>
        <w:t>Net provisions totaled US$ 44.9 million in 4Q09, representing a US$ 6 million increase QoQ. This is primarily attributable to the acquisition of Edyficar, which reported loan provisions for US$ 5.8 million.</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Charge offs increased 52.8% QoQ for a total of US$ 31.7 million. This increase is attributable to higher charge offs in the Retail Banking, specifically on SME and mortgage loans.</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past due portfolio experienced an 11.3% increase QoQ, which represents the lowest increase seen this year and reflects a downward trend in the growth of past due loans. This, coupled with 9.5% growth on total loans and an increase in charge-off, has helped maintain the past due ratio at levels similar to those seen in 3Q09 (1.59% in 4Q09 vs. 1.56% in 3Q09).</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Refinanced and restructured loans grew 3.0% QoQ vs 4.8% in 3Q09, which is evidence of deceleration in this particular item.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2209165</wp:posOffset>
            </wp:positionH>
            <wp:positionV relativeFrom="paragraph">
              <wp:posOffset>169545</wp:posOffset>
            </wp:positionV>
            <wp:extent cx="2847340" cy="13550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847340" cy="1355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II.5 Non Financial Income</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The significant increase in banking services commissions (+17.4% QoQ) offset the decline in net earnings on FX transactions (- 8.3%) and income on securities sales (- 7.1%). In this context, non-financial income grew 11.8% QoQ.</w:t>
      </w:r>
    </w:p>
    <w:p>
      <w:pPr>
        <w:spacing w:after="0" w:line="1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07" w:right="2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41"/>
        </w:trPr>
        <w:tc>
          <w:tcPr>
            <w:tcW w:w="2220" w:type="dxa"/>
            <w:vAlign w:val="bottom"/>
            <w:gridSpan w:val="2"/>
          </w:tcPr>
          <w:p>
            <w:pPr>
              <w:spacing w:after="0"/>
              <w:rPr>
                <w:sz w:val="20"/>
                <w:szCs w:val="20"/>
                <w:color w:val="auto"/>
              </w:rPr>
            </w:pPr>
            <w:r>
              <w:rPr>
                <w:rFonts w:ascii="Arial" w:cs="Arial" w:eastAsia="Arial" w:hAnsi="Arial"/>
                <w:sz w:val="18"/>
                <w:szCs w:val="18"/>
                <w:b w:val="1"/>
                <w:bCs w:val="1"/>
                <w:color w:val="auto"/>
              </w:rPr>
              <w:t>Non financial income</w:t>
            </w: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Quarter</w:t>
            </w: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0" w:type="dxa"/>
            <w:vAlign w:val="bottom"/>
            <w:gridSpan w:val="4"/>
          </w:tcPr>
          <w:p>
            <w:pPr>
              <w:jc w:val="right"/>
              <w:ind w:right="940"/>
              <w:spacing w:after="0"/>
              <w:rPr>
                <w:sz w:val="20"/>
                <w:szCs w:val="20"/>
                <w:color w:val="auto"/>
              </w:rPr>
            </w:pPr>
            <w:r>
              <w:rPr>
                <w:rFonts w:ascii="Arial" w:cs="Arial" w:eastAsia="Arial" w:hAnsi="Arial"/>
                <w:sz w:val="18"/>
                <w:szCs w:val="18"/>
                <w:b w:val="1"/>
                <w:bCs w:val="1"/>
                <w:color w:val="auto"/>
              </w:rPr>
              <w:t>Change %</w:t>
            </w:r>
          </w:p>
        </w:tc>
        <w:tc>
          <w:tcPr>
            <w:tcW w:w="2240" w:type="dxa"/>
            <w:vAlign w:val="bottom"/>
            <w:gridSpan w:val="4"/>
          </w:tcPr>
          <w:p>
            <w:pPr>
              <w:jc w:val="right"/>
              <w:ind w:right="780"/>
              <w:spacing w:after="0"/>
              <w:rPr>
                <w:sz w:val="20"/>
                <w:szCs w:val="20"/>
                <w:color w:val="auto"/>
              </w:rPr>
            </w:pPr>
            <w:r>
              <w:rPr>
                <w:rFonts w:ascii="Arial" w:cs="Arial" w:eastAsia="Arial" w:hAnsi="Arial"/>
                <w:sz w:val="18"/>
                <w:szCs w:val="18"/>
                <w:b w:val="1"/>
                <w:bCs w:val="1"/>
                <w:color w:val="auto"/>
              </w:rPr>
              <w:t>Year to end</w:t>
            </w:r>
          </w:p>
        </w:tc>
        <w:tc>
          <w:tcPr>
            <w:tcW w:w="1100" w:type="dxa"/>
            <w:vAlign w:val="bottom"/>
            <w:gridSpan w:val="2"/>
          </w:tcPr>
          <w:p>
            <w:pPr>
              <w:ind w:left="60"/>
              <w:spacing w:after="0"/>
              <w:rPr>
                <w:sz w:val="20"/>
                <w:szCs w:val="20"/>
                <w:color w:val="auto"/>
              </w:rPr>
            </w:pPr>
            <w:r>
              <w:rPr>
                <w:rFonts w:ascii="Arial" w:cs="Arial" w:eastAsia="Arial" w:hAnsi="Arial"/>
                <w:sz w:val="18"/>
                <w:szCs w:val="18"/>
                <w:b w:val="1"/>
                <w:bCs w:val="1"/>
                <w:color w:val="auto"/>
              </w:rPr>
              <w:t>Change %</w:t>
            </w:r>
          </w:p>
        </w:tc>
        <w:tc>
          <w:tcPr>
            <w:tcW w:w="0" w:type="dxa"/>
            <w:vAlign w:val="bottom"/>
          </w:tcPr>
          <w:p>
            <w:pPr>
              <w:spacing w:after="0"/>
              <w:rPr>
                <w:sz w:val="1"/>
                <w:szCs w:val="1"/>
                <w:color w:val="auto"/>
              </w:rPr>
            </w:pPr>
          </w:p>
        </w:tc>
      </w:tr>
      <w:tr>
        <w:trPr>
          <w:trHeight w:val="216"/>
        </w:trPr>
        <w:tc>
          <w:tcPr>
            <w:tcW w:w="22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US$ 000</w:t>
            </w:r>
          </w:p>
        </w:tc>
        <w:tc>
          <w:tcPr>
            <w:tcW w:w="120" w:type="dxa"/>
            <w:vAlign w:val="bottom"/>
          </w:tcPr>
          <w:p>
            <w:pPr>
              <w:spacing w:after="0"/>
              <w:rPr>
                <w:sz w:val="18"/>
                <w:szCs w:val="18"/>
                <w:color w:val="auto"/>
              </w:rPr>
            </w:pPr>
          </w:p>
        </w:tc>
        <w:tc>
          <w:tcPr>
            <w:tcW w:w="1100" w:type="dxa"/>
            <w:vAlign w:val="bottom"/>
            <w:tcBorders>
              <w:top w:val="single" w:sz="8" w:color="auto"/>
            </w:tcBorders>
            <w:gridSpan w:val="2"/>
          </w:tcPr>
          <w:p>
            <w:pPr>
              <w:jc w:val="right"/>
              <w:ind w:right="460"/>
              <w:spacing w:after="0"/>
              <w:rPr>
                <w:sz w:val="20"/>
                <w:szCs w:val="20"/>
                <w:color w:val="auto"/>
              </w:rPr>
            </w:pPr>
            <w:r>
              <w:rPr>
                <w:rFonts w:ascii="Arial" w:cs="Arial" w:eastAsia="Arial" w:hAnsi="Arial"/>
                <w:sz w:val="18"/>
                <w:szCs w:val="18"/>
                <w:b w:val="1"/>
                <w:bCs w:val="1"/>
                <w:color w:val="auto"/>
              </w:rPr>
              <w:t>4Q09</w:t>
            </w:r>
          </w:p>
        </w:tc>
        <w:tc>
          <w:tcPr>
            <w:tcW w:w="1120" w:type="dxa"/>
            <w:vAlign w:val="bottom"/>
            <w:tcBorders>
              <w:top w:val="single" w:sz="8" w:color="auto"/>
            </w:tcBorders>
            <w:gridSpan w:val="2"/>
          </w:tcPr>
          <w:p>
            <w:pPr>
              <w:jc w:val="right"/>
              <w:ind w:right="460"/>
              <w:spacing w:after="0"/>
              <w:rPr>
                <w:sz w:val="20"/>
                <w:szCs w:val="20"/>
                <w:color w:val="auto"/>
              </w:rPr>
            </w:pPr>
            <w:r>
              <w:rPr>
                <w:rFonts w:ascii="Arial" w:cs="Arial" w:eastAsia="Arial" w:hAnsi="Arial"/>
                <w:sz w:val="18"/>
                <w:szCs w:val="18"/>
                <w:b w:val="1"/>
                <w:bCs w:val="1"/>
                <w:color w:val="auto"/>
              </w:rPr>
              <w:t>3Q09</w:t>
            </w:r>
          </w:p>
        </w:tc>
        <w:tc>
          <w:tcPr>
            <w:tcW w:w="900" w:type="dxa"/>
            <w:vAlign w:val="bottom"/>
            <w:tcBorders>
              <w:top w:val="single" w:sz="8" w:color="auto"/>
            </w:tcBorders>
          </w:tcPr>
          <w:p>
            <w:pPr>
              <w:ind w:left="240"/>
              <w:spacing w:after="0"/>
              <w:rPr>
                <w:sz w:val="20"/>
                <w:szCs w:val="20"/>
                <w:color w:val="auto"/>
              </w:rPr>
            </w:pPr>
            <w:r>
              <w:rPr>
                <w:rFonts w:ascii="Arial" w:cs="Arial" w:eastAsia="Arial" w:hAnsi="Arial"/>
                <w:sz w:val="18"/>
                <w:szCs w:val="18"/>
                <w:b w:val="1"/>
                <w:bCs w:val="1"/>
                <w:color w:val="auto"/>
              </w:rPr>
              <w:t>4Q08</w:t>
            </w:r>
          </w:p>
        </w:tc>
        <w:tc>
          <w:tcPr>
            <w:tcW w:w="220" w:type="dxa"/>
            <w:vAlign w:val="bottom"/>
          </w:tcPr>
          <w:p>
            <w:pPr>
              <w:spacing w:after="0"/>
              <w:rPr>
                <w:sz w:val="18"/>
                <w:szCs w:val="18"/>
                <w:color w:val="auto"/>
              </w:rPr>
            </w:pPr>
          </w:p>
        </w:tc>
        <w:tc>
          <w:tcPr>
            <w:tcW w:w="1200" w:type="dxa"/>
            <w:vAlign w:val="bottom"/>
            <w:tcBorders>
              <w:top w:val="single" w:sz="8" w:color="auto"/>
            </w:tcBorders>
            <w:gridSpan w:val="2"/>
          </w:tcPr>
          <w:p>
            <w:pPr>
              <w:jc w:val="right"/>
              <w:ind w:right="320"/>
              <w:spacing w:after="0"/>
              <w:rPr>
                <w:sz w:val="20"/>
                <w:szCs w:val="20"/>
                <w:color w:val="auto"/>
              </w:rPr>
            </w:pPr>
            <w:r>
              <w:rPr>
                <w:rFonts w:ascii="Arial" w:cs="Arial" w:eastAsia="Arial" w:hAnsi="Arial"/>
                <w:sz w:val="18"/>
                <w:szCs w:val="18"/>
                <w:b w:val="1"/>
                <w:bCs w:val="1"/>
                <w:color w:val="auto"/>
                <w:w w:val="92"/>
              </w:rPr>
              <w:t>4Q09/4Q08</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4Q09/3Q09</w:t>
            </w:r>
          </w:p>
        </w:tc>
        <w:tc>
          <w:tcPr>
            <w:tcW w:w="300" w:type="dxa"/>
            <w:vAlign w:val="bottom"/>
          </w:tcPr>
          <w:p>
            <w:pPr>
              <w:spacing w:after="0"/>
              <w:rPr>
                <w:sz w:val="18"/>
                <w:szCs w:val="18"/>
                <w:color w:val="auto"/>
              </w:rPr>
            </w:pPr>
          </w:p>
        </w:tc>
        <w:tc>
          <w:tcPr>
            <w:tcW w:w="90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2009</w:t>
            </w: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2008</w:t>
            </w:r>
          </w:p>
        </w:tc>
        <w:tc>
          <w:tcPr>
            <w:tcW w:w="220" w:type="dxa"/>
            <w:vAlign w:val="bottom"/>
          </w:tcPr>
          <w:p>
            <w:pPr>
              <w:spacing w:after="0"/>
              <w:rPr>
                <w:sz w:val="18"/>
                <w:szCs w:val="18"/>
                <w:color w:val="auto"/>
              </w:rPr>
            </w:pPr>
          </w:p>
        </w:tc>
        <w:tc>
          <w:tcPr>
            <w:tcW w:w="920" w:type="dxa"/>
            <w:vAlign w:val="bottom"/>
            <w:tcBorders>
              <w:top w:val="single" w:sz="8" w:color="auto"/>
            </w:tcBorders>
          </w:tcPr>
          <w:p>
            <w:pPr>
              <w:ind w:left="80"/>
              <w:spacing w:after="0"/>
              <w:rPr>
                <w:sz w:val="20"/>
                <w:szCs w:val="20"/>
                <w:color w:val="auto"/>
              </w:rPr>
            </w:pPr>
            <w:r>
              <w:rPr>
                <w:rFonts w:ascii="Arial" w:cs="Arial" w:eastAsia="Arial" w:hAnsi="Arial"/>
                <w:sz w:val="18"/>
                <w:szCs w:val="18"/>
                <w:b w:val="1"/>
                <w:bCs w:val="1"/>
                <w:color w:val="auto"/>
                <w:w w:val="96"/>
              </w:rPr>
              <w:t>2009/2008</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2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00" w:type="dxa"/>
            <w:vAlign w:val="bottom"/>
            <w:shd w:val="clear" w:color="auto" w:fill="CCFFCC"/>
          </w:tcPr>
          <w:p>
            <w:pPr>
              <w:spacing w:after="0"/>
              <w:rPr>
                <w:sz w:val="20"/>
                <w:szCs w:val="20"/>
                <w:color w:val="auto"/>
              </w:rPr>
            </w:pPr>
            <w:r>
              <w:rPr>
                <w:rFonts w:ascii="Arial" w:cs="Arial" w:eastAsia="Arial" w:hAnsi="Arial"/>
                <w:sz w:val="18"/>
                <w:szCs w:val="18"/>
                <w:color w:val="auto"/>
              </w:rPr>
              <w:t>Fee income</w:t>
            </w:r>
          </w:p>
        </w:tc>
        <w:tc>
          <w:tcPr>
            <w:tcW w:w="12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109,546</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93,348</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84,826</w:t>
            </w:r>
          </w:p>
        </w:tc>
        <w:tc>
          <w:tcPr>
            <w:tcW w:w="12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29.1%</w:t>
            </w:r>
          </w:p>
        </w:tc>
        <w:tc>
          <w:tcPr>
            <w:tcW w:w="12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17.4%</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368,067</w:t>
            </w:r>
          </w:p>
        </w:tc>
        <w:tc>
          <w:tcPr>
            <w:tcW w:w="22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336,844</w:t>
            </w:r>
          </w:p>
        </w:tc>
        <w:tc>
          <w:tcPr>
            <w:tcW w:w="11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00" w:type="dxa"/>
            <w:vAlign w:val="bottom"/>
          </w:tcPr>
          <w:p>
            <w:pPr>
              <w:spacing w:after="0" w:line="201" w:lineRule="exact"/>
              <w:rPr>
                <w:sz w:val="20"/>
                <w:szCs w:val="20"/>
                <w:color w:val="auto"/>
              </w:rPr>
            </w:pPr>
            <w:r>
              <w:rPr>
                <w:rFonts w:ascii="Arial" w:cs="Arial" w:eastAsia="Arial" w:hAnsi="Arial"/>
                <w:sz w:val="18"/>
                <w:szCs w:val="18"/>
                <w:color w:val="auto"/>
                <w:w w:val="92"/>
              </w:rPr>
              <w:t>Net gain on foreign exchange</w:t>
            </w: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20" w:type="dxa"/>
            <w:vAlign w:val="bottom"/>
            <w:gridSpan w:val="2"/>
          </w:tcPr>
          <w:p>
            <w:pPr>
              <w:spacing w:after="0"/>
              <w:rPr>
                <w:sz w:val="20"/>
                <w:szCs w:val="20"/>
                <w:color w:val="auto"/>
              </w:rPr>
            </w:pPr>
            <w:r>
              <w:rPr>
                <w:rFonts w:ascii="Arial" w:cs="Arial" w:eastAsia="Arial" w:hAnsi="Arial"/>
                <w:sz w:val="18"/>
                <w:szCs w:val="18"/>
                <w:color w:val="auto"/>
              </w:rPr>
              <w:t>transactions</w:t>
            </w:r>
          </w:p>
        </w:tc>
        <w:tc>
          <w:tcPr>
            <w:tcW w:w="1220" w:type="dxa"/>
            <w:vAlign w:val="bottom"/>
            <w:gridSpan w:val="3"/>
          </w:tcPr>
          <w:p>
            <w:pPr>
              <w:jc w:val="right"/>
              <w:ind w:right="220"/>
              <w:spacing w:after="0"/>
              <w:rPr>
                <w:sz w:val="20"/>
                <w:szCs w:val="20"/>
                <w:color w:val="auto"/>
              </w:rPr>
            </w:pPr>
            <w:r>
              <w:rPr>
                <w:rFonts w:ascii="Arial" w:cs="Arial" w:eastAsia="Arial" w:hAnsi="Arial"/>
                <w:sz w:val="18"/>
                <w:szCs w:val="18"/>
                <w:color w:val="auto"/>
              </w:rPr>
              <w:t>23,430</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25,559</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33,175</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-29.4%</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-8.3%</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93,462</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109,032</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shd w:val="clear" w:color="auto" w:fill="CCFFCC"/>
          </w:tcPr>
          <w:p>
            <w:pPr>
              <w:spacing w:after="0"/>
              <w:rPr>
                <w:sz w:val="20"/>
                <w:szCs w:val="20"/>
                <w:color w:val="auto"/>
              </w:rPr>
            </w:pPr>
            <w:r>
              <w:rPr>
                <w:rFonts w:ascii="Arial" w:cs="Arial" w:eastAsia="Arial" w:hAnsi="Arial"/>
                <w:sz w:val="18"/>
                <w:szCs w:val="18"/>
                <w:color w:val="auto"/>
                <w:w w:val="90"/>
              </w:rPr>
              <w:t>Net gain on sales of securities</w:t>
            </w:r>
          </w:p>
        </w:tc>
        <w:tc>
          <w:tcPr>
            <w:tcW w:w="122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9,185</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9,890</w:t>
            </w:r>
          </w:p>
        </w:tc>
        <w:tc>
          <w:tcPr>
            <w:tcW w:w="22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15,325</w:t>
            </w:r>
          </w:p>
        </w:tc>
        <w:tc>
          <w:tcPr>
            <w:tcW w:w="12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-40.1%</w:t>
            </w:r>
          </w:p>
        </w:tc>
        <w:tc>
          <w:tcPr>
            <w:tcW w:w="12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-7.1%</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101,349</w:t>
            </w:r>
          </w:p>
        </w:tc>
        <w:tc>
          <w:tcPr>
            <w:tcW w:w="22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38,574</w:t>
            </w:r>
          </w:p>
        </w:tc>
        <w:tc>
          <w:tcPr>
            <w:tcW w:w="11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162.7%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tcPr>
          <w:p>
            <w:pPr>
              <w:spacing w:after="0"/>
              <w:rPr>
                <w:sz w:val="20"/>
                <w:szCs w:val="20"/>
                <w:color w:val="auto"/>
              </w:rPr>
            </w:pPr>
            <w:r>
              <w:rPr>
                <w:rFonts w:ascii="Arial" w:cs="Arial" w:eastAsia="Arial" w:hAnsi="Arial"/>
                <w:sz w:val="18"/>
                <w:szCs w:val="18"/>
                <w:color w:val="auto"/>
              </w:rPr>
              <w:t>Other income</w:t>
            </w: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2,816</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892</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8,108</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-65.3%</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215.7%</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15,067</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17,202</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w w:val="95"/>
              </w:rPr>
              <w:t>Total non financial income</w:t>
            </w:r>
          </w:p>
        </w:tc>
        <w:tc>
          <w:tcPr>
            <w:tcW w:w="12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144,977</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129,689</w:t>
            </w:r>
          </w:p>
        </w:tc>
        <w:tc>
          <w:tcPr>
            <w:tcW w:w="22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141,434</w:t>
            </w:r>
          </w:p>
        </w:tc>
        <w:tc>
          <w:tcPr>
            <w:tcW w:w="12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2.5%</w:t>
            </w:r>
          </w:p>
        </w:tc>
        <w:tc>
          <w:tcPr>
            <w:tcW w:w="12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11.8%</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577,945</w:t>
            </w:r>
          </w:p>
        </w:tc>
        <w:tc>
          <w:tcPr>
            <w:tcW w:w="22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501,652</w:t>
            </w:r>
          </w:p>
        </w:tc>
        <w:tc>
          <w:tcPr>
            <w:tcW w:w="110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15.2%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20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6254750</wp:posOffset>
            </wp:positionH>
            <wp:positionV relativeFrom="page">
              <wp:posOffset>243205</wp:posOffset>
            </wp:positionV>
            <wp:extent cx="1149350" cy="3175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clrChange>
                        <a:clrFrom>
                          <a:srgbClr val="FFFFFF"/>
                        </a:clrFrom>
                        <a:clrTo>
                          <a:srgbClr val="FFFFFF">
                            <a:alpha val="0"/>
                          </a:srgbClr>
                        </a:clrTo>
                      </a:clrChange>
                      <a:extLst>
                        <a:ext uri="{28A0092B-C50C-407E-A947-70E740481C1C}"/>
                      </a:extLst>
                    </a:blip>
                    <a:srcRect/>
                    <a:stretch>
                      <a:fillRect/>
                    </a:stretch>
                  </pic:blipFill>
                  <pic:spPr bwMode="auto">
                    <a:xfrm>
                      <a:off x="0" y="0"/>
                      <a:ext cx="1149350" cy="317500"/>
                    </a:xfrm>
                    <a:prstGeom prst="rect">
                      <a:avLst/>
                    </a:prstGeom>
                    <a:noFill/>
                  </pic:spPr>
                </pic:pic>
              </a:graphicData>
            </a:graphic>
          </wp:anchor>
        </w:drawing>
      </w:r>
    </w:p>
    <w:p>
      <w:pPr>
        <w:jc w:val="both"/>
        <w:spacing w:after="0" w:line="264" w:lineRule="auto"/>
        <w:rPr>
          <w:sz w:val="20"/>
          <w:szCs w:val="20"/>
          <w:color w:val="auto"/>
        </w:rPr>
      </w:pPr>
      <w:r>
        <w:rPr>
          <w:rFonts w:ascii="Arial" w:cs="Arial" w:eastAsia="Arial" w:hAnsi="Arial"/>
          <w:sz w:val="18"/>
          <w:szCs w:val="18"/>
          <w:color w:val="auto"/>
        </w:rPr>
        <w:t>The 11.8% QoQ increase in non financial income is attributable to a 17.4% increase in banking services commissions that offset a slight contraction in net earnings on FX transactions. Growth in commissions is primarily due to higher income in the areas of Corporate Finance, credit cards, Credifondo and Credibolsa.</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accumulated results for 2009 show a significant increase of 15.2% when compared to 2008’s figures. The expansion is attributable to net gains on securities sales (+ 162.7%) stemming from the trading of sovereign and global bonds, and an increase in banking services commissions (+ 9.3%), which was seen primarily in Corporate Finance (+ 84.3%), credit cards (+13.5%), savings accounts (+17.6%), collections and payments (+18.5%) and foreign trade transactions (+21.8%).</w:t>
      </w:r>
    </w:p>
    <w:p>
      <w:pPr>
        <w:spacing w:after="0" w:line="21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Finally, another important aspect of banking activity is the volume of transactions by distribution channel. The average number of monthly transactions increased 8.1% QoQ to 47.4 million, which represents the highest quarterly growth seen in 2009 and is a good indicator that BCP’s bank penetration strategies are moving in the right direction. The channels that registered the highest growth were precisely those that were designed for and used extensively in bank penetration strategies: BCP ATMs (+13.2%), BCP Internet Banking (+7.1%) and BCP Agents (+15.2%). This evolution reflects BCP’s efforts to encourage the use of lower cost customer service channels in lieu of tellers. This last channel recorded lower growth rates this quarter.</w:t>
      </w:r>
    </w:p>
    <w:p>
      <w:pPr>
        <w:spacing w:after="0" w:line="196" w:lineRule="exact"/>
        <w:rPr>
          <w:sz w:val="20"/>
          <w:szCs w:val="20"/>
          <w:color w:val="auto"/>
        </w:rPr>
      </w:pPr>
    </w:p>
    <w:tbl>
      <w:tblPr>
        <w:tblLayout w:type="fixed"/>
        <w:tblInd w:w="12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500" w:type="dxa"/>
            <w:vAlign w:val="bottom"/>
            <w:gridSpan w:val="2"/>
          </w:tcPr>
          <w:p>
            <w:pPr>
              <w:ind w:left="1000"/>
              <w:spacing w:after="0"/>
              <w:rPr>
                <w:sz w:val="20"/>
                <w:szCs w:val="20"/>
                <w:color w:val="auto"/>
              </w:rPr>
            </w:pPr>
            <w:r>
              <w:rPr>
                <w:rFonts w:ascii="Arial" w:cs="Arial" w:eastAsia="Arial" w:hAnsi="Arial"/>
                <w:sz w:val="18"/>
                <w:szCs w:val="18"/>
                <w:b w:val="1"/>
                <w:bCs w:val="1"/>
                <w:color w:val="auto"/>
              </w:rPr>
              <w:t>N° of Transactions per channel</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ind w:right="170"/>
              <w:spacing w:after="0"/>
              <w:rPr>
                <w:sz w:val="20"/>
                <w:szCs w:val="20"/>
                <w:color w:val="auto"/>
              </w:rPr>
            </w:pPr>
            <w:r>
              <w:rPr>
                <w:rFonts w:ascii="Arial" w:cs="Arial" w:eastAsia="Arial" w:hAnsi="Arial"/>
                <w:sz w:val="18"/>
                <w:szCs w:val="18"/>
                <w:b w:val="1"/>
                <w:bCs w:val="1"/>
                <w:color w:val="auto"/>
              </w:rPr>
              <w:t>Quarter</w:t>
            </w: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00" w:type="dxa"/>
            <w:vAlign w:val="bottom"/>
            <w:gridSpan w:val="4"/>
          </w:tcPr>
          <w:p>
            <w:pPr>
              <w:jc w:val="right"/>
              <w:ind w:right="1060"/>
              <w:spacing w:after="0"/>
              <w:rPr>
                <w:sz w:val="20"/>
                <w:szCs w:val="20"/>
                <w:color w:val="auto"/>
              </w:rPr>
            </w:pPr>
            <w:r>
              <w:rPr>
                <w:rFonts w:ascii="Arial" w:cs="Arial" w:eastAsia="Arial" w:hAnsi="Arial"/>
                <w:sz w:val="18"/>
                <w:szCs w:val="18"/>
                <w:b w:val="1"/>
                <w:bCs w:val="1"/>
                <w:color w:val="auto"/>
              </w:rPr>
              <w:t>Change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Average 4Q09</w:t>
            </w:r>
          </w:p>
        </w:tc>
        <w:tc>
          <w:tcPr>
            <w:tcW w:w="220" w:type="dxa"/>
            <w:vAlign w:val="bottom"/>
            <w:tcBorders>
              <w:top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Average 3Q09</w:t>
            </w:r>
          </w:p>
        </w:tc>
        <w:tc>
          <w:tcPr>
            <w:tcW w:w="200" w:type="dxa"/>
            <w:vAlign w:val="bottom"/>
            <w:tcBorders>
              <w:top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Average 4Q08</w:t>
            </w:r>
          </w:p>
        </w:tc>
        <w:tc>
          <w:tcPr>
            <w:tcW w:w="22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4Q09/4Q08</w:t>
            </w:r>
          </w:p>
        </w:tc>
        <w:tc>
          <w:tcPr>
            <w:tcW w:w="300" w:type="dxa"/>
            <w:vAlign w:val="bottom"/>
            <w:tcBorders>
              <w:top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4Q09/3Q09</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Teller</w:t>
            </w: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10,733,475</w:t>
            </w:r>
          </w:p>
        </w:tc>
        <w:tc>
          <w:tcPr>
            <w:tcW w:w="13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10,596,719</w:t>
            </w:r>
          </w:p>
        </w:tc>
        <w:tc>
          <w:tcPr>
            <w:tcW w:w="13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10,478,167</w:t>
            </w:r>
          </w:p>
        </w:tc>
        <w:tc>
          <w:tcPr>
            <w:tcW w:w="162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2.4%</w:t>
            </w:r>
          </w:p>
        </w:tc>
        <w:tc>
          <w:tcPr>
            <w:tcW w:w="13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Internet Banking Via BCP</w:t>
            </w:r>
          </w:p>
        </w:tc>
        <w:tc>
          <w:tcPr>
            <w:tcW w:w="1100" w:type="dxa"/>
            <w:vAlign w:val="bottom"/>
          </w:tcPr>
          <w:p>
            <w:pPr>
              <w:jc w:val="right"/>
              <w:spacing w:after="0"/>
              <w:rPr>
                <w:sz w:val="20"/>
                <w:szCs w:val="20"/>
                <w:color w:val="auto"/>
              </w:rPr>
            </w:pPr>
            <w:r>
              <w:rPr>
                <w:rFonts w:ascii="Arial" w:cs="Arial" w:eastAsia="Arial" w:hAnsi="Arial"/>
                <w:sz w:val="18"/>
                <w:szCs w:val="18"/>
                <w:color w:val="auto"/>
              </w:rPr>
              <w:t>10,466,538</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9,770,583</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9,507,673</w:t>
            </w:r>
          </w:p>
        </w:tc>
        <w:tc>
          <w:tcPr>
            <w:tcW w:w="1620" w:type="dxa"/>
            <w:vAlign w:val="bottom"/>
            <w:gridSpan w:val="3"/>
          </w:tcPr>
          <w:p>
            <w:pPr>
              <w:jc w:val="right"/>
              <w:ind w:right="160"/>
              <w:spacing w:after="0"/>
              <w:rPr>
                <w:sz w:val="20"/>
                <w:szCs w:val="20"/>
                <w:color w:val="auto"/>
              </w:rPr>
            </w:pPr>
            <w:r>
              <w:rPr>
                <w:rFonts w:ascii="Arial" w:cs="Arial" w:eastAsia="Arial" w:hAnsi="Arial"/>
                <w:sz w:val="18"/>
                <w:szCs w:val="18"/>
                <w:color w:val="auto"/>
              </w:rPr>
              <w:t>10.1%</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ATMs Via BCP</w:t>
            </w: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8,193,738</w:t>
            </w:r>
          </w:p>
        </w:tc>
        <w:tc>
          <w:tcPr>
            <w:tcW w:w="13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7,239,234</w:t>
            </w:r>
          </w:p>
        </w:tc>
        <w:tc>
          <w:tcPr>
            <w:tcW w:w="13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7,154,602</w:t>
            </w:r>
          </w:p>
        </w:tc>
        <w:tc>
          <w:tcPr>
            <w:tcW w:w="162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14.5%</w:t>
            </w:r>
          </w:p>
        </w:tc>
        <w:tc>
          <w:tcPr>
            <w:tcW w:w="13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Agente BCP</w:t>
            </w:r>
          </w:p>
        </w:tc>
        <w:tc>
          <w:tcPr>
            <w:tcW w:w="1100" w:type="dxa"/>
            <w:vAlign w:val="bottom"/>
          </w:tcPr>
          <w:p>
            <w:pPr>
              <w:jc w:val="right"/>
              <w:spacing w:after="0"/>
              <w:rPr>
                <w:sz w:val="20"/>
                <w:szCs w:val="20"/>
                <w:color w:val="auto"/>
              </w:rPr>
            </w:pPr>
            <w:r>
              <w:rPr>
                <w:rFonts w:ascii="Arial" w:cs="Arial" w:eastAsia="Arial" w:hAnsi="Arial"/>
                <w:sz w:val="18"/>
                <w:szCs w:val="18"/>
                <w:color w:val="auto"/>
              </w:rPr>
              <w:t>4,614,103</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4,006,165</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2,400,437</w:t>
            </w:r>
          </w:p>
        </w:tc>
        <w:tc>
          <w:tcPr>
            <w:tcW w:w="1620" w:type="dxa"/>
            <w:vAlign w:val="bottom"/>
            <w:gridSpan w:val="3"/>
          </w:tcPr>
          <w:p>
            <w:pPr>
              <w:jc w:val="right"/>
              <w:ind w:right="160"/>
              <w:spacing w:after="0"/>
              <w:rPr>
                <w:sz w:val="20"/>
                <w:szCs w:val="20"/>
                <w:color w:val="auto"/>
              </w:rPr>
            </w:pPr>
            <w:r>
              <w:rPr>
                <w:rFonts w:ascii="Arial" w:cs="Arial" w:eastAsia="Arial" w:hAnsi="Arial"/>
                <w:sz w:val="18"/>
                <w:szCs w:val="18"/>
                <w:color w:val="auto"/>
              </w:rPr>
              <w:t>92.2%</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Telecrédito</w:t>
            </w: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4,424,750</w:t>
            </w:r>
          </w:p>
        </w:tc>
        <w:tc>
          <w:tcPr>
            <w:tcW w:w="13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3,973,367</w:t>
            </w:r>
          </w:p>
        </w:tc>
        <w:tc>
          <w:tcPr>
            <w:tcW w:w="13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3,816,293</w:t>
            </w:r>
          </w:p>
        </w:tc>
        <w:tc>
          <w:tcPr>
            <w:tcW w:w="162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15.9%</w:t>
            </w:r>
          </w:p>
        </w:tc>
        <w:tc>
          <w:tcPr>
            <w:tcW w:w="13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Points of Sale P.O.S.</w:t>
            </w:r>
          </w:p>
        </w:tc>
        <w:tc>
          <w:tcPr>
            <w:tcW w:w="1100" w:type="dxa"/>
            <w:vAlign w:val="bottom"/>
          </w:tcPr>
          <w:p>
            <w:pPr>
              <w:jc w:val="right"/>
              <w:spacing w:after="0"/>
              <w:rPr>
                <w:sz w:val="20"/>
                <w:szCs w:val="20"/>
                <w:color w:val="auto"/>
              </w:rPr>
            </w:pPr>
            <w:r>
              <w:rPr>
                <w:rFonts w:ascii="Arial" w:cs="Arial" w:eastAsia="Arial" w:hAnsi="Arial"/>
                <w:sz w:val="18"/>
                <w:szCs w:val="18"/>
                <w:color w:val="auto"/>
              </w:rPr>
              <w:t>3,911,271</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3,474,223</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2,785,821</w:t>
            </w:r>
          </w:p>
        </w:tc>
        <w:tc>
          <w:tcPr>
            <w:tcW w:w="1620" w:type="dxa"/>
            <w:vAlign w:val="bottom"/>
            <w:gridSpan w:val="3"/>
          </w:tcPr>
          <w:p>
            <w:pPr>
              <w:jc w:val="right"/>
              <w:ind w:right="160"/>
              <w:spacing w:after="0"/>
              <w:rPr>
                <w:sz w:val="20"/>
                <w:szCs w:val="20"/>
                <w:color w:val="auto"/>
              </w:rPr>
            </w:pPr>
            <w:r>
              <w:rPr>
                <w:rFonts w:ascii="Arial" w:cs="Arial" w:eastAsia="Arial" w:hAnsi="Arial"/>
                <w:sz w:val="18"/>
                <w:szCs w:val="18"/>
                <w:color w:val="auto"/>
              </w:rPr>
              <w:t>40.4%</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Balance Inquiries</w:t>
            </w: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2,593,456</w:t>
            </w:r>
          </w:p>
        </w:tc>
        <w:tc>
          <w:tcPr>
            <w:tcW w:w="13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2,554,782</w:t>
            </w:r>
          </w:p>
        </w:tc>
        <w:tc>
          <w:tcPr>
            <w:tcW w:w="13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2,671,103</w:t>
            </w:r>
          </w:p>
        </w:tc>
        <w:tc>
          <w:tcPr>
            <w:tcW w:w="162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-2.9%</w:t>
            </w:r>
          </w:p>
        </w:tc>
        <w:tc>
          <w:tcPr>
            <w:tcW w:w="13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Telephone Banking</w:t>
            </w:r>
          </w:p>
        </w:tc>
        <w:tc>
          <w:tcPr>
            <w:tcW w:w="1100" w:type="dxa"/>
            <w:vAlign w:val="bottom"/>
          </w:tcPr>
          <w:p>
            <w:pPr>
              <w:jc w:val="right"/>
              <w:spacing w:after="0"/>
              <w:rPr>
                <w:sz w:val="20"/>
                <w:szCs w:val="20"/>
                <w:color w:val="auto"/>
              </w:rPr>
            </w:pPr>
            <w:r>
              <w:rPr>
                <w:rFonts w:ascii="Arial" w:cs="Arial" w:eastAsia="Arial" w:hAnsi="Arial"/>
                <w:sz w:val="18"/>
                <w:szCs w:val="18"/>
                <w:color w:val="auto"/>
              </w:rPr>
              <w:t>1,641,981</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1,470,293</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1,321,179</w:t>
            </w:r>
          </w:p>
        </w:tc>
        <w:tc>
          <w:tcPr>
            <w:tcW w:w="1620" w:type="dxa"/>
            <w:vAlign w:val="bottom"/>
            <w:gridSpan w:val="3"/>
          </w:tcPr>
          <w:p>
            <w:pPr>
              <w:jc w:val="right"/>
              <w:ind w:right="160"/>
              <w:spacing w:after="0"/>
              <w:rPr>
                <w:sz w:val="20"/>
                <w:szCs w:val="20"/>
                <w:color w:val="auto"/>
              </w:rPr>
            </w:pPr>
            <w:r>
              <w:rPr>
                <w:rFonts w:ascii="Arial" w:cs="Arial" w:eastAsia="Arial" w:hAnsi="Arial"/>
                <w:sz w:val="18"/>
                <w:szCs w:val="18"/>
                <w:color w:val="auto"/>
              </w:rPr>
              <w:t>24.3%</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Direct Debit</w:t>
            </w: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401,154</w:t>
            </w:r>
          </w:p>
        </w:tc>
        <w:tc>
          <w:tcPr>
            <w:tcW w:w="13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408,430</w:t>
            </w:r>
          </w:p>
        </w:tc>
        <w:tc>
          <w:tcPr>
            <w:tcW w:w="13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422,867</w:t>
            </w:r>
          </w:p>
        </w:tc>
        <w:tc>
          <w:tcPr>
            <w:tcW w:w="162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-5.1%</w:t>
            </w:r>
          </w:p>
        </w:tc>
        <w:tc>
          <w:tcPr>
            <w:tcW w:w="13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Other ATMs network</w:t>
            </w:r>
          </w:p>
        </w:tc>
        <w:tc>
          <w:tcPr>
            <w:tcW w:w="1100" w:type="dxa"/>
            <w:vAlign w:val="bottom"/>
          </w:tcPr>
          <w:p>
            <w:pPr>
              <w:jc w:val="right"/>
              <w:spacing w:after="0"/>
              <w:rPr>
                <w:sz w:val="20"/>
                <w:szCs w:val="20"/>
                <w:color w:val="auto"/>
              </w:rPr>
            </w:pPr>
            <w:r>
              <w:rPr>
                <w:rFonts w:ascii="Arial" w:cs="Arial" w:eastAsia="Arial" w:hAnsi="Arial"/>
                <w:sz w:val="18"/>
                <w:szCs w:val="18"/>
                <w:color w:val="auto"/>
              </w:rPr>
              <w:t>314,287</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270,654</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227,863</w:t>
            </w:r>
          </w:p>
        </w:tc>
        <w:tc>
          <w:tcPr>
            <w:tcW w:w="1620" w:type="dxa"/>
            <w:vAlign w:val="bottom"/>
            <w:gridSpan w:val="3"/>
          </w:tcPr>
          <w:p>
            <w:pPr>
              <w:jc w:val="right"/>
              <w:ind w:right="160"/>
              <w:spacing w:after="0"/>
              <w:rPr>
                <w:sz w:val="20"/>
                <w:szCs w:val="20"/>
                <w:color w:val="auto"/>
              </w:rPr>
            </w:pPr>
            <w:r>
              <w:rPr>
                <w:rFonts w:ascii="Arial" w:cs="Arial" w:eastAsia="Arial" w:hAnsi="Arial"/>
                <w:sz w:val="18"/>
                <w:szCs w:val="18"/>
                <w:color w:val="auto"/>
              </w:rPr>
              <w:t>37.9%</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Mobile banking</w:t>
            </w: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152,191</w:t>
            </w:r>
          </w:p>
        </w:tc>
        <w:tc>
          <w:tcPr>
            <w:tcW w:w="22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118,641</w:t>
            </w:r>
          </w:p>
        </w:tc>
        <w:tc>
          <w:tcPr>
            <w:tcW w:w="20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FFCC"/>
          </w:tcPr>
          <w:p>
            <w:pPr>
              <w:spacing w:after="0"/>
              <w:rPr>
                <w:sz w:val="18"/>
                <w:szCs w:val="18"/>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0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gridSpan w:val="2"/>
          </w:tcPr>
          <w:p>
            <w:pPr>
              <w:spacing w:after="0"/>
              <w:rPr>
                <w:sz w:val="20"/>
                <w:szCs w:val="20"/>
                <w:color w:val="auto"/>
              </w:rPr>
            </w:pPr>
            <w:r>
              <w:rPr>
                <w:rFonts w:ascii="Arial" w:cs="Arial" w:eastAsia="Arial" w:hAnsi="Arial"/>
                <w:sz w:val="18"/>
                <w:szCs w:val="18"/>
                <w:b w:val="1"/>
                <w:bCs w:val="1"/>
                <w:color w:val="auto"/>
              </w:rPr>
              <w:t>Total transactions</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47,446,944</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43,883,091</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40,786,005</w:t>
            </w:r>
          </w:p>
        </w:tc>
        <w:tc>
          <w:tcPr>
            <w:tcW w:w="22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16.3%</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8.1%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terms of distribution channels, the number of branches remained stable. This is part of a strategy to redesign branches and maximize their efficiency before engaging in further expansion. Branch redesign has led to an increase in the number of ATM machines, which went from 890 to 996 (2008 vs. 2009). BCP Agents grew more than any other channel, going from 1,851 locations in 2008 to 2,801 in 2009. In this context, points of contact rose significantly YoY, reaching 4,131 vs. 3,071 at the end of 2008.</w:t>
      </w:r>
    </w:p>
    <w:p>
      <w:pPr>
        <w:spacing w:after="0" w:line="2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07" w:right="2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spacing w:after="0"/>
              <w:rPr>
                <w:sz w:val="20"/>
                <w:szCs w:val="20"/>
                <w:color w:val="auto"/>
              </w:rPr>
            </w:pPr>
            <w:r>
              <w:rPr>
                <w:rFonts w:ascii="Arial" w:cs="Arial" w:eastAsia="Arial" w:hAnsi="Arial"/>
                <w:sz w:val="18"/>
                <w:szCs w:val="18"/>
                <w:b w:val="1"/>
                <w:bCs w:val="1"/>
                <w:color w:val="auto"/>
              </w:rPr>
              <w:t>Balance as of</w:t>
            </w: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60" w:type="dxa"/>
            <w:vAlign w:val="bottom"/>
            <w:gridSpan w:val="4"/>
          </w:tcPr>
          <w:p>
            <w:pPr>
              <w:jc w:val="right"/>
              <w:ind w:right="900"/>
              <w:spacing w:after="0"/>
              <w:rPr>
                <w:sz w:val="20"/>
                <w:szCs w:val="20"/>
                <w:color w:val="auto"/>
              </w:rPr>
            </w:pPr>
            <w:r>
              <w:rPr>
                <w:rFonts w:ascii="Arial" w:cs="Arial" w:eastAsia="Arial" w:hAnsi="Arial"/>
                <w:sz w:val="18"/>
                <w:szCs w:val="18"/>
                <w:b w:val="1"/>
                <w:bCs w:val="1"/>
                <w:color w:val="auto"/>
              </w:rPr>
              <w:t>Change %</w:t>
            </w:r>
          </w:p>
        </w:tc>
      </w:tr>
      <w:tr>
        <w:trPr>
          <w:trHeight w:val="223"/>
        </w:trPr>
        <w:tc>
          <w:tcPr>
            <w:tcW w:w="2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4Q09</w:t>
            </w:r>
          </w:p>
        </w:tc>
        <w:tc>
          <w:tcPr>
            <w:tcW w:w="180" w:type="dxa"/>
            <w:vAlign w:val="bottom"/>
            <w:tcBorders>
              <w:top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3Q09</w:t>
            </w:r>
          </w:p>
        </w:tc>
        <w:tc>
          <w:tcPr>
            <w:tcW w:w="180" w:type="dxa"/>
            <w:vAlign w:val="bottom"/>
            <w:tcBorders>
              <w:top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4Q08</w:t>
            </w:r>
          </w:p>
        </w:tc>
        <w:tc>
          <w:tcPr>
            <w:tcW w:w="180" w:type="dxa"/>
            <w:vAlign w:val="bottom"/>
          </w:tcPr>
          <w:p>
            <w:pPr>
              <w:spacing w:after="0"/>
              <w:rPr>
                <w:sz w:val="19"/>
                <w:szCs w:val="19"/>
                <w:color w:val="auto"/>
              </w:rPr>
            </w:pPr>
          </w:p>
        </w:tc>
        <w:tc>
          <w:tcPr>
            <w:tcW w:w="102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b w:val="1"/>
                <w:bCs w:val="1"/>
                <w:color w:val="auto"/>
                <w:w w:val="98"/>
              </w:rPr>
              <w:t>4Q09/4Q08</w:t>
            </w:r>
          </w:p>
        </w:tc>
        <w:tc>
          <w:tcPr>
            <w:tcW w:w="260" w:type="dxa"/>
            <w:vAlign w:val="bottom"/>
            <w:tcBorders>
              <w:top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4Q09/3Q09</w:t>
            </w:r>
          </w:p>
        </w:tc>
        <w:tc>
          <w:tcPr>
            <w:tcW w:w="1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FFCC"/>
          </w:tcPr>
          <w:p>
            <w:pPr>
              <w:spacing w:after="0"/>
              <w:rPr>
                <w:sz w:val="20"/>
                <w:szCs w:val="20"/>
                <w:color w:val="auto"/>
              </w:rPr>
            </w:pPr>
            <w:r>
              <w:rPr>
                <w:rFonts w:ascii="Arial" w:cs="Arial" w:eastAsia="Arial" w:hAnsi="Arial"/>
                <w:sz w:val="18"/>
                <w:szCs w:val="18"/>
                <w:color w:val="auto"/>
              </w:rPr>
              <w:t>Branches</w:t>
            </w:r>
          </w:p>
        </w:tc>
        <w:tc>
          <w:tcPr>
            <w:tcW w:w="12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334</w:t>
            </w:r>
          </w:p>
        </w:tc>
        <w:tc>
          <w:tcPr>
            <w:tcW w:w="12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330</w:t>
            </w:r>
          </w:p>
        </w:tc>
        <w:tc>
          <w:tcPr>
            <w:tcW w:w="12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330</w:t>
            </w:r>
          </w:p>
        </w:tc>
        <w:tc>
          <w:tcPr>
            <w:tcW w:w="12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1.2%</w:t>
            </w:r>
          </w:p>
        </w:tc>
        <w:tc>
          <w:tcPr>
            <w:tcW w:w="11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1.2%</w:t>
            </w: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ATMs</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996</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951</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890</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11.9%</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4.7%</w:t>
            </w:r>
          </w:p>
        </w:tc>
      </w:tr>
      <w:tr>
        <w:trPr>
          <w:trHeight w:val="216"/>
        </w:trPr>
        <w:tc>
          <w:tcPr>
            <w:tcW w:w="20" w:type="dxa"/>
            <w:vAlign w:val="bottom"/>
          </w:tcPr>
          <w:p>
            <w:pPr>
              <w:spacing w:after="0"/>
              <w:rPr>
                <w:sz w:val="18"/>
                <w:szCs w:val="18"/>
                <w:color w:val="auto"/>
              </w:rPr>
            </w:pPr>
          </w:p>
        </w:tc>
        <w:tc>
          <w:tcPr>
            <w:tcW w:w="4200" w:type="dxa"/>
            <w:vAlign w:val="bottom"/>
            <w:shd w:val="clear" w:color="auto" w:fill="CCFFCC"/>
          </w:tcPr>
          <w:p>
            <w:pPr>
              <w:spacing w:after="0"/>
              <w:rPr>
                <w:sz w:val="20"/>
                <w:szCs w:val="20"/>
                <w:color w:val="auto"/>
              </w:rPr>
            </w:pPr>
            <w:r>
              <w:rPr>
                <w:rFonts w:ascii="Arial" w:cs="Arial" w:eastAsia="Arial" w:hAnsi="Arial"/>
                <w:sz w:val="18"/>
                <w:szCs w:val="18"/>
                <w:color w:val="auto"/>
              </w:rPr>
              <w:t>Agentes BCP</w:t>
            </w:r>
          </w:p>
        </w:tc>
        <w:tc>
          <w:tcPr>
            <w:tcW w:w="12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2,801</w:t>
            </w:r>
          </w:p>
        </w:tc>
        <w:tc>
          <w:tcPr>
            <w:tcW w:w="12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2,435</w:t>
            </w:r>
          </w:p>
        </w:tc>
        <w:tc>
          <w:tcPr>
            <w:tcW w:w="12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1,851</w:t>
            </w:r>
          </w:p>
        </w:tc>
        <w:tc>
          <w:tcPr>
            <w:tcW w:w="12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51.3%</w:t>
            </w:r>
          </w:p>
        </w:tc>
        <w:tc>
          <w:tcPr>
            <w:tcW w:w="11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15.0%</w:t>
            </w:r>
          </w:p>
        </w:tc>
      </w:tr>
      <w:tr>
        <w:trPr>
          <w:trHeight w:val="230"/>
        </w:trPr>
        <w:tc>
          <w:tcPr>
            <w:tcW w:w="20" w:type="dxa"/>
            <w:vAlign w:val="bottom"/>
          </w:tcPr>
          <w:p>
            <w:pPr>
              <w:spacing w:after="0"/>
              <w:rPr>
                <w:sz w:val="20"/>
                <w:szCs w:val="20"/>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Total</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4,131</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3,716</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3,071</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34.5%</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11.2%</w:t>
            </w:r>
          </w:p>
        </w:tc>
      </w:tr>
    </w:tbl>
    <w:p>
      <w:pPr>
        <w:spacing w:after="0" w:line="21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6254750</wp:posOffset>
            </wp:positionH>
            <wp:positionV relativeFrom="page">
              <wp:posOffset>243205</wp:posOffset>
            </wp:positionV>
            <wp:extent cx="1149350" cy="3175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clrChange>
                        <a:clrFrom>
                          <a:srgbClr val="FFFFFF"/>
                        </a:clrFrom>
                        <a:clrTo>
                          <a:srgbClr val="FFFFFF">
                            <a:alpha val="0"/>
                          </a:srgbClr>
                        </a:clrTo>
                      </a:clrChange>
                      <a:extLst>
                        <a:ext uri="{28A0092B-C50C-407E-A947-70E740481C1C}"/>
                      </a:extLst>
                    </a:blip>
                    <a:srcRect/>
                    <a:stretch>
                      <a:fillRect/>
                    </a:stretch>
                  </pic:blipFill>
                  <pic:spPr bwMode="auto">
                    <a:xfrm>
                      <a:off x="0" y="0"/>
                      <a:ext cx="1149350" cy="3175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II.6 Operating Costs and Efficiency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Total operating expenses increased 22.9% QoQ. This led to deterioration in the efficiency ratio, which increased from 48.8% to 53.8% QoQ.</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241"/>
        </w:trPr>
        <w:tc>
          <w:tcPr>
            <w:tcW w:w="2060" w:type="dxa"/>
            <w:vAlign w:val="bottom"/>
            <w:gridSpan w:val="2"/>
          </w:tcPr>
          <w:p>
            <w:pPr>
              <w:spacing w:after="0"/>
              <w:rPr>
                <w:sz w:val="20"/>
                <w:szCs w:val="20"/>
                <w:color w:val="auto"/>
              </w:rPr>
            </w:pPr>
            <w:r>
              <w:rPr>
                <w:rFonts w:ascii="Arial" w:cs="Arial" w:eastAsia="Arial" w:hAnsi="Arial"/>
                <w:sz w:val="18"/>
                <w:szCs w:val="18"/>
                <w:b w:val="1"/>
                <w:bCs w:val="1"/>
                <w:color w:val="auto"/>
              </w:rPr>
              <w:t>Operating expenses</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Quarter</w:t>
            </w: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340" w:type="dxa"/>
            <w:vAlign w:val="bottom"/>
            <w:gridSpan w:val="4"/>
          </w:tcPr>
          <w:p>
            <w:pPr>
              <w:jc w:val="right"/>
              <w:ind w:right="920"/>
              <w:spacing w:after="0"/>
              <w:rPr>
                <w:sz w:val="20"/>
                <w:szCs w:val="20"/>
                <w:color w:val="auto"/>
              </w:rPr>
            </w:pPr>
            <w:r>
              <w:rPr>
                <w:rFonts w:ascii="Arial" w:cs="Arial" w:eastAsia="Arial" w:hAnsi="Arial"/>
                <w:sz w:val="18"/>
                <w:szCs w:val="18"/>
                <w:b w:val="1"/>
                <w:bCs w:val="1"/>
                <w:color w:val="auto"/>
              </w:rPr>
              <w:t>Change %</w:t>
            </w:r>
          </w:p>
        </w:tc>
        <w:tc>
          <w:tcPr>
            <w:tcW w:w="2160" w:type="dxa"/>
            <w:vAlign w:val="bottom"/>
            <w:gridSpan w:val="4"/>
          </w:tcPr>
          <w:p>
            <w:pPr>
              <w:jc w:val="right"/>
              <w:ind w:right="760"/>
              <w:spacing w:after="0"/>
              <w:rPr>
                <w:sz w:val="20"/>
                <w:szCs w:val="20"/>
                <w:color w:val="auto"/>
              </w:rPr>
            </w:pPr>
            <w:r>
              <w:rPr>
                <w:rFonts w:ascii="Arial" w:cs="Arial" w:eastAsia="Arial" w:hAnsi="Arial"/>
                <w:sz w:val="18"/>
                <w:szCs w:val="18"/>
                <w:b w:val="1"/>
                <w:bCs w:val="1"/>
                <w:color w:val="auto"/>
              </w:rPr>
              <w:t>Year to end</w:t>
            </w:r>
          </w:p>
        </w:tc>
        <w:tc>
          <w:tcPr>
            <w:tcW w:w="1080" w:type="dxa"/>
            <w:vAlign w:val="bottom"/>
            <w:gridSpan w:val="2"/>
          </w:tcPr>
          <w:p>
            <w:pPr>
              <w:ind w:left="20"/>
              <w:spacing w:after="0"/>
              <w:rPr>
                <w:sz w:val="20"/>
                <w:szCs w:val="20"/>
                <w:color w:val="auto"/>
              </w:rPr>
            </w:pPr>
            <w:r>
              <w:rPr>
                <w:rFonts w:ascii="Arial" w:cs="Arial" w:eastAsia="Arial" w:hAnsi="Arial"/>
                <w:sz w:val="18"/>
                <w:szCs w:val="18"/>
                <w:b w:val="1"/>
                <w:bCs w:val="1"/>
                <w:color w:val="auto"/>
              </w:rPr>
              <w:t>Change %</w:t>
            </w:r>
          </w:p>
        </w:tc>
        <w:tc>
          <w:tcPr>
            <w:tcW w:w="0" w:type="dxa"/>
            <w:vAlign w:val="bottom"/>
          </w:tcPr>
          <w:p>
            <w:pPr>
              <w:spacing w:after="0"/>
              <w:rPr>
                <w:sz w:val="1"/>
                <w:szCs w:val="1"/>
                <w:color w:val="auto"/>
              </w:rPr>
            </w:pPr>
          </w:p>
        </w:tc>
      </w:tr>
      <w:tr>
        <w:trPr>
          <w:trHeight w:val="223"/>
        </w:trPr>
        <w:tc>
          <w:tcPr>
            <w:tcW w:w="20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US$ 000</w:t>
            </w:r>
          </w:p>
        </w:tc>
        <w:tc>
          <w:tcPr>
            <w:tcW w:w="120" w:type="dxa"/>
            <w:vAlign w:val="bottom"/>
          </w:tcPr>
          <w:p>
            <w:pPr>
              <w:spacing w:after="0"/>
              <w:rPr>
                <w:sz w:val="19"/>
                <w:szCs w:val="19"/>
                <w:color w:val="auto"/>
              </w:rPr>
            </w:pPr>
          </w:p>
        </w:tc>
        <w:tc>
          <w:tcPr>
            <w:tcW w:w="1140" w:type="dxa"/>
            <w:vAlign w:val="bottom"/>
            <w:tcBorders>
              <w:top w:val="single" w:sz="8" w:color="auto"/>
            </w:tcBorders>
            <w:gridSpan w:val="2"/>
          </w:tcPr>
          <w:p>
            <w:pPr>
              <w:jc w:val="right"/>
              <w:ind w:right="520"/>
              <w:spacing w:after="0"/>
              <w:rPr>
                <w:sz w:val="20"/>
                <w:szCs w:val="20"/>
                <w:color w:val="auto"/>
              </w:rPr>
            </w:pPr>
            <w:r>
              <w:rPr>
                <w:rFonts w:ascii="Arial" w:cs="Arial" w:eastAsia="Arial" w:hAnsi="Arial"/>
                <w:sz w:val="18"/>
                <w:szCs w:val="18"/>
                <w:b w:val="1"/>
                <w:bCs w:val="1"/>
                <w:color w:val="auto"/>
              </w:rPr>
              <w:t>4Q09</w:t>
            </w:r>
          </w:p>
        </w:tc>
        <w:tc>
          <w:tcPr>
            <w:tcW w:w="1140" w:type="dxa"/>
            <w:vAlign w:val="bottom"/>
            <w:tcBorders>
              <w:top w:val="single" w:sz="8" w:color="auto"/>
            </w:tcBorders>
            <w:gridSpan w:val="2"/>
          </w:tcPr>
          <w:p>
            <w:pPr>
              <w:jc w:val="right"/>
              <w:ind w:right="520"/>
              <w:spacing w:after="0"/>
              <w:rPr>
                <w:sz w:val="20"/>
                <w:szCs w:val="20"/>
                <w:color w:val="auto"/>
              </w:rPr>
            </w:pPr>
            <w:r>
              <w:rPr>
                <w:rFonts w:ascii="Arial" w:cs="Arial" w:eastAsia="Arial" w:hAnsi="Arial"/>
                <w:sz w:val="18"/>
                <w:szCs w:val="18"/>
                <w:b w:val="1"/>
                <w:bCs w:val="1"/>
                <w:color w:val="auto"/>
              </w:rPr>
              <w:t>3Q09</w:t>
            </w:r>
          </w:p>
        </w:tc>
        <w:tc>
          <w:tcPr>
            <w:tcW w:w="86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4Q08</w:t>
            </w:r>
          </w:p>
        </w:tc>
        <w:tc>
          <w:tcPr>
            <w:tcW w:w="300" w:type="dxa"/>
            <w:vAlign w:val="bottom"/>
          </w:tcPr>
          <w:p>
            <w:pPr>
              <w:spacing w:after="0"/>
              <w:rPr>
                <w:sz w:val="19"/>
                <w:szCs w:val="19"/>
                <w:color w:val="auto"/>
              </w:rPr>
            </w:pPr>
          </w:p>
        </w:tc>
        <w:tc>
          <w:tcPr>
            <w:tcW w:w="1160" w:type="dxa"/>
            <w:vAlign w:val="bottom"/>
            <w:tcBorders>
              <w:top w:val="single" w:sz="8" w:color="auto"/>
            </w:tcBorders>
            <w:gridSpan w:val="2"/>
          </w:tcPr>
          <w:p>
            <w:pPr>
              <w:jc w:val="right"/>
              <w:ind w:right="300"/>
              <w:spacing w:after="0"/>
              <w:rPr>
                <w:sz w:val="20"/>
                <w:szCs w:val="20"/>
                <w:color w:val="auto"/>
              </w:rPr>
            </w:pPr>
            <w:r>
              <w:rPr>
                <w:rFonts w:ascii="Arial" w:cs="Arial" w:eastAsia="Arial" w:hAnsi="Arial"/>
                <w:sz w:val="18"/>
                <w:szCs w:val="18"/>
                <w:b w:val="1"/>
                <w:bCs w:val="1"/>
                <w:color w:val="auto"/>
                <w:w w:val="90"/>
              </w:rPr>
              <w:t>4Q09/4Q08</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4Q09/3Q09</w:t>
            </w:r>
          </w:p>
        </w:tc>
        <w:tc>
          <w:tcPr>
            <w:tcW w:w="300" w:type="dxa"/>
            <w:vAlign w:val="bottom"/>
          </w:tcPr>
          <w:p>
            <w:pPr>
              <w:spacing w:after="0"/>
              <w:rPr>
                <w:sz w:val="19"/>
                <w:szCs w:val="19"/>
                <w:color w:val="auto"/>
              </w:rPr>
            </w:pPr>
          </w:p>
        </w:tc>
        <w:tc>
          <w:tcPr>
            <w:tcW w:w="8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2009</w:t>
            </w:r>
          </w:p>
        </w:tc>
        <w:tc>
          <w:tcPr>
            <w:tcW w:w="2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2008</w:t>
            </w:r>
          </w:p>
        </w:tc>
        <w:tc>
          <w:tcPr>
            <w:tcW w:w="220" w:type="dxa"/>
            <w:vAlign w:val="bottom"/>
          </w:tcPr>
          <w:p>
            <w:pPr>
              <w:spacing w:after="0"/>
              <w:rPr>
                <w:sz w:val="19"/>
                <w:szCs w:val="19"/>
                <w:color w:val="auto"/>
              </w:rPr>
            </w:pPr>
          </w:p>
        </w:tc>
        <w:tc>
          <w:tcPr>
            <w:tcW w:w="880" w:type="dxa"/>
            <w:vAlign w:val="bottom"/>
            <w:tcBorders>
              <w:top w:val="single" w:sz="8" w:color="auto"/>
            </w:tcBorders>
          </w:tcPr>
          <w:p>
            <w:pPr>
              <w:ind w:left="60"/>
              <w:spacing w:after="0"/>
              <w:rPr>
                <w:sz w:val="20"/>
                <w:szCs w:val="20"/>
                <w:color w:val="auto"/>
              </w:rPr>
            </w:pPr>
            <w:r>
              <w:rPr>
                <w:rFonts w:ascii="Arial" w:cs="Arial" w:eastAsia="Arial" w:hAnsi="Arial"/>
                <w:sz w:val="18"/>
                <w:szCs w:val="18"/>
                <w:b w:val="1"/>
                <w:bCs w:val="1"/>
                <w:color w:val="auto"/>
                <w:w w:val="93"/>
              </w:rPr>
              <w:t>2009/2009</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40" w:type="dxa"/>
            <w:vAlign w:val="bottom"/>
            <w:tcBorders>
              <w:top w:val="single" w:sz="8" w:color="auto"/>
            </w:tcBorders>
            <w:shd w:val="clear" w:color="auto" w:fill="CCFFCC"/>
          </w:tcPr>
          <w:p>
            <w:pPr>
              <w:spacing w:after="0" w:line="201" w:lineRule="exact"/>
              <w:rPr>
                <w:sz w:val="20"/>
                <w:szCs w:val="20"/>
                <w:color w:val="auto"/>
              </w:rPr>
            </w:pPr>
            <w:r>
              <w:rPr>
                <w:rFonts w:ascii="Arial" w:cs="Arial" w:eastAsia="Arial" w:hAnsi="Arial"/>
                <w:sz w:val="18"/>
                <w:szCs w:val="18"/>
                <w:color w:val="auto"/>
              </w:rPr>
              <w:t>Salaries and employees</w:t>
            </w:r>
          </w:p>
        </w:tc>
        <w:tc>
          <w:tcPr>
            <w:tcW w:w="120" w:type="dxa"/>
            <w:vAlign w:val="bottom"/>
            <w:shd w:val="clear" w:color="auto" w:fill="CCFFCC"/>
          </w:tcPr>
          <w:p>
            <w:pPr>
              <w:spacing w:after="0"/>
              <w:rPr>
                <w:sz w:val="17"/>
                <w:szCs w:val="17"/>
                <w:color w:val="auto"/>
              </w:rPr>
            </w:pPr>
          </w:p>
        </w:tc>
        <w:tc>
          <w:tcPr>
            <w:tcW w:w="840" w:type="dxa"/>
            <w:vAlign w:val="bottom"/>
            <w:tcBorders>
              <w:top w:val="single" w:sz="8" w:color="auto"/>
            </w:tcBorders>
            <w:shd w:val="clear" w:color="auto" w:fill="CCFFCC"/>
          </w:tcPr>
          <w:p>
            <w:pPr>
              <w:spacing w:after="0"/>
              <w:rPr>
                <w:sz w:val="17"/>
                <w:szCs w:val="17"/>
                <w:color w:val="auto"/>
              </w:rPr>
            </w:pPr>
          </w:p>
        </w:tc>
        <w:tc>
          <w:tcPr>
            <w:tcW w:w="300" w:type="dxa"/>
            <w:vAlign w:val="bottom"/>
            <w:shd w:val="clear" w:color="auto" w:fill="CCFFCC"/>
          </w:tcPr>
          <w:p>
            <w:pPr>
              <w:spacing w:after="0"/>
              <w:rPr>
                <w:sz w:val="17"/>
                <w:szCs w:val="17"/>
                <w:color w:val="auto"/>
              </w:rPr>
            </w:pPr>
          </w:p>
        </w:tc>
        <w:tc>
          <w:tcPr>
            <w:tcW w:w="840" w:type="dxa"/>
            <w:vAlign w:val="bottom"/>
            <w:tcBorders>
              <w:top w:val="single" w:sz="8" w:color="auto"/>
            </w:tcBorders>
            <w:shd w:val="clear" w:color="auto" w:fill="CCFFCC"/>
          </w:tcPr>
          <w:p>
            <w:pPr>
              <w:spacing w:after="0"/>
              <w:rPr>
                <w:sz w:val="17"/>
                <w:szCs w:val="17"/>
                <w:color w:val="auto"/>
              </w:rPr>
            </w:pPr>
          </w:p>
        </w:tc>
        <w:tc>
          <w:tcPr>
            <w:tcW w:w="300" w:type="dxa"/>
            <w:vAlign w:val="bottom"/>
            <w:shd w:val="clear" w:color="auto" w:fill="CCFFCC"/>
          </w:tcPr>
          <w:p>
            <w:pPr>
              <w:spacing w:after="0"/>
              <w:rPr>
                <w:sz w:val="17"/>
                <w:szCs w:val="17"/>
                <w:color w:val="auto"/>
              </w:rPr>
            </w:pPr>
          </w:p>
        </w:tc>
        <w:tc>
          <w:tcPr>
            <w:tcW w:w="860" w:type="dxa"/>
            <w:vAlign w:val="bottom"/>
            <w:tcBorders>
              <w:top w:val="single" w:sz="8" w:color="auto"/>
            </w:tcBorders>
            <w:shd w:val="clear" w:color="auto" w:fill="CCFFCC"/>
          </w:tcPr>
          <w:p>
            <w:pPr>
              <w:spacing w:after="0"/>
              <w:rPr>
                <w:sz w:val="17"/>
                <w:szCs w:val="17"/>
                <w:color w:val="auto"/>
              </w:rPr>
            </w:pPr>
          </w:p>
        </w:tc>
        <w:tc>
          <w:tcPr>
            <w:tcW w:w="300" w:type="dxa"/>
            <w:vAlign w:val="bottom"/>
            <w:tcBorders>
              <w:right w:val="single" w:sz="8" w:color="CCFFCC"/>
            </w:tcBorders>
            <w:shd w:val="clear" w:color="auto" w:fill="CCFFCC"/>
          </w:tcPr>
          <w:p>
            <w:pPr>
              <w:spacing w:after="0"/>
              <w:rPr>
                <w:sz w:val="17"/>
                <w:szCs w:val="17"/>
                <w:color w:val="auto"/>
              </w:rPr>
            </w:pPr>
          </w:p>
        </w:tc>
        <w:tc>
          <w:tcPr>
            <w:tcW w:w="880" w:type="dxa"/>
            <w:vAlign w:val="bottom"/>
            <w:tcBorders>
              <w:top w:val="single" w:sz="8" w:color="auto"/>
            </w:tcBorders>
            <w:shd w:val="clear" w:color="auto" w:fill="CCFFCC"/>
          </w:tcPr>
          <w:p>
            <w:pPr>
              <w:spacing w:after="0"/>
              <w:rPr>
                <w:sz w:val="17"/>
                <w:szCs w:val="17"/>
                <w:color w:val="auto"/>
              </w:rPr>
            </w:pPr>
          </w:p>
        </w:tc>
        <w:tc>
          <w:tcPr>
            <w:tcW w:w="280" w:type="dxa"/>
            <w:vAlign w:val="bottom"/>
            <w:tcBorders>
              <w:right w:val="single" w:sz="8" w:color="CCFFCC"/>
            </w:tcBorders>
            <w:shd w:val="clear" w:color="auto" w:fill="CCFFCC"/>
          </w:tcPr>
          <w:p>
            <w:pPr>
              <w:spacing w:after="0"/>
              <w:rPr>
                <w:sz w:val="17"/>
                <w:szCs w:val="17"/>
                <w:color w:val="auto"/>
              </w:rPr>
            </w:pPr>
          </w:p>
        </w:tc>
        <w:tc>
          <w:tcPr>
            <w:tcW w:w="880" w:type="dxa"/>
            <w:vAlign w:val="bottom"/>
            <w:tcBorders>
              <w:top w:val="single" w:sz="8" w:color="auto"/>
            </w:tcBorders>
            <w:shd w:val="clear" w:color="auto" w:fill="CCFFCC"/>
          </w:tcPr>
          <w:p>
            <w:pPr>
              <w:spacing w:after="0"/>
              <w:rPr>
                <w:sz w:val="17"/>
                <w:szCs w:val="17"/>
                <w:color w:val="auto"/>
              </w:rPr>
            </w:pPr>
          </w:p>
        </w:tc>
        <w:tc>
          <w:tcPr>
            <w:tcW w:w="300" w:type="dxa"/>
            <w:vAlign w:val="bottom"/>
            <w:shd w:val="clear" w:color="auto" w:fill="CCFFCC"/>
          </w:tcPr>
          <w:p>
            <w:pPr>
              <w:spacing w:after="0"/>
              <w:rPr>
                <w:sz w:val="17"/>
                <w:szCs w:val="17"/>
                <w:color w:val="auto"/>
              </w:rPr>
            </w:pPr>
          </w:p>
        </w:tc>
        <w:tc>
          <w:tcPr>
            <w:tcW w:w="860" w:type="dxa"/>
            <w:vAlign w:val="bottom"/>
            <w:tcBorders>
              <w:top w:val="single" w:sz="8" w:color="auto"/>
            </w:tcBorders>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860" w:type="dxa"/>
            <w:vAlign w:val="bottom"/>
            <w:tcBorders>
              <w:top w:val="single" w:sz="8" w:color="auto"/>
            </w:tcBorders>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880" w:type="dxa"/>
            <w:vAlign w:val="bottom"/>
            <w:tcBorders>
              <w:top w:val="single" w:sz="8" w:color="auto"/>
            </w:tcBorders>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40" w:type="dxa"/>
            <w:vAlign w:val="bottom"/>
            <w:shd w:val="clear" w:color="auto" w:fill="CCFFCC"/>
          </w:tcPr>
          <w:p>
            <w:pPr>
              <w:spacing w:after="0"/>
              <w:rPr>
                <w:sz w:val="20"/>
                <w:szCs w:val="20"/>
                <w:color w:val="auto"/>
              </w:rPr>
            </w:pPr>
            <w:r>
              <w:rPr>
                <w:rFonts w:ascii="Arial" w:cs="Arial" w:eastAsia="Arial" w:hAnsi="Arial"/>
                <w:sz w:val="18"/>
                <w:szCs w:val="18"/>
                <w:color w:val="auto"/>
              </w:rPr>
              <w:t>benefits</w:t>
            </w:r>
          </w:p>
        </w:tc>
        <w:tc>
          <w:tcPr>
            <w:tcW w:w="9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89,486</w:t>
            </w:r>
          </w:p>
        </w:tc>
        <w:tc>
          <w:tcPr>
            <w:tcW w:w="300" w:type="dxa"/>
            <w:vAlign w:val="bottom"/>
            <w:shd w:val="clear" w:color="auto" w:fill="CCFFCC"/>
          </w:tcPr>
          <w:p>
            <w:pPr>
              <w:spacing w:after="0"/>
              <w:rPr>
                <w:sz w:val="20"/>
                <w:szCs w:val="20"/>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80,318</w:t>
            </w:r>
          </w:p>
        </w:tc>
        <w:tc>
          <w:tcPr>
            <w:tcW w:w="300" w:type="dxa"/>
            <w:vAlign w:val="bottom"/>
            <w:shd w:val="clear" w:color="auto" w:fill="CCFFCC"/>
          </w:tcPr>
          <w:p>
            <w:pPr>
              <w:spacing w:after="0"/>
              <w:rPr>
                <w:sz w:val="20"/>
                <w:szCs w:val="20"/>
                <w:color w:val="auto"/>
              </w:rPr>
            </w:pP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88,805</w:t>
            </w:r>
          </w:p>
        </w:tc>
        <w:tc>
          <w:tcPr>
            <w:tcW w:w="300" w:type="dxa"/>
            <w:vAlign w:val="bottom"/>
            <w:tcBorders>
              <w:right w:val="single" w:sz="8" w:color="CCFFCC"/>
            </w:tcBorders>
            <w:shd w:val="clear" w:color="auto" w:fill="CCFFCC"/>
          </w:tcPr>
          <w:p>
            <w:pPr>
              <w:spacing w:after="0"/>
              <w:rPr>
                <w:sz w:val="20"/>
                <w:szCs w:val="20"/>
                <w:color w:val="auto"/>
              </w:rPr>
            </w:pPr>
          </w:p>
        </w:tc>
        <w:tc>
          <w:tcPr>
            <w:tcW w:w="1160" w:type="dxa"/>
            <w:vAlign w:val="bottom"/>
            <w:tcBorders>
              <w:right w:val="single" w:sz="8" w:color="CCFFCC"/>
            </w:tcBorders>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0.8%</w:t>
            </w:r>
          </w:p>
        </w:tc>
        <w:tc>
          <w:tcPr>
            <w:tcW w:w="11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11.4%</w:t>
            </w:r>
          </w:p>
        </w:tc>
        <w:tc>
          <w:tcPr>
            <w:tcW w:w="10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(328,469)</w:t>
            </w:r>
          </w:p>
        </w:tc>
        <w:tc>
          <w:tcPr>
            <w:tcW w:w="10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(314,725)</w:t>
            </w:r>
          </w:p>
        </w:tc>
        <w:tc>
          <w:tcPr>
            <w:tcW w:w="10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40" w:type="dxa"/>
            <w:vAlign w:val="bottom"/>
          </w:tcPr>
          <w:p>
            <w:pPr>
              <w:spacing w:after="0" w:line="201" w:lineRule="exact"/>
              <w:rPr>
                <w:sz w:val="20"/>
                <w:szCs w:val="20"/>
                <w:color w:val="auto"/>
              </w:rPr>
            </w:pPr>
            <w:r>
              <w:rPr>
                <w:rFonts w:ascii="Arial" w:cs="Arial" w:eastAsia="Arial" w:hAnsi="Arial"/>
                <w:sz w:val="18"/>
                <w:szCs w:val="18"/>
                <w:color w:val="auto"/>
                <w:w w:val="92"/>
              </w:rPr>
              <w:t>Administrative, general and</w:t>
            </w: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60" w:type="dxa"/>
            <w:vAlign w:val="bottom"/>
            <w:gridSpan w:val="2"/>
          </w:tcPr>
          <w:p>
            <w:pPr>
              <w:spacing w:after="0"/>
              <w:rPr>
                <w:sz w:val="20"/>
                <w:szCs w:val="20"/>
                <w:color w:val="auto"/>
              </w:rPr>
            </w:pPr>
            <w:r>
              <w:rPr>
                <w:rFonts w:ascii="Arial" w:cs="Arial" w:eastAsia="Arial" w:hAnsi="Arial"/>
                <w:sz w:val="18"/>
                <w:szCs w:val="18"/>
                <w:color w:val="auto"/>
              </w:rPr>
              <w:t>tax expenses</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79,622</w:t>
            </w:r>
          </w:p>
        </w:tc>
        <w:tc>
          <w:tcPr>
            <w:tcW w:w="3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59,269</w:t>
            </w:r>
          </w:p>
        </w:tc>
        <w:tc>
          <w:tcPr>
            <w:tcW w:w="3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74,407</w:t>
            </w:r>
          </w:p>
        </w:tc>
        <w:tc>
          <w:tcPr>
            <w:tcW w:w="30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7.0%</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34.3%</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(266,363)</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(229,862)</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4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rPr>
              <w:t>Depreciation and</w:t>
            </w:r>
          </w:p>
        </w:tc>
        <w:tc>
          <w:tcPr>
            <w:tcW w:w="120" w:type="dxa"/>
            <w:vAlign w:val="bottom"/>
            <w:shd w:val="clear" w:color="auto" w:fill="CCFFCC"/>
          </w:tcPr>
          <w:p>
            <w:pPr>
              <w:spacing w:after="0"/>
              <w:rPr>
                <w:sz w:val="17"/>
                <w:szCs w:val="17"/>
                <w:color w:val="auto"/>
              </w:rPr>
            </w:pPr>
          </w:p>
        </w:tc>
        <w:tc>
          <w:tcPr>
            <w:tcW w:w="840" w:type="dxa"/>
            <w:vAlign w:val="bottom"/>
            <w:shd w:val="clear" w:color="auto" w:fill="CCFFCC"/>
          </w:tcPr>
          <w:p>
            <w:pPr>
              <w:spacing w:after="0"/>
              <w:rPr>
                <w:sz w:val="17"/>
                <w:szCs w:val="17"/>
                <w:color w:val="auto"/>
              </w:rPr>
            </w:pPr>
          </w:p>
        </w:tc>
        <w:tc>
          <w:tcPr>
            <w:tcW w:w="300" w:type="dxa"/>
            <w:vAlign w:val="bottom"/>
            <w:shd w:val="clear" w:color="auto" w:fill="CCFFCC"/>
          </w:tcPr>
          <w:p>
            <w:pPr>
              <w:spacing w:after="0"/>
              <w:rPr>
                <w:sz w:val="17"/>
                <w:szCs w:val="17"/>
                <w:color w:val="auto"/>
              </w:rPr>
            </w:pPr>
          </w:p>
        </w:tc>
        <w:tc>
          <w:tcPr>
            <w:tcW w:w="840" w:type="dxa"/>
            <w:vAlign w:val="bottom"/>
            <w:shd w:val="clear" w:color="auto" w:fill="CCFFCC"/>
          </w:tcPr>
          <w:p>
            <w:pPr>
              <w:spacing w:after="0"/>
              <w:rPr>
                <w:sz w:val="17"/>
                <w:szCs w:val="17"/>
                <w:color w:val="auto"/>
              </w:rPr>
            </w:pPr>
          </w:p>
        </w:tc>
        <w:tc>
          <w:tcPr>
            <w:tcW w:w="30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300" w:type="dxa"/>
            <w:vAlign w:val="bottom"/>
            <w:tcBorders>
              <w:right w:val="single" w:sz="8" w:color="CCFFCC"/>
            </w:tcBorders>
            <w:shd w:val="clear" w:color="auto" w:fill="CCFFCC"/>
          </w:tcPr>
          <w:p>
            <w:pPr>
              <w:spacing w:after="0"/>
              <w:rPr>
                <w:sz w:val="17"/>
                <w:szCs w:val="17"/>
                <w:color w:val="auto"/>
              </w:rPr>
            </w:pPr>
          </w:p>
        </w:tc>
        <w:tc>
          <w:tcPr>
            <w:tcW w:w="880" w:type="dxa"/>
            <w:vAlign w:val="bottom"/>
            <w:shd w:val="clear" w:color="auto" w:fill="CCFFCC"/>
          </w:tcPr>
          <w:p>
            <w:pPr>
              <w:spacing w:after="0"/>
              <w:rPr>
                <w:sz w:val="17"/>
                <w:szCs w:val="17"/>
                <w:color w:val="auto"/>
              </w:rPr>
            </w:pPr>
          </w:p>
        </w:tc>
        <w:tc>
          <w:tcPr>
            <w:tcW w:w="280" w:type="dxa"/>
            <w:vAlign w:val="bottom"/>
            <w:tcBorders>
              <w:right w:val="single" w:sz="8" w:color="CCFFCC"/>
            </w:tcBorders>
            <w:shd w:val="clear" w:color="auto" w:fill="CCFFCC"/>
          </w:tcPr>
          <w:p>
            <w:pPr>
              <w:spacing w:after="0"/>
              <w:rPr>
                <w:sz w:val="17"/>
                <w:szCs w:val="17"/>
                <w:color w:val="auto"/>
              </w:rPr>
            </w:pPr>
          </w:p>
        </w:tc>
        <w:tc>
          <w:tcPr>
            <w:tcW w:w="880" w:type="dxa"/>
            <w:vAlign w:val="bottom"/>
            <w:shd w:val="clear" w:color="auto" w:fill="CCFFCC"/>
          </w:tcPr>
          <w:p>
            <w:pPr>
              <w:spacing w:after="0"/>
              <w:rPr>
                <w:sz w:val="17"/>
                <w:szCs w:val="17"/>
                <w:color w:val="auto"/>
              </w:rPr>
            </w:pPr>
          </w:p>
        </w:tc>
        <w:tc>
          <w:tcPr>
            <w:tcW w:w="30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88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40" w:type="dxa"/>
            <w:vAlign w:val="bottom"/>
            <w:shd w:val="clear" w:color="auto" w:fill="CCFFCC"/>
          </w:tcPr>
          <w:p>
            <w:pPr>
              <w:spacing w:after="0"/>
              <w:rPr>
                <w:sz w:val="20"/>
                <w:szCs w:val="20"/>
                <w:color w:val="auto"/>
              </w:rPr>
            </w:pPr>
            <w:r>
              <w:rPr>
                <w:rFonts w:ascii="Arial" w:cs="Arial" w:eastAsia="Arial" w:hAnsi="Arial"/>
                <w:sz w:val="18"/>
                <w:szCs w:val="18"/>
                <w:color w:val="auto"/>
              </w:rPr>
              <w:t>amortizacion</w:t>
            </w:r>
          </w:p>
        </w:tc>
        <w:tc>
          <w:tcPr>
            <w:tcW w:w="9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16,153</w:t>
            </w:r>
          </w:p>
        </w:tc>
        <w:tc>
          <w:tcPr>
            <w:tcW w:w="300" w:type="dxa"/>
            <w:vAlign w:val="bottom"/>
            <w:shd w:val="clear" w:color="auto" w:fill="CCFFCC"/>
          </w:tcPr>
          <w:p>
            <w:pPr>
              <w:spacing w:after="0"/>
              <w:rPr>
                <w:sz w:val="20"/>
                <w:szCs w:val="20"/>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14,712</w:t>
            </w:r>
          </w:p>
        </w:tc>
        <w:tc>
          <w:tcPr>
            <w:tcW w:w="300" w:type="dxa"/>
            <w:vAlign w:val="bottom"/>
            <w:shd w:val="clear" w:color="auto" w:fill="CCFFCC"/>
          </w:tcPr>
          <w:p>
            <w:pPr>
              <w:spacing w:after="0"/>
              <w:rPr>
                <w:sz w:val="20"/>
                <w:szCs w:val="20"/>
                <w:color w:val="auto"/>
              </w:rPr>
            </w:pP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12,740</w:t>
            </w:r>
          </w:p>
        </w:tc>
        <w:tc>
          <w:tcPr>
            <w:tcW w:w="300" w:type="dxa"/>
            <w:vAlign w:val="bottom"/>
            <w:tcBorders>
              <w:right w:val="single" w:sz="8" w:color="CCFFCC"/>
            </w:tcBorders>
            <w:shd w:val="clear" w:color="auto" w:fill="CCFFCC"/>
          </w:tcPr>
          <w:p>
            <w:pPr>
              <w:spacing w:after="0"/>
              <w:rPr>
                <w:sz w:val="20"/>
                <w:szCs w:val="20"/>
                <w:color w:val="auto"/>
              </w:rPr>
            </w:pPr>
          </w:p>
        </w:tc>
        <w:tc>
          <w:tcPr>
            <w:tcW w:w="1160" w:type="dxa"/>
            <w:vAlign w:val="bottom"/>
            <w:tcBorders>
              <w:right w:val="single" w:sz="8" w:color="CCFFCC"/>
            </w:tcBorders>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26.8%</w:t>
            </w:r>
          </w:p>
        </w:tc>
        <w:tc>
          <w:tcPr>
            <w:tcW w:w="11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9.8%</w:t>
            </w:r>
          </w:p>
        </w:tc>
        <w:tc>
          <w:tcPr>
            <w:tcW w:w="10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(58,709)</w:t>
            </w:r>
          </w:p>
        </w:tc>
        <w:tc>
          <w:tcPr>
            <w:tcW w:w="10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(45,882)</w:t>
            </w:r>
          </w:p>
        </w:tc>
        <w:tc>
          <w:tcPr>
            <w:tcW w:w="10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Other expenses</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12,695</w:t>
            </w: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6,794</w:t>
            </w:r>
          </w:p>
        </w:tc>
        <w:tc>
          <w:tcPr>
            <w:tcW w:w="30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(3,985)</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418.6%</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86.9%</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(38,882)</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(27,722)</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w w:val="93"/>
              </w:rPr>
              <w:t>Total operating expenses</w:t>
            </w:r>
          </w:p>
        </w:tc>
        <w:tc>
          <w:tcPr>
            <w:tcW w:w="120" w:type="dxa"/>
            <w:vAlign w:val="bottom"/>
            <w:shd w:val="clear" w:color="auto" w:fill="CCFFCC"/>
          </w:tcPr>
          <w:p>
            <w:pPr>
              <w:spacing w:after="0"/>
              <w:rPr>
                <w:sz w:val="18"/>
                <w:szCs w:val="18"/>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197,956</w:t>
            </w:r>
          </w:p>
        </w:tc>
        <w:tc>
          <w:tcPr>
            <w:tcW w:w="300" w:type="dxa"/>
            <w:vAlign w:val="bottom"/>
            <w:shd w:val="clear" w:color="auto" w:fill="CCFFCC"/>
          </w:tcPr>
          <w:p>
            <w:pPr>
              <w:spacing w:after="0"/>
              <w:rPr>
                <w:sz w:val="18"/>
                <w:szCs w:val="18"/>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161,093</w:t>
            </w:r>
          </w:p>
        </w:tc>
        <w:tc>
          <w:tcPr>
            <w:tcW w:w="300" w:type="dxa"/>
            <w:vAlign w:val="bottom"/>
            <w:shd w:val="clear" w:color="auto" w:fill="CCFFCC"/>
          </w:tcPr>
          <w:p>
            <w:pPr>
              <w:spacing w:after="0"/>
              <w:rPr>
                <w:sz w:val="18"/>
                <w:szCs w:val="18"/>
                <w:color w:val="auto"/>
              </w:rPr>
            </w:pP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171,967</w:t>
            </w:r>
          </w:p>
        </w:tc>
        <w:tc>
          <w:tcPr>
            <w:tcW w:w="300" w:type="dxa"/>
            <w:vAlign w:val="bottom"/>
            <w:tcBorders>
              <w:right w:val="single" w:sz="8" w:color="CCFFCC"/>
            </w:tcBorders>
            <w:shd w:val="clear" w:color="auto" w:fill="CCFFCC"/>
          </w:tcPr>
          <w:p>
            <w:pPr>
              <w:spacing w:after="0"/>
              <w:rPr>
                <w:sz w:val="18"/>
                <w:szCs w:val="18"/>
                <w:color w:val="auto"/>
              </w:rPr>
            </w:pPr>
          </w:p>
        </w:tc>
        <w:tc>
          <w:tcPr>
            <w:tcW w:w="1160" w:type="dxa"/>
            <w:vAlign w:val="bottom"/>
            <w:tcBorders>
              <w:right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15.1%</w:t>
            </w: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22.9%</w:t>
            </w:r>
          </w:p>
        </w:tc>
        <w:tc>
          <w:tcPr>
            <w:tcW w:w="10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b w:val="1"/>
                <w:bCs w:val="1"/>
                <w:color w:val="auto"/>
              </w:rPr>
              <w:t>(692,423)</w:t>
            </w:r>
          </w:p>
        </w:tc>
        <w:tc>
          <w:tcPr>
            <w:tcW w:w="10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b w:val="1"/>
                <w:bCs w:val="1"/>
                <w:color w:val="auto"/>
              </w:rPr>
              <w:t>(618,191)</w:t>
            </w:r>
          </w:p>
        </w:tc>
        <w:tc>
          <w:tcPr>
            <w:tcW w:w="10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12.0%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04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00" w:type="dxa"/>
            <w:vAlign w:val="bottom"/>
            <w:tcBorders>
              <w:right w:val="single" w:sz="8" w:color="CCFFCC"/>
            </w:tcBorders>
            <w:shd w:val="clear" w:color="auto" w:fill="CCFFCC"/>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tcBorders>
              <w:right w:val="single" w:sz="8" w:color="CCFFCC"/>
            </w:tcBorders>
            <w:shd w:val="clear" w:color="auto" w:fill="CCFFCC"/>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b w:val="1"/>
                <w:bCs w:val="1"/>
                <w:color w:val="auto"/>
              </w:rPr>
              <w:t>Efficiency Ratio</w:t>
            </w: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53.82%</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48.80%</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57.25%</w:t>
            </w: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Growth in operating expenses this quarter is attributable primarily to a significant increase in general and administrative expenses, which were in turn the result of higher expenses for systems (+14.0%) and subsidiaries (+13.0%). Salaries and employee benefits also contributed- although to lesser extent- due to the inclusion of Financiera Edyficar during 4Q09. Nevertheless, it is important to mention that 4Q09’s operating expenses reflect a degree of seasonality.</w:t>
      </w:r>
    </w:p>
    <w:p>
      <w:pPr>
        <w:spacing w:after="0" w:line="1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12% increase in accumulated expenses for 2009 is evident with regard to 2008 levels. This increase is due primarily to higher administrative expenses (+15.9%) and salaries and employee benefits (+4.4%). It is important to keep in mind that the increase in administrative expenses, which are largely denominated in Nuevo Soles, is highly related to the initial cost of the initiatives rolled out during 2009 to improve efficiency. Nevertheless, the aforementioned effort was neutralized by the effects of a considerable revaluation of domestic currency.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details on administrative fees and their quarterly variations: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540" w:type="dxa"/>
            <w:vAlign w:val="bottom"/>
            <w:gridSpan w:val="2"/>
          </w:tcPr>
          <w:p>
            <w:pPr>
              <w:spacing w:after="0"/>
              <w:rPr>
                <w:sz w:val="20"/>
                <w:szCs w:val="20"/>
                <w:color w:val="auto"/>
              </w:rPr>
            </w:pPr>
            <w:r>
              <w:rPr>
                <w:rFonts w:ascii="Arial" w:cs="Arial" w:eastAsia="Arial" w:hAnsi="Arial"/>
                <w:sz w:val="14"/>
                <w:szCs w:val="14"/>
                <w:b w:val="1"/>
                <w:bCs w:val="1"/>
                <w:color w:val="auto"/>
                <w:w w:val="91"/>
              </w:rPr>
              <w:t>Administrative Expenses</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gridSpan w:val="3"/>
          </w:tcPr>
          <w:p>
            <w:pPr>
              <w:ind w:left="560"/>
              <w:spacing w:after="0"/>
              <w:rPr>
                <w:sz w:val="20"/>
                <w:szCs w:val="20"/>
                <w:color w:val="auto"/>
              </w:rPr>
            </w:pPr>
            <w:r>
              <w:rPr>
                <w:rFonts w:ascii="Arial" w:cs="Arial" w:eastAsia="Arial" w:hAnsi="Arial"/>
                <w:sz w:val="14"/>
                <w:szCs w:val="14"/>
                <w:b w:val="1"/>
                <w:bCs w:val="1"/>
                <w:color w:val="auto"/>
              </w:rPr>
              <w:t>Quarter</w:t>
            </w: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90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Change %</w:t>
            </w:r>
          </w:p>
        </w:tc>
        <w:tc>
          <w:tcPr>
            <w:tcW w:w="178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rPr>
              <w:t>Year to end</w:t>
            </w: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rPr>
              <w:t>Change %</w:t>
            </w:r>
          </w:p>
        </w:tc>
        <w:tc>
          <w:tcPr>
            <w:tcW w:w="0" w:type="dxa"/>
            <w:vAlign w:val="bottom"/>
          </w:tcPr>
          <w:p>
            <w:pPr>
              <w:spacing w:after="0"/>
              <w:rPr>
                <w:sz w:val="1"/>
                <w:szCs w:val="1"/>
                <w:color w:val="auto"/>
              </w:rPr>
            </w:pPr>
          </w:p>
        </w:tc>
      </w:tr>
      <w:tr>
        <w:trPr>
          <w:trHeight w:val="149"/>
        </w:trPr>
        <w:tc>
          <w:tcPr>
            <w:tcW w:w="1540" w:type="dxa"/>
            <w:vAlign w:val="bottom"/>
            <w:tcBorders>
              <w:top w:val="single" w:sz="8" w:color="auto"/>
            </w:tcBorders>
            <w:gridSpan w:val="2"/>
          </w:tcPr>
          <w:p>
            <w:pPr>
              <w:spacing w:after="0" w:line="149" w:lineRule="exact"/>
              <w:rPr>
                <w:sz w:val="20"/>
                <w:szCs w:val="20"/>
                <w:color w:val="auto"/>
              </w:rPr>
            </w:pPr>
            <w:r>
              <w:rPr>
                <w:rFonts w:ascii="Arial" w:cs="Arial" w:eastAsia="Arial" w:hAnsi="Arial"/>
                <w:sz w:val="14"/>
                <w:szCs w:val="14"/>
                <w:color w:val="auto"/>
              </w:rPr>
              <w:t>US$ (000)</w:t>
            </w:r>
          </w:p>
        </w:tc>
        <w:tc>
          <w:tcPr>
            <w:tcW w:w="80" w:type="dxa"/>
            <w:vAlign w:val="bottom"/>
          </w:tcPr>
          <w:p>
            <w:pPr>
              <w:spacing w:after="0"/>
              <w:rPr>
                <w:sz w:val="12"/>
                <w:szCs w:val="12"/>
                <w:color w:val="auto"/>
              </w:rPr>
            </w:pPr>
          </w:p>
        </w:tc>
        <w:tc>
          <w:tcPr>
            <w:tcW w:w="840" w:type="dxa"/>
            <w:vAlign w:val="bottom"/>
            <w:tcBorders>
              <w:top w:val="single" w:sz="8" w:color="auto"/>
            </w:tcBorders>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rPr>
              <w:t>4Q09</w:t>
            </w:r>
          </w:p>
        </w:tc>
        <w:tc>
          <w:tcPr>
            <w:tcW w:w="620" w:type="dxa"/>
            <w:vAlign w:val="bottom"/>
            <w:tcBorders>
              <w:top w:val="single" w:sz="8" w:color="auto"/>
            </w:tcBorders>
          </w:tcPr>
          <w:p>
            <w:pPr>
              <w:jc w:val="right"/>
              <w:ind w:right="168"/>
              <w:spacing w:after="0" w:line="149" w:lineRule="exact"/>
              <w:rPr>
                <w:sz w:val="20"/>
                <w:szCs w:val="20"/>
                <w:color w:val="auto"/>
              </w:rPr>
            </w:pPr>
            <w:r>
              <w:rPr>
                <w:rFonts w:ascii="Arial" w:cs="Arial" w:eastAsia="Arial" w:hAnsi="Arial"/>
                <w:sz w:val="14"/>
                <w:szCs w:val="14"/>
                <w:b w:val="1"/>
                <w:bCs w:val="1"/>
                <w:color w:val="auto"/>
              </w:rPr>
              <w:t>%</w:t>
            </w:r>
          </w:p>
        </w:tc>
        <w:tc>
          <w:tcPr>
            <w:tcW w:w="26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3"/>
          </w:tcPr>
          <w:p>
            <w:pPr>
              <w:ind w:left="180"/>
              <w:spacing w:after="0" w:line="149" w:lineRule="exact"/>
              <w:rPr>
                <w:sz w:val="20"/>
                <w:szCs w:val="20"/>
                <w:color w:val="auto"/>
              </w:rPr>
            </w:pPr>
            <w:r>
              <w:rPr>
                <w:rFonts w:ascii="Arial" w:cs="Arial" w:eastAsia="Arial" w:hAnsi="Arial"/>
                <w:sz w:val="14"/>
                <w:szCs w:val="14"/>
                <w:b w:val="1"/>
                <w:bCs w:val="1"/>
                <w:color w:val="auto"/>
              </w:rPr>
              <w:t>3Q09</w:t>
            </w:r>
          </w:p>
        </w:tc>
        <w:tc>
          <w:tcPr>
            <w:tcW w:w="420" w:type="dxa"/>
            <w:vAlign w:val="bottom"/>
            <w:tcBorders>
              <w:top w:val="single" w:sz="8" w:color="auto"/>
            </w:tcBorders>
          </w:tcPr>
          <w:p>
            <w:pPr>
              <w:jc w:val="right"/>
              <w:ind w:right="168"/>
              <w:spacing w:after="0" w:line="149" w:lineRule="exact"/>
              <w:rPr>
                <w:sz w:val="20"/>
                <w:szCs w:val="20"/>
                <w:color w:val="auto"/>
              </w:rPr>
            </w:pPr>
            <w:r>
              <w:rPr>
                <w:rFonts w:ascii="Arial" w:cs="Arial" w:eastAsia="Arial" w:hAnsi="Arial"/>
                <w:sz w:val="14"/>
                <w:szCs w:val="14"/>
                <w:b w:val="1"/>
                <w:bCs w:val="1"/>
                <w:color w:val="auto"/>
              </w:rPr>
              <w:t>%</w:t>
            </w:r>
          </w:p>
        </w:tc>
        <w:tc>
          <w:tcPr>
            <w:tcW w:w="2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rPr>
              <w:t>4Q08</w:t>
            </w:r>
          </w:p>
        </w:tc>
        <w:tc>
          <w:tcPr>
            <w:tcW w:w="660" w:type="dxa"/>
            <w:vAlign w:val="bottom"/>
            <w:tcBorders>
              <w:top w:val="single" w:sz="8" w:color="auto"/>
            </w:tcBorders>
          </w:tcPr>
          <w:p>
            <w:pPr>
              <w:jc w:val="right"/>
              <w:ind w:right="188"/>
              <w:spacing w:after="0" w:line="149"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900" w:type="dxa"/>
            <w:vAlign w:val="bottom"/>
            <w:tcBorders>
              <w:top w:val="single" w:sz="8" w:color="auto"/>
            </w:tcBorders>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93"/>
              </w:rPr>
              <w:t>4Q09/4Q08</w:t>
            </w:r>
          </w:p>
        </w:tc>
        <w:tc>
          <w:tcPr>
            <w:tcW w:w="740" w:type="dxa"/>
            <w:vAlign w:val="bottom"/>
            <w:tcBorders>
              <w:top w:val="single" w:sz="8" w:color="auto"/>
            </w:tcBorders>
            <w:gridSpan w:val="2"/>
          </w:tcPr>
          <w:p>
            <w:pPr>
              <w:jc w:val="right"/>
              <w:spacing w:after="0" w:line="149" w:lineRule="exact"/>
              <w:rPr>
                <w:sz w:val="20"/>
                <w:szCs w:val="20"/>
                <w:color w:val="auto"/>
              </w:rPr>
            </w:pPr>
            <w:r>
              <w:rPr>
                <w:rFonts w:ascii="Arial" w:cs="Arial" w:eastAsia="Arial" w:hAnsi="Arial"/>
                <w:sz w:val="14"/>
                <w:szCs w:val="14"/>
                <w:b w:val="1"/>
                <w:bCs w:val="1"/>
                <w:color w:val="auto"/>
                <w:w w:val="99"/>
              </w:rPr>
              <w:t>4Q09/3Q09</w:t>
            </w:r>
          </w:p>
        </w:tc>
        <w:tc>
          <w:tcPr>
            <w:tcW w:w="260" w:type="dxa"/>
            <w:vAlign w:val="bottom"/>
          </w:tcPr>
          <w:p>
            <w:pPr>
              <w:spacing w:after="0"/>
              <w:rPr>
                <w:sz w:val="12"/>
                <w:szCs w:val="12"/>
                <w:color w:val="auto"/>
              </w:rPr>
            </w:pPr>
          </w:p>
        </w:tc>
        <w:tc>
          <w:tcPr>
            <w:tcW w:w="660" w:type="dxa"/>
            <w:vAlign w:val="bottom"/>
            <w:tcBorders>
              <w:top w:val="single" w:sz="8" w:color="auto"/>
            </w:tcBorders>
          </w:tcPr>
          <w:p>
            <w:pPr>
              <w:jc w:val="right"/>
              <w:ind w:right="108"/>
              <w:spacing w:after="0" w:line="149" w:lineRule="exact"/>
              <w:rPr>
                <w:sz w:val="20"/>
                <w:szCs w:val="20"/>
                <w:color w:val="auto"/>
              </w:rPr>
            </w:pPr>
            <w:r>
              <w:rPr>
                <w:rFonts w:ascii="Arial" w:cs="Arial" w:eastAsia="Arial" w:hAnsi="Arial"/>
                <w:sz w:val="14"/>
                <w:szCs w:val="14"/>
                <w:b w:val="1"/>
                <w:bCs w:val="1"/>
                <w:color w:val="auto"/>
              </w:rPr>
              <w:t>2009</w:t>
            </w:r>
          </w:p>
        </w:tc>
        <w:tc>
          <w:tcPr>
            <w:tcW w:w="2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28"/>
              <w:spacing w:after="0" w:line="149" w:lineRule="exact"/>
              <w:rPr>
                <w:sz w:val="20"/>
                <w:szCs w:val="20"/>
                <w:color w:val="auto"/>
              </w:rPr>
            </w:pPr>
            <w:r>
              <w:rPr>
                <w:rFonts w:ascii="Arial" w:cs="Arial" w:eastAsia="Arial" w:hAnsi="Arial"/>
                <w:sz w:val="14"/>
                <w:szCs w:val="14"/>
                <w:b w:val="1"/>
                <w:bCs w:val="1"/>
                <w:color w:val="auto"/>
              </w:rPr>
              <w:t>2008</w:t>
            </w:r>
          </w:p>
        </w:tc>
        <w:tc>
          <w:tcPr>
            <w:tcW w:w="220" w:type="dxa"/>
            <w:vAlign w:val="bottom"/>
          </w:tcPr>
          <w:p>
            <w:pPr>
              <w:spacing w:after="0"/>
              <w:rPr>
                <w:sz w:val="12"/>
                <w:szCs w:val="12"/>
                <w:color w:val="auto"/>
              </w:rPr>
            </w:pPr>
          </w:p>
        </w:tc>
        <w:tc>
          <w:tcPr>
            <w:tcW w:w="680" w:type="dxa"/>
            <w:vAlign w:val="bottom"/>
            <w:tcBorders>
              <w:top w:val="single" w:sz="8" w:color="auto"/>
            </w:tcBorders>
          </w:tcPr>
          <w:p>
            <w:pPr>
              <w:ind w:left="20"/>
              <w:spacing w:after="0" w:line="149" w:lineRule="exact"/>
              <w:rPr>
                <w:sz w:val="20"/>
                <w:szCs w:val="20"/>
                <w:color w:val="auto"/>
              </w:rPr>
            </w:pPr>
            <w:r>
              <w:rPr>
                <w:rFonts w:ascii="Arial" w:cs="Arial" w:eastAsia="Arial" w:hAnsi="Arial"/>
                <w:sz w:val="14"/>
                <w:szCs w:val="14"/>
                <w:b w:val="1"/>
                <w:bCs w:val="1"/>
                <w:color w:val="auto"/>
                <w:w w:val="96"/>
              </w:rPr>
              <w:t>2009/2008</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5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152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Marketing</w:t>
            </w:r>
          </w:p>
        </w:tc>
        <w:tc>
          <w:tcPr>
            <w:tcW w:w="80" w:type="dxa"/>
            <w:vAlign w:val="bottom"/>
            <w:shd w:val="clear" w:color="auto" w:fill="CCFFCC"/>
          </w:tcPr>
          <w:p>
            <w:pPr>
              <w:spacing w:after="0"/>
              <w:rPr>
                <w:sz w:val="12"/>
                <w:szCs w:val="12"/>
                <w:color w:val="auto"/>
              </w:rPr>
            </w:pPr>
          </w:p>
        </w:tc>
        <w:tc>
          <w:tcPr>
            <w:tcW w:w="84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8,351</w:t>
            </w:r>
          </w:p>
        </w:tc>
        <w:tc>
          <w:tcPr>
            <w:tcW w:w="88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143.7%</w:t>
            </w:r>
          </w:p>
        </w:tc>
        <w:tc>
          <w:tcPr>
            <w:tcW w:w="8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7,197</w:t>
            </w:r>
          </w:p>
        </w:tc>
        <w:tc>
          <w:tcPr>
            <w:tcW w:w="220" w:type="dxa"/>
            <w:vAlign w:val="bottom"/>
            <w:shd w:val="clear" w:color="auto" w:fill="CCFFCC"/>
          </w:tcPr>
          <w:p>
            <w:pPr>
              <w:spacing w:after="0"/>
              <w:rPr>
                <w:sz w:val="12"/>
                <w:szCs w:val="12"/>
                <w:color w:val="auto"/>
              </w:rPr>
            </w:pPr>
          </w:p>
        </w:tc>
        <w:tc>
          <w:tcPr>
            <w:tcW w:w="68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121.2%</w:t>
            </w:r>
          </w:p>
        </w:tc>
        <w:tc>
          <w:tcPr>
            <w:tcW w:w="8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14,765</w:t>
            </w:r>
          </w:p>
        </w:tc>
        <w:tc>
          <w:tcPr>
            <w:tcW w:w="9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287.9%</w:t>
            </w:r>
          </w:p>
        </w:tc>
        <w:tc>
          <w:tcPr>
            <w:tcW w:w="900" w:type="dxa"/>
            <w:vAlign w:val="bottom"/>
            <w:gridSpan w:val="2"/>
            <w:shd w:val="clear" w:color="auto" w:fill="CCFFCC"/>
          </w:tcPr>
          <w:p>
            <w:pPr>
              <w:jc w:val="right"/>
              <w:ind w:right="80"/>
              <w:spacing w:after="0" w:line="149" w:lineRule="exact"/>
              <w:rPr>
                <w:sz w:val="20"/>
                <w:szCs w:val="20"/>
                <w:color w:val="auto"/>
              </w:rPr>
            </w:pPr>
            <w:r>
              <w:rPr>
                <w:rFonts w:ascii="Arial" w:cs="Arial" w:eastAsia="Arial" w:hAnsi="Arial"/>
                <w:sz w:val="14"/>
                <w:szCs w:val="14"/>
                <w:color w:val="auto"/>
              </w:rPr>
              <w:t>-43.4%</w:t>
            </w:r>
          </w:p>
        </w:tc>
        <w:tc>
          <w:tcPr>
            <w:tcW w:w="1000" w:type="dxa"/>
            <w:vAlign w:val="bottom"/>
            <w:gridSpan w:val="3"/>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16.0%</w:t>
            </w:r>
          </w:p>
        </w:tc>
        <w:tc>
          <w:tcPr>
            <w:tcW w:w="8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30,472</w:t>
            </w:r>
          </w:p>
        </w:tc>
        <w:tc>
          <w:tcPr>
            <w:tcW w:w="9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32,740</w:t>
            </w:r>
          </w:p>
        </w:tc>
        <w:tc>
          <w:tcPr>
            <w:tcW w:w="82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20" w:type="dxa"/>
            <w:vAlign w:val="bottom"/>
          </w:tcPr>
          <w:p>
            <w:pPr>
              <w:spacing w:after="0" w:line="149" w:lineRule="exact"/>
              <w:rPr>
                <w:sz w:val="20"/>
                <w:szCs w:val="20"/>
                <w:color w:val="auto"/>
              </w:rPr>
            </w:pPr>
            <w:r>
              <w:rPr>
                <w:rFonts w:ascii="Arial" w:cs="Arial" w:eastAsia="Arial" w:hAnsi="Arial"/>
                <w:sz w:val="14"/>
                <w:szCs w:val="14"/>
                <w:color w:val="auto"/>
              </w:rPr>
              <w:t>Systems</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11,152</w:t>
            </w:r>
          </w:p>
        </w:tc>
        <w:tc>
          <w:tcPr>
            <w:tcW w:w="200" w:type="dxa"/>
            <w:vAlign w:val="bottom"/>
          </w:tcPr>
          <w:p>
            <w:pPr>
              <w:spacing w:after="0"/>
              <w:rPr>
                <w:sz w:val="12"/>
                <w:szCs w:val="12"/>
                <w:color w:val="auto"/>
              </w:rPr>
            </w:pP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191.8%</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7,463</w:t>
            </w:r>
          </w:p>
        </w:tc>
        <w:tc>
          <w:tcPr>
            <w:tcW w:w="220" w:type="dxa"/>
            <w:vAlign w:val="bottom"/>
          </w:tcPr>
          <w:p>
            <w:pPr>
              <w:spacing w:after="0"/>
              <w:rPr>
                <w:sz w:val="12"/>
                <w:szCs w:val="12"/>
                <w:color w:val="auto"/>
              </w:rPr>
            </w:pP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125.7%</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9,749</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190.1%</w:t>
            </w: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14.4%</w:t>
            </w:r>
          </w:p>
        </w:tc>
        <w:tc>
          <w:tcPr>
            <w:tcW w:w="100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49.4%</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34,563</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25,201</w:t>
            </w:r>
          </w:p>
        </w:tc>
        <w:tc>
          <w:tcPr>
            <w:tcW w:w="8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2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Transport</w:t>
            </w:r>
          </w:p>
        </w:tc>
        <w:tc>
          <w:tcPr>
            <w:tcW w:w="920" w:type="dxa"/>
            <w:vAlign w:val="bottom"/>
            <w:gridSpan w:val="3"/>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7,344</w:t>
            </w:r>
          </w:p>
        </w:tc>
        <w:tc>
          <w:tcPr>
            <w:tcW w:w="88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126.3%</w:t>
            </w:r>
          </w:p>
        </w:tc>
        <w:tc>
          <w:tcPr>
            <w:tcW w:w="8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5,448</w:t>
            </w:r>
          </w:p>
        </w:tc>
        <w:tc>
          <w:tcPr>
            <w:tcW w:w="220" w:type="dxa"/>
            <w:vAlign w:val="bottom"/>
            <w:shd w:val="clear" w:color="auto" w:fill="CCFFCC"/>
          </w:tcPr>
          <w:p>
            <w:pPr>
              <w:spacing w:after="0"/>
              <w:rPr>
                <w:sz w:val="12"/>
                <w:szCs w:val="12"/>
                <w:color w:val="auto"/>
              </w:rPr>
            </w:pPr>
          </w:p>
        </w:tc>
        <w:tc>
          <w:tcPr>
            <w:tcW w:w="68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91.8%</w:t>
            </w:r>
          </w:p>
        </w:tc>
        <w:tc>
          <w:tcPr>
            <w:tcW w:w="8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5,476</w:t>
            </w:r>
          </w:p>
        </w:tc>
        <w:tc>
          <w:tcPr>
            <w:tcW w:w="9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106.8%</w:t>
            </w:r>
          </w:p>
        </w:tc>
        <w:tc>
          <w:tcPr>
            <w:tcW w:w="900" w:type="dxa"/>
            <w:vAlign w:val="bottom"/>
            <w:gridSpan w:val="2"/>
            <w:shd w:val="clear" w:color="auto" w:fill="CCFFCC"/>
          </w:tcPr>
          <w:p>
            <w:pPr>
              <w:jc w:val="right"/>
              <w:ind w:right="80"/>
              <w:spacing w:after="0" w:line="149" w:lineRule="exact"/>
              <w:rPr>
                <w:sz w:val="20"/>
                <w:szCs w:val="20"/>
                <w:color w:val="auto"/>
              </w:rPr>
            </w:pPr>
            <w:r>
              <w:rPr>
                <w:rFonts w:ascii="Arial" w:cs="Arial" w:eastAsia="Arial" w:hAnsi="Arial"/>
                <w:sz w:val="14"/>
                <w:szCs w:val="14"/>
                <w:color w:val="auto"/>
              </w:rPr>
              <w:t>34.1%</w:t>
            </w:r>
          </w:p>
        </w:tc>
        <w:tc>
          <w:tcPr>
            <w:tcW w:w="1000" w:type="dxa"/>
            <w:vAlign w:val="bottom"/>
            <w:gridSpan w:val="3"/>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34.8%</w:t>
            </w:r>
          </w:p>
        </w:tc>
        <w:tc>
          <w:tcPr>
            <w:tcW w:w="8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21,996</w:t>
            </w:r>
          </w:p>
        </w:tc>
        <w:tc>
          <w:tcPr>
            <w:tcW w:w="9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20,189</w:t>
            </w:r>
          </w:p>
        </w:tc>
        <w:tc>
          <w:tcPr>
            <w:tcW w:w="82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9.0%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20" w:type="dxa"/>
            <w:vAlign w:val="bottom"/>
          </w:tcPr>
          <w:p>
            <w:pPr>
              <w:spacing w:after="0" w:line="149" w:lineRule="exact"/>
              <w:rPr>
                <w:sz w:val="20"/>
                <w:szCs w:val="20"/>
                <w:color w:val="auto"/>
              </w:rPr>
            </w:pPr>
            <w:r>
              <w:rPr>
                <w:rFonts w:ascii="Arial" w:cs="Arial" w:eastAsia="Arial" w:hAnsi="Arial"/>
                <w:sz w:val="14"/>
                <w:szCs w:val="14"/>
                <w:color w:val="auto"/>
              </w:rPr>
              <w:t>Maintenance</w:t>
            </w:r>
          </w:p>
        </w:tc>
        <w:tc>
          <w:tcPr>
            <w:tcW w:w="92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6,342</w:t>
            </w: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109.1%</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3,052</w:t>
            </w:r>
          </w:p>
        </w:tc>
        <w:tc>
          <w:tcPr>
            <w:tcW w:w="220" w:type="dxa"/>
            <w:vAlign w:val="bottom"/>
          </w:tcPr>
          <w:p>
            <w:pPr>
              <w:spacing w:after="0"/>
              <w:rPr>
                <w:sz w:val="12"/>
                <w:szCs w:val="12"/>
                <w:color w:val="auto"/>
              </w:rPr>
            </w:pP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51.4%</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3,415</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66.6%</w:t>
            </w: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85.7%</w:t>
            </w:r>
          </w:p>
        </w:tc>
        <w:tc>
          <w:tcPr>
            <w:tcW w:w="100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107.8%</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13,767</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10,922</w:t>
            </w:r>
          </w:p>
        </w:tc>
        <w:tc>
          <w:tcPr>
            <w:tcW w:w="8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26.0%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2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Communications</w:t>
            </w:r>
          </w:p>
        </w:tc>
        <w:tc>
          <w:tcPr>
            <w:tcW w:w="920" w:type="dxa"/>
            <w:vAlign w:val="bottom"/>
            <w:gridSpan w:val="3"/>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3,575</w:t>
            </w:r>
          </w:p>
        </w:tc>
        <w:tc>
          <w:tcPr>
            <w:tcW w:w="88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61.5%</w:t>
            </w:r>
          </w:p>
        </w:tc>
        <w:tc>
          <w:tcPr>
            <w:tcW w:w="8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3,312</w:t>
            </w:r>
          </w:p>
        </w:tc>
        <w:tc>
          <w:tcPr>
            <w:tcW w:w="220" w:type="dxa"/>
            <w:vAlign w:val="bottom"/>
            <w:shd w:val="clear" w:color="auto" w:fill="CCFFCC"/>
          </w:tcPr>
          <w:p>
            <w:pPr>
              <w:spacing w:after="0"/>
              <w:rPr>
                <w:sz w:val="12"/>
                <w:szCs w:val="12"/>
                <w:color w:val="auto"/>
              </w:rPr>
            </w:pPr>
          </w:p>
        </w:tc>
        <w:tc>
          <w:tcPr>
            <w:tcW w:w="68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55.8%</w:t>
            </w:r>
          </w:p>
        </w:tc>
        <w:tc>
          <w:tcPr>
            <w:tcW w:w="8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3,139</w:t>
            </w:r>
          </w:p>
        </w:tc>
        <w:tc>
          <w:tcPr>
            <w:tcW w:w="9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61.2%</w:t>
            </w:r>
          </w:p>
        </w:tc>
        <w:tc>
          <w:tcPr>
            <w:tcW w:w="900" w:type="dxa"/>
            <w:vAlign w:val="bottom"/>
            <w:gridSpan w:val="2"/>
            <w:shd w:val="clear" w:color="auto" w:fill="CCFFCC"/>
          </w:tcPr>
          <w:p>
            <w:pPr>
              <w:jc w:val="right"/>
              <w:ind w:right="80"/>
              <w:spacing w:after="0" w:line="149" w:lineRule="exact"/>
              <w:rPr>
                <w:sz w:val="20"/>
                <w:szCs w:val="20"/>
                <w:color w:val="auto"/>
              </w:rPr>
            </w:pPr>
            <w:r>
              <w:rPr>
                <w:rFonts w:ascii="Arial" w:cs="Arial" w:eastAsia="Arial" w:hAnsi="Arial"/>
                <w:sz w:val="14"/>
                <w:szCs w:val="14"/>
                <w:color w:val="auto"/>
              </w:rPr>
              <w:t>13.9%</w:t>
            </w:r>
          </w:p>
        </w:tc>
        <w:tc>
          <w:tcPr>
            <w:tcW w:w="1000" w:type="dxa"/>
            <w:vAlign w:val="bottom"/>
            <w:gridSpan w:val="3"/>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7.9%</w:t>
            </w:r>
          </w:p>
        </w:tc>
        <w:tc>
          <w:tcPr>
            <w:tcW w:w="8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13,022</w:t>
            </w:r>
          </w:p>
        </w:tc>
        <w:tc>
          <w:tcPr>
            <w:tcW w:w="9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10,851</w:t>
            </w:r>
          </w:p>
        </w:tc>
        <w:tc>
          <w:tcPr>
            <w:tcW w:w="82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20.0%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20" w:type="dxa"/>
            <w:vAlign w:val="bottom"/>
          </w:tcPr>
          <w:p>
            <w:pPr>
              <w:spacing w:after="0" w:line="149" w:lineRule="exact"/>
              <w:rPr>
                <w:sz w:val="20"/>
                <w:szCs w:val="20"/>
                <w:color w:val="auto"/>
              </w:rPr>
            </w:pPr>
            <w:r>
              <w:rPr>
                <w:rFonts w:ascii="Arial" w:cs="Arial" w:eastAsia="Arial" w:hAnsi="Arial"/>
                <w:sz w:val="14"/>
                <w:szCs w:val="14"/>
                <w:color w:val="auto"/>
              </w:rPr>
              <w:t>Consulting</w:t>
            </w:r>
          </w:p>
        </w:tc>
        <w:tc>
          <w:tcPr>
            <w:tcW w:w="92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5,272</w:t>
            </w: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90.7%</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6,500</w:t>
            </w:r>
          </w:p>
        </w:tc>
        <w:tc>
          <w:tcPr>
            <w:tcW w:w="220" w:type="dxa"/>
            <w:vAlign w:val="bottom"/>
          </w:tcPr>
          <w:p>
            <w:pPr>
              <w:spacing w:after="0"/>
              <w:rPr>
                <w:sz w:val="12"/>
                <w:szCs w:val="12"/>
                <w:color w:val="auto"/>
              </w:rPr>
            </w:pP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109.5%</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5,172</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100.8%</w:t>
            </w: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1.9%</w:t>
            </w:r>
          </w:p>
        </w:tc>
        <w:tc>
          <w:tcPr>
            <w:tcW w:w="100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-18.9%</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21,030</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13,033</w:t>
            </w:r>
          </w:p>
        </w:tc>
        <w:tc>
          <w:tcPr>
            <w:tcW w:w="8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61.4%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2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Others</w:t>
            </w:r>
          </w:p>
        </w:tc>
        <w:tc>
          <w:tcPr>
            <w:tcW w:w="920" w:type="dxa"/>
            <w:vAlign w:val="bottom"/>
            <w:gridSpan w:val="3"/>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21,458</w:t>
            </w:r>
          </w:p>
        </w:tc>
        <w:tc>
          <w:tcPr>
            <w:tcW w:w="88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369.1%</w:t>
            </w:r>
          </w:p>
        </w:tc>
        <w:tc>
          <w:tcPr>
            <w:tcW w:w="8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18,210</w:t>
            </w:r>
          </w:p>
        </w:tc>
        <w:tc>
          <w:tcPr>
            <w:tcW w:w="220" w:type="dxa"/>
            <w:vAlign w:val="bottom"/>
            <w:shd w:val="clear" w:color="auto" w:fill="CCFFCC"/>
          </w:tcPr>
          <w:p>
            <w:pPr>
              <w:spacing w:after="0"/>
              <w:rPr>
                <w:sz w:val="12"/>
                <w:szCs w:val="12"/>
                <w:color w:val="auto"/>
              </w:rPr>
            </w:pPr>
          </w:p>
        </w:tc>
        <w:tc>
          <w:tcPr>
            <w:tcW w:w="68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306.7%</w:t>
            </w:r>
          </w:p>
        </w:tc>
        <w:tc>
          <w:tcPr>
            <w:tcW w:w="8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20,794</w:t>
            </w:r>
          </w:p>
        </w:tc>
        <w:tc>
          <w:tcPr>
            <w:tcW w:w="9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405.4%</w:t>
            </w:r>
          </w:p>
        </w:tc>
        <w:tc>
          <w:tcPr>
            <w:tcW w:w="900" w:type="dxa"/>
            <w:vAlign w:val="bottom"/>
            <w:gridSpan w:val="2"/>
            <w:shd w:val="clear" w:color="auto" w:fill="CCFFCC"/>
          </w:tcPr>
          <w:p>
            <w:pPr>
              <w:jc w:val="right"/>
              <w:ind w:right="80"/>
              <w:spacing w:after="0" w:line="149" w:lineRule="exact"/>
              <w:rPr>
                <w:sz w:val="20"/>
                <w:szCs w:val="20"/>
                <w:color w:val="auto"/>
              </w:rPr>
            </w:pPr>
            <w:r>
              <w:rPr>
                <w:rFonts w:ascii="Arial" w:cs="Arial" w:eastAsia="Arial" w:hAnsi="Arial"/>
                <w:sz w:val="14"/>
                <w:szCs w:val="14"/>
                <w:color w:val="auto"/>
              </w:rPr>
              <w:t>3.2%</w:t>
            </w:r>
          </w:p>
        </w:tc>
        <w:tc>
          <w:tcPr>
            <w:tcW w:w="1000" w:type="dxa"/>
            <w:vAlign w:val="bottom"/>
            <w:gridSpan w:val="3"/>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17.8%</w:t>
            </w:r>
          </w:p>
        </w:tc>
        <w:tc>
          <w:tcPr>
            <w:tcW w:w="8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77,873</w:t>
            </w:r>
          </w:p>
        </w:tc>
        <w:tc>
          <w:tcPr>
            <w:tcW w:w="9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67,208</w:t>
            </w:r>
          </w:p>
        </w:tc>
        <w:tc>
          <w:tcPr>
            <w:tcW w:w="82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15.9%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20" w:type="dxa"/>
            <w:vAlign w:val="bottom"/>
          </w:tcPr>
          <w:p>
            <w:pPr>
              <w:spacing w:after="0" w:line="149" w:lineRule="exact"/>
              <w:rPr>
                <w:sz w:val="20"/>
                <w:szCs w:val="20"/>
                <w:color w:val="auto"/>
              </w:rPr>
            </w:pPr>
            <w:r>
              <w:rPr>
                <w:rFonts w:ascii="Arial" w:cs="Arial" w:eastAsia="Arial" w:hAnsi="Arial"/>
                <w:sz w:val="14"/>
                <w:szCs w:val="14"/>
                <w:color w:val="auto"/>
              </w:rPr>
              <w:t>Taxes and contributions</w:t>
            </w:r>
          </w:p>
        </w:tc>
        <w:tc>
          <w:tcPr>
            <w:tcW w:w="92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5,813</w:t>
            </w: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100.0%</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5,937</w:t>
            </w:r>
          </w:p>
        </w:tc>
        <w:tc>
          <w:tcPr>
            <w:tcW w:w="220" w:type="dxa"/>
            <w:vAlign w:val="bottom"/>
          </w:tcPr>
          <w:p>
            <w:pPr>
              <w:spacing w:after="0"/>
              <w:rPr>
                <w:sz w:val="12"/>
                <w:szCs w:val="12"/>
                <w:color w:val="auto"/>
              </w:rPr>
            </w:pP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100.0%</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5,129</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100.0%</w:t>
            </w: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13.3%</w:t>
            </w:r>
          </w:p>
        </w:tc>
        <w:tc>
          <w:tcPr>
            <w:tcW w:w="100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-2.1%</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23,877</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20,782</w:t>
            </w:r>
          </w:p>
        </w:tc>
        <w:tc>
          <w:tcPr>
            <w:tcW w:w="8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14.9%</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520" w:type="dxa"/>
            <w:vAlign w:val="bottom"/>
            <w:shd w:val="clear" w:color="auto" w:fill="CCFFCC"/>
          </w:tcPr>
          <w:p>
            <w:pPr>
              <w:spacing w:after="0" w:line="130" w:lineRule="exact"/>
              <w:rPr>
                <w:sz w:val="20"/>
                <w:szCs w:val="20"/>
                <w:color w:val="auto"/>
              </w:rPr>
            </w:pPr>
            <w:r>
              <w:rPr>
                <w:rFonts w:ascii="Arial" w:cs="Arial" w:eastAsia="Arial" w:hAnsi="Arial"/>
                <w:sz w:val="14"/>
                <w:szCs w:val="14"/>
                <w:color w:val="auto"/>
              </w:rPr>
              <w:t>Other subsidiaries and</w:t>
            </w:r>
          </w:p>
        </w:tc>
        <w:tc>
          <w:tcPr>
            <w:tcW w:w="8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62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42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70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40" w:type="dxa"/>
            <w:vAlign w:val="bottom"/>
            <w:shd w:val="clear" w:color="auto" w:fill="CCFFCC"/>
          </w:tcPr>
          <w:p>
            <w:pPr>
              <w:spacing w:after="0"/>
              <w:rPr>
                <w:sz w:val="11"/>
                <w:szCs w:val="11"/>
                <w:color w:val="auto"/>
              </w:rPr>
            </w:pPr>
          </w:p>
        </w:tc>
        <w:tc>
          <w:tcPr>
            <w:tcW w:w="70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520" w:type="dxa"/>
            <w:vAlign w:val="bottom"/>
            <w:shd w:val="clear" w:color="auto" w:fill="CCFFCC"/>
          </w:tcPr>
          <w:p>
            <w:pPr>
              <w:spacing w:after="0"/>
              <w:rPr>
                <w:sz w:val="20"/>
                <w:szCs w:val="20"/>
                <w:color w:val="auto"/>
              </w:rPr>
            </w:pPr>
            <w:r>
              <w:rPr>
                <w:rFonts w:ascii="Arial" w:cs="Arial" w:eastAsia="Arial" w:hAnsi="Arial"/>
                <w:sz w:val="14"/>
                <w:szCs w:val="14"/>
                <w:color w:val="auto"/>
              </w:rPr>
              <w:t>eliminations, net</w:t>
            </w:r>
          </w:p>
        </w:tc>
        <w:tc>
          <w:tcPr>
            <w:tcW w:w="920" w:type="dxa"/>
            <w:vAlign w:val="bottom"/>
            <w:gridSpan w:val="3"/>
            <w:shd w:val="clear" w:color="auto" w:fill="CCFFCC"/>
          </w:tcPr>
          <w:p>
            <w:pPr>
              <w:jc w:val="right"/>
              <w:ind w:right="200"/>
              <w:spacing w:after="0"/>
              <w:rPr>
                <w:sz w:val="20"/>
                <w:szCs w:val="20"/>
                <w:color w:val="auto"/>
              </w:rPr>
            </w:pPr>
            <w:r>
              <w:rPr>
                <w:rFonts w:ascii="Arial" w:cs="Arial" w:eastAsia="Arial" w:hAnsi="Arial"/>
                <w:sz w:val="14"/>
                <w:szCs w:val="14"/>
                <w:color w:val="auto"/>
              </w:rPr>
              <w:t>10,315</w:t>
            </w:r>
          </w:p>
        </w:tc>
        <w:tc>
          <w:tcPr>
            <w:tcW w:w="88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177.4%</w:t>
            </w:r>
          </w:p>
        </w:tc>
        <w:tc>
          <w:tcPr>
            <w:tcW w:w="88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2,150</w:t>
            </w:r>
          </w:p>
        </w:tc>
        <w:tc>
          <w:tcPr>
            <w:tcW w:w="220" w:type="dxa"/>
            <w:vAlign w:val="bottom"/>
            <w:shd w:val="clear" w:color="auto" w:fill="CCFFCC"/>
          </w:tcPr>
          <w:p>
            <w:pPr>
              <w:spacing w:after="0"/>
              <w:rPr>
                <w:sz w:val="14"/>
                <w:szCs w:val="14"/>
                <w:color w:val="auto"/>
              </w:rPr>
            </w:pPr>
          </w:p>
        </w:tc>
        <w:tc>
          <w:tcPr>
            <w:tcW w:w="68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36.2%</w:t>
            </w:r>
          </w:p>
        </w:tc>
        <w:tc>
          <w:tcPr>
            <w:tcW w:w="88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6,768</w:t>
            </w:r>
          </w:p>
        </w:tc>
        <w:tc>
          <w:tcPr>
            <w:tcW w:w="92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132.0%</w:t>
            </w:r>
          </w:p>
        </w:tc>
        <w:tc>
          <w:tcPr>
            <w:tcW w:w="900" w:type="dxa"/>
            <w:vAlign w:val="bottom"/>
            <w:gridSpan w:val="2"/>
            <w:shd w:val="clear" w:color="auto" w:fill="CCFFCC"/>
          </w:tcPr>
          <w:p>
            <w:pPr>
              <w:jc w:val="right"/>
              <w:ind w:right="80"/>
              <w:spacing w:after="0"/>
              <w:rPr>
                <w:sz w:val="20"/>
                <w:szCs w:val="20"/>
                <w:color w:val="auto"/>
              </w:rPr>
            </w:pPr>
            <w:r>
              <w:rPr>
                <w:rFonts w:ascii="Arial" w:cs="Arial" w:eastAsia="Arial" w:hAnsi="Arial"/>
                <w:sz w:val="14"/>
                <w:szCs w:val="14"/>
                <w:color w:val="auto"/>
              </w:rPr>
              <w:t>52.4%</w:t>
            </w:r>
          </w:p>
        </w:tc>
        <w:tc>
          <w:tcPr>
            <w:tcW w:w="1000" w:type="dxa"/>
            <w:vAlign w:val="bottom"/>
            <w:gridSpan w:val="3"/>
            <w:shd w:val="clear" w:color="auto" w:fill="CCFFCC"/>
          </w:tcPr>
          <w:p>
            <w:pPr>
              <w:jc w:val="right"/>
              <w:ind w:right="140"/>
              <w:spacing w:after="0"/>
              <w:rPr>
                <w:sz w:val="20"/>
                <w:szCs w:val="20"/>
                <w:color w:val="auto"/>
              </w:rPr>
            </w:pPr>
            <w:r>
              <w:rPr>
                <w:rFonts w:ascii="Arial" w:cs="Arial" w:eastAsia="Arial" w:hAnsi="Arial"/>
                <w:sz w:val="14"/>
                <w:szCs w:val="14"/>
                <w:color w:val="auto"/>
              </w:rPr>
              <w:t>379.8%</w:t>
            </w:r>
          </w:p>
        </w:tc>
        <w:tc>
          <w:tcPr>
            <w:tcW w:w="88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29,762</w:t>
            </w:r>
          </w:p>
        </w:tc>
        <w:tc>
          <w:tcPr>
            <w:tcW w:w="90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25,984</w:t>
            </w:r>
          </w:p>
        </w:tc>
        <w:tc>
          <w:tcPr>
            <w:tcW w:w="820" w:type="dxa"/>
            <w:vAlign w:val="bottom"/>
            <w:gridSpan w:val="2"/>
            <w:shd w:val="clear" w:color="auto" w:fill="CCFFCC"/>
          </w:tcPr>
          <w:p>
            <w:pPr>
              <w:jc w:val="right"/>
              <w:ind w:right="20"/>
              <w:spacing w:after="0"/>
              <w:rPr>
                <w:sz w:val="20"/>
                <w:szCs w:val="20"/>
                <w:color w:val="auto"/>
              </w:rPr>
            </w:pPr>
            <w:r>
              <w:rPr>
                <w:rFonts w:ascii="Arial" w:cs="Arial" w:eastAsia="Arial" w:hAnsi="Arial"/>
                <w:sz w:val="14"/>
                <w:szCs w:val="14"/>
                <w:color w:val="auto"/>
              </w:rPr>
              <w:t>14.5%</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520" w:type="dxa"/>
            <w:vAlign w:val="bottom"/>
          </w:tcPr>
          <w:p>
            <w:pPr>
              <w:spacing w:after="0" w:line="126" w:lineRule="exact"/>
              <w:rPr>
                <w:sz w:val="20"/>
                <w:szCs w:val="20"/>
                <w:color w:val="auto"/>
              </w:rPr>
            </w:pPr>
            <w:r>
              <w:rPr>
                <w:rFonts w:ascii="Arial" w:cs="Arial" w:eastAsia="Arial" w:hAnsi="Arial"/>
                <w:sz w:val="14"/>
                <w:szCs w:val="14"/>
                <w:b w:val="1"/>
                <w:bCs w:val="1"/>
                <w:color w:val="auto"/>
              </w:rPr>
              <w:t>Total Gastos</w:t>
            </w:r>
          </w:p>
        </w:tc>
        <w:tc>
          <w:tcPr>
            <w:tcW w:w="920" w:type="dxa"/>
            <w:vAlign w:val="bottom"/>
            <w:gridSpan w:val="3"/>
            <w:vMerge w:val="restart"/>
          </w:tcPr>
          <w:p>
            <w:pPr>
              <w:jc w:val="right"/>
              <w:ind w:right="200"/>
              <w:spacing w:after="0"/>
              <w:rPr>
                <w:sz w:val="20"/>
                <w:szCs w:val="20"/>
                <w:color w:val="auto"/>
              </w:rPr>
            </w:pPr>
            <w:r>
              <w:rPr>
                <w:rFonts w:ascii="Arial" w:cs="Arial" w:eastAsia="Arial" w:hAnsi="Arial"/>
                <w:sz w:val="14"/>
                <w:szCs w:val="14"/>
                <w:b w:val="1"/>
                <w:bCs w:val="1"/>
                <w:color w:val="auto"/>
              </w:rPr>
              <w:t>79,622</w:t>
            </w:r>
          </w:p>
        </w:tc>
        <w:tc>
          <w:tcPr>
            <w:tcW w:w="88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1369.7%</w:t>
            </w: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59,269</w:t>
            </w:r>
          </w:p>
        </w:tc>
        <w:tc>
          <w:tcPr>
            <w:tcW w:w="220" w:type="dxa"/>
            <w:vAlign w:val="bottom"/>
          </w:tcPr>
          <w:p>
            <w:pPr>
              <w:spacing w:after="0"/>
              <w:rPr>
                <w:sz w:val="10"/>
                <w:szCs w:val="10"/>
                <w:color w:val="auto"/>
              </w:rPr>
            </w:pPr>
          </w:p>
        </w:tc>
        <w:tc>
          <w:tcPr>
            <w:tcW w:w="68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998.3%</w:t>
            </w: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74,407</w:t>
            </w:r>
          </w:p>
        </w:tc>
        <w:tc>
          <w:tcPr>
            <w:tcW w:w="92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1450.8%</w:t>
            </w:r>
          </w:p>
        </w:tc>
        <w:tc>
          <w:tcPr>
            <w:tcW w:w="900" w:type="dxa"/>
            <w:vAlign w:val="bottom"/>
            <w:gridSpan w:val="2"/>
            <w:vMerge w:val="restart"/>
          </w:tcPr>
          <w:p>
            <w:pPr>
              <w:jc w:val="right"/>
              <w:ind w:right="60"/>
              <w:spacing w:after="0"/>
              <w:rPr>
                <w:sz w:val="20"/>
                <w:szCs w:val="20"/>
                <w:color w:val="auto"/>
              </w:rPr>
            </w:pPr>
            <w:r>
              <w:rPr>
                <w:rFonts w:ascii="Arial" w:cs="Arial" w:eastAsia="Arial" w:hAnsi="Arial"/>
                <w:sz w:val="14"/>
                <w:szCs w:val="14"/>
                <w:b w:val="1"/>
                <w:bCs w:val="1"/>
                <w:color w:val="auto"/>
              </w:rPr>
              <w:t>7.0%</w:t>
            </w:r>
          </w:p>
        </w:tc>
        <w:tc>
          <w:tcPr>
            <w:tcW w:w="1000" w:type="dxa"/>
            <w:vAlign w:val="bottom"/>
            <w:gridSpan w:val="3"/>
            <w:vMerge w:val="restart"/>
          </w:tcPr>
          <w:p>
            <w:pPr>
              <w:jc w:val="right"/>
              <w:ind w:right="120"/>
              <w:spacing w:after="0"/>
              <w:rPr>
                <w:sz w:val="20"/>
                <w:szCs w:val="20"/>
                <w:color w:val="auto"/>
              </w:rPr>
            </w:pPr>
            <w:r>
              <w:rPr>
                <w:rFonts w:ascii="Arial" w:cs="Arial" w:eastAsia="Arial" w:hAnsi="Arial"/>
                <w:sz w:val="14"/>
                <w:szCs w:val="14"/>
                <w:b w:val="1"/>
                <w:bCs w:val="1"/>
                <w:color w:val="auto"/>
              </w:rPr>
              <w:t>34.3%</w:t>
            </w: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266,362</w:t>
            </w:r>
          </w:p>
        </w:tc>
        <w:tc>
          <w:tcPr>
            <w:tcW w:w="90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226,910</w:t>
            </w:r>
          </w:p>
        </w:tc>
        <w:tc>
          <w:tcPr>
            <w:tcW w:w="8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17.4%</w:t>
            </w:r>
          </w:p>
        </w:tc>
        <w:tc>
          <w:tcPr>
            <w:tcW w:w="0" w:type="dxa"/>
            <w:vAlign w:val="bottom"/>
          </w:tcPr>
          <w:p>
            <w:pPr>
              <w:spacing w:after="0"/>
              <w:rPr>
                <w:sz w:val="1"/>
                <w:szCs w:val="1"/>
                <w:color w:val="auto"/>
              </w:rPr>
            </w:pPr>
          </w:p>
        </w:tc>
      </w:tr>
      <w:tr>
        <w:trPr>
          <w:trHeight w:val="186"/>
        </w:trPr>
        <w:tc>
          <w:tcPr>
            <w:tcW w:w="1540" w:type="dxa"/>
            <w:vAlign w:val="bottom"/>
            <w:gridSpan w:val="2"/>
          </w:tcPr>
          <w:p>
            <w:pPr>
              <w:spacing w:after="0"/>
              <w:rPr>
                <w:sz w:val="20"/>
                <w:szCs w:val="20"/>
                <w:color w:val="auto"/>
              </w:rPr>
            </w:pPr>
            <w:r>
              <w:rPr>
                <w:rFonts w:ascii="Arial" w:cs="Arial" w:eastAsia="Arial" w:hAnsi="Arial"/>
                <w:sz w:val="14"/>
                <w:szCs w:val="14"/>
                <w:b w:val="1"/>
                <w:bCs w:val="1"/>
                <w:color w:val="auto"/>
              </w:rPr>
              <w:t>Administrativos</w:t>
            </w:r>
          </w:p>
        </w:tc>
        <w:tc>
          <w:tcPr>
            <w:tcW w:w="920" w:type="dxa"/>
            <w:vAlign w:val="bottom"/>
            <w:gridSpan w:val="3"/>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000" w:type="dxa"/>
            <w:vAlign w:val="bottom"/>
            <w:gridSpan w:val="3"/>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II.7 Shareholders’ Equity and Regulatory Capital</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At the end of 4Q09, regulatory capital increased 8.6% QoQ. This is primarily attributable to hybrid bond issuances for US$ 250 million. In this scenario, and despite a significant increase in risk-weighted assets, the ratio of regulatory capital reached 14.52% in 4Q09. This also represented an improvement over 3Q09’s results.</w:t>
      </w:r>
    </w:p>
    <w:p>
      <w:pPr>
        <w:spacing w:after="0" w:line="35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07" w:right="239" w:bottom="1440" w:gutter="0" w:footer="0" w:header="0"/>
        </w:sectPr>
      </w:pPr>
    </w:p>
    <w:bookmarkStart w:id="19" w:name="page20"/>
    <w:bookmarkEnd w:id="19"/>
    <w:tbl>
      <w:tblPr>
        <w:tblLayout w:type="fixed"/>
        <w:tblInd w:w="460" w:type="dxa"/>
        <w:tblCellMar>
          <w:top w:w="0" w:type="dxa"/>
          <w:left w:w="0" w:type="dxa"/>
          <w:bottom w:w="0" w:type="dxa"/>
          <w:right w:w="0" w:type="dxa"/>
        </w:tblCellMar>
      </w:tblPr>
      <w:tr>
        <w:trPr>
          <w:trHeight w:val="241"/>
        </w:trPr>
        <w:tc>
          <w:tcPr>
            <w:tcW w:w="3960" w:type="dxa"/>
            <w:vAlign w:val="bottom"/>
            <w:gridSpan w:val="2"/>
          </w:tcPr>
          <w:p>
            <w:pPr>
              <w:spacing w:after="0"/>
              <w:rPr>
                <w:sz w:val="20"/>
                <w:szCs w:val="20"/>
                <w:color w:val="auto"/>
              </w:rPr>
            </w:pPr>
            <w:r>
              <w:rPr>
                <w:rFonts w:ascii="Arial" w:cs="Arial" w:eastAsia="Arial" w:hAnsi="Arial"/>
                <w:sz w:val="18"/>
                <w:szCs w:val="18"/>
                <w:b w:val="1"/>
                <w:bCs w:val="1"/>
                <w:color w:val="auto"/>
              </w:rPr>
              <w:t>Shareholders' equity</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Quarter</w:t>
            </w: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520" w:type="dxa"/>
            <w:vAlign w:val="bottom"/>
            <w:gridSpan w:val="4"/>
          </w:tcPr>
          <w:p>
            <w:pPr>
              <w:jc w:val="right"/>
              <w:ind w:right="940"/>
              <w:spacing w:after="0"/>
              <w:rPr>
                <w:sz w:val="20"/>
                <w:szCs w:val="20"/>
                <w:color w:val="auto"/>
              </w:rPr>
            </w:pPr>
            <w:r>
              <w:rPr>
                <w:rFonts w:ascii="Arial" w:cs="Arial" w:eastAsia="Arial" w:hAnsi="Arial"/>
                <w:sz w:val="18"/>
                <w:szCs w:val="18"/>
                <w:b w:val="1"/>
                <w:bCs w:val="1"/>
                <w:color w:val="auto"/>
              </w:rPr>
              <w:t>Change %</w:t>
            </w:r>
          </w:p>
        </w:tc>
        <w:tc>
          <w:tcPr>
            <w:tcW w:w="0" w:type="dxa"/>
            <w:vAlign w:val="bottom"/>
          </w:tcPr>
          <w:p>
            <w:pPr>
              <w:spacing w:after="0"/>
              <w:rPr>
                <w:sz w:val="1"/>
                <w:szCs w:val="1"/>
                <w:color w:val="auto"/>
              </w:rPr>
            </w:pPr>
          </w:p>
        </w:tc>
      </w:tr>
      <w:tr>
        <w:trPr>
          <w:trHeight w:val="216"/>
        </w:trPr>
        <w:tc>
          <w:tcPr>
            <w:tcW w:w="39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US$ 000</w:t>
            </w:r>
          </w:p>
        </w:tc>
        <w:tc>
          <w:tcPr>
            <w:tcW w:w="100" w:type="dxa"/>
            <w:vAlign w:val="bottom"/>
          </w:tcPr>
          <w:p>
            <w:pPr>
              <w:spacing w:after="0"/>
              <w:rPr>
                <w:sz w:val="18"/>
                <w:szCs w:val="18"/>
                <w:color w:val="auto"/>
              </w:rPr>
            </w:pPr>
          </w:p>
        </w:tc>
        <w:tc>
          <w:tcPr>
            <w:tcW w:w="1300" w:type="dxa"/>
            <w:vAlign w:val="bottom"/>
            <w:tcBorders>
              <w:top w:val="single" w:sz="8" w:color="auto"/>
            </w:tcBorders>
            <w:gridSpan w:val="2"/>
          </w:tcPr>
          <w:p>
            <w:pPr>
              <w:jc w:val="right"/>
              <w:ind w:right="540"/>
              <w:spacing w:after="0"/>
              <w:rPr>
                <w:sz w:val="20"/>
                <w:szCs w:val="20"/>
                <w:color w:val="auto"/>
              </w:rPr>
            </w:pPr>
            <w:r>
              <w:rPr>
                <w:rFonts w:ascii="Arial" w:cs="Arial" w:eastAsia="Arial" w:hAnsi="Arial"/>
                <w:sz w:val="18"/>
                <w:szCs w:val="18"/>
                <w:b w:val="1"/>
                <w:bCs w:val="1"/>
                <w:color w:val="auto"/>
              </w:rPr>
              <w:t>4Q09</w:t>
            </w:r>
          </w:p>
        </w:tc>
        <w:tc>
          <w:tcPr>
            <w:tcW w:w="1300" w:type="dxa"/>
            <w:vAlign w:val="bottom"/>
            <w:tcBorders>
              <w:top w:val="single" w:sz="8" w:color="auto"/>
            </w:tcBorders>
            <w:gridSpan w:val="2"/>
          </w:tcPr>
          <w:p>
            <w:pPr>
              <w:jc w:val="right"/>
              <w:ind w:right="540"/>
              <w:spacing w:after="0"/>
              <w:rPr>
                <w:sz w:val="20"/>
                <w:szCs w:val="20"/>
                <w:color w:val="auto"/>
              </w:rPr>
            </w:pPr>
            <w:r>
              <w:rPr>
                <w:rFonts w:ascii="Arial" w:cs="Arial" w:eastAsia="Arial" w:hAnsi="Arial"/>
                <w:sz w:val="18"/>
                <w:szCs w:val="18"/>
                <w:b w:val="1"/>
                <w:bCs w:val="1"/>
                <w:color w:val="auto"/>
              </w:rPr>
              <w:t>3Q09</w:t>
            </w:r>
          </w:p>
        </w:tc>
        <w:tc>
          <w:tcPr>
            <w:tcW w:w="104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4Q08</w:t>
            </w:r>
          </w:p>
        </w:tc>
        <w:tc>
          <w:tcPr>
            <w:tcW w:w="280" w:type="dxa"/>
            <w:vAlign w:val="bottom"/>
          </w:tcPr>
          <w:p>
            <w:pPr>
              <w:spacing w:after="0"/>
              <w:rPr>
                <w:sz w:val="18"/>
                <w:szCs w:val="18"/>
                <w:color w:val="auto"/>
              </w:rPr>
            </w:pPr>
          </w:p>
        </w:tc>
        <w:tc>
          <w:tcPr>
            <w:tcW w:w="1300" w:type="dxa"/>
            <w:vAlign w:val="bottom"/>
            <w:tcBorders>
              <w:top w:val="single" w:sz="8" w:color="auto"/>
            </w:tcBorders>
            <w:gridSpan w:val="2"/>
          </w:tcPr>
          <w:p>
            <w:pPr>
              <w:jc w:val="right"/>
              <w:ind w:right="300"/>
              <w:spacing w:after="0"/>
              <w:rPr>
                <w:sz w:val="20"/>
                <w:szCs w:val="20"/>
                <w:color w:val="auto"/>
              </w:rPr>
            </w:pPr>
            <w:r>
              <w:rPr>
                <w:rFonts w:ascii="Arial" w:cs="Arial" w:eastAsia="Arial" w:hAnsi="Arial"/>
                <w:sz w:val="18"/>
                <w:szCs w:val="18"/>
                <w:b w:val="1"/>
                <w:bCs w:val="1"/>
                <w:color w:val="auto"/>
              </w:rPr>
              <w:t>4Q09/4Q08</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4Q09/3Q09</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shd w:val="clear" w:color="auto" w:fill="CCFFCC"/>
          </w:tcPr>
          <w:p>
            <w:pPr>
              <w:spacing w:after="0"/>
              <w:rPr>
                <w:sz w:val="20"/>
                <w:szCs w:val="20"/>
                <w:color w:val="auto"/>
              </w:rPr>
            </w:pPr>
            <w:r>
              <w:rPr>
                <w:rFonts w:ascii="Arial" w:cs="Arial" w:eastAsia="Arial" w:hAnsi="Arial"/>
                <w:sz w:val="18"/>
                <w:szCs w:val="18"/>
                <w:color w:val="auto"/>
              </w:rPr>
              <w:t>Capital stock</w:t>
            </w:r>
          </w:p>
        </w:tc>
        <w:tc>
          <w:tcPr>
            <w:tcW w:w="100" w:type="dxa"/>
            <w:vAlign w:val="bottom"/>
            <w:shd w:val="clear" w:color="auto" w:fill="CCFFCC"/>
          </w:tcPr>
          <w:p>
            <w:pPr>
              <w:spacing w:after="0"/>
              <w:rPr>
                <w:sz w:val="18"/>
                <w:szCs w:val="18"/>
                <w:color w:val="auto"/>
              </w:rPr>
            </w:pP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667,250</w:t>
            </w:r>
          </w:p>
        </w:tc>
        <w:tc>
          <w:tcPr>
            <w:tcW w:w="28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667,250</w:t>
            </w:r>
          </w:p>
        </w:tc>
        <w:tc>
          <w:tcPr>
            <w:tcW w:w="132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439,474</w:t>
            </w:r>
          </w:p>
        </w:tc>
        <w:tc>
          <w:tcPr>
            <w:tcW w:w="13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51.8%</w:t>
            </w:r>
          </w:p>
        </w:tc>
        <w:tc>
          <w:tcPr>
            <w:tcW w:w="12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Reserves</w:t>
            </w:r>
          </w:p>
        </w:tc>
        <w:tc>
          <w:tcPr>
            <w:tcW w:w="1400" w:type="dxa"/>
            <w:vAlign w:val="bottom"/>
            <w:gridSpan w:val="3"/>
          </w:tcPr>
          <w:p>
            <w:pPr>
              <w:jc w:val="right"/>
              <w:ind w:right="280"/>
              <w:spacing w:after="0"/>
              <w:rPr>
                <w:sz w:val="20"/>
                <w:szCs w:val="20"/>
                <w:color w:val="auto"/>
              </w:rPr>
            </w:pPr>
            <w:r>
              <w:rPr>
                <w:rFonts w:ascii="Arial" w:cs="Arial" w:eastAsia="Arial" w:hAnsi="Arial"/>
                <w:sz w:val="18"/>
                <w:szCs w:val="18"/>
                <w:color w:val="auto"/>
              </w:rPr>
              <w:t>388,275</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388,275</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388,062</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0.1%</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FFCC"/>
          </w:tcPr>
          <w:p>
            <w:pPr>
              <w:spacing w:after="0"/>
              <w:rPr>
                <w:sz w:val="20"/>
                <w:szCs w:val="20"/>
                <w:color w:val="auto"/>
              </w:rPr>
            </w:pPr>
            <w:r>
              <w:rPr>
                <w:rFonts w:ascii="Arial" w:cs="Arial" w:eastAsia="Arial" w:hAnsi="Arial"/>
                <w:sz w:val="18"/>
                <w:szCs w:val="18"/>
                <w:color w:val="auto"/>
              </w:rPr>
              <w:t>Unrealized Gains and Losses</w:t>
            </w:r>
          </w:p>
        </w:tc>
        <w:tc>
          <w:tcPr>
            <w:tcW w:w="1400" w:type="dxa"/>
            <w:vAlign w:val="bottom"/>
            <w:gridSpan w:val="3"/>
            <w:shd w:val="clear" w:color="auto" w:fill="CCFFCC"/>
          </w:tcPr>
          <w:p>
            <w:pPr>
              <w:jc w:val="right"/>
              <w:ind w:right="280"/>
              <w:spacing w:after="0"/>
              <w:rPr>
                <w:sz w:val="20"/>
                <w:szCs w:val="20"/>
                <w:color w:val="auto"/>
              </w:rPr>
            </w:pPr>
            <w:r>
              <w:rPr>
                <w:rFonts w:ascii="Arial" w:cs="Arial" w:eastAsia="Arial" w:hAnsi="Arial"/>
                <w:sz w:val="18"/>
                <w:szCs w:val="18"/>
                <w:color w:val="auto"/>
              </w:rPr>
              <w:t>106,708</w:t>
            </w:r>
          </w:p>
        </w:tc>
        <w:tc>
          <w:tcPr>
            <w:tcW w:w="130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94,797</w:t>
            </w:r>
          </w:p>
        </w:tc>
        <w:tc>
          <w:tcPr>
            <w:tcW w:w="132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34,746</w:t>
            </w:r>
          </w:p>
        </w:tc>
        <w:tc>
          <w:tcPr>
            <w:tcW w:w="13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207.1%</w:t>
            </w:r>
          </w:p>
        </w:tc>
        <w:tc>
          <w:tcPr>
            <w:tcW w:w="12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Retained Earnings</w:t>
            </w:r>
          </w:p>
        </w:tc>
        <w:tc>
          <w:tcPr>
            <w:tcW w:w="1400" w:type="dxa"/>
            <w:vAlign w:val="bottom"/>
            <w:gridSpan w:val="3"/>
          </w:tcPr>
          <w:p>
            <w:pPr>
              <w:jc w:val="right"/>
              <w:ind w:right="280"/>
              <w:spacing w:after="0"/>
              <w:rPr>
                <w:sz w:val="20"/>
                <w:szCs w:val="20"/>
                <w:color w:val="auto"/>
              </w:rPr>
            </w:pPr>
            <w:r>
              <w:rPr>
                <w:rFonts w:ascii="Arial" w:cs="Arial" w:eastAsia="Arial" w:hAnsi="Arial"/>
                <w:sz w:val="18"/>
                <w:szCs w:val="18"/>
                <w:color w:val="auto"/>
              </w:rPr>
              <w:t>115,922</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115,922</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114,593</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1.2%</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FFCC"/>
          </w:tcPr>
          <w:p>
            <w:pPr>
              <w:spacing w:after="0"/>
              <w:rPr>
                <w:sz w:val="20"/>
                <w:szCs w:val="20"/>
                <w:color w:val="auto"/>
              </w:rPr>
            </w:pPr>
            <w:r>
              <w:rPr>
                <w:rFonts w:ascii="Arial" w:cs="Arial" w:eastAsia="Arial" w:hAnsi="Arial"/>
                <w:sz w:val="18"/>
                <w:szCs w:val="18"/>
                <w:color w:val="auto"/>
              </w:rPr>
              <w:t>Income for the year</w:t>
            </w:r>
          </w:p>
        </w:tc>
        <w:tc>
          <w:tcPr>
            <w:tcW w:w="100" w:type="dxa"/>
            <w:vAlign w:val="bottom"/>
            <w:shd w:val="clear" w:color="auto" w:fill="CCFFCC"/>
          </w:tcPr>
          <w:p>
            <w:pPr>
              <w:spacing w:after="0"/>
              <w:rPr>
                <w:sz w:val="18"/>
                <w:szCs w:val="18"/>
                <w:color w:val="auto"/>
              </w:rPr>
            </w:pP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397,378</w:t>
            </w:r>
          </w:p>
        </w:tc>
        <w:tc>
          <w:tcPr>
            <w:tcW w:w="28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289,980</w:t>
            </w:r>
          </w:p>
        </w:tc>
        <w:tc>
          <w:tcPr>
            <w:tcW w:w="132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423,529</w:t>
            </w:r>
          </w:p>
        </w:tc>
        <w:tc>
          <w:tcPr>
            <w:tcW w:w="13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-6.2%</w:t>
            </w:r>
          </w:p>
        </w:tc>
        <w:tc>
          <w:tcPr>
            <w:tcW w:w="12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4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b w:val="1"/>
                <w:bCs w:val="1"/>
                <w:color w:val="auto"/>
              </w:rPr>
              <w:t>Total shareholders' equity</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1,675,533</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1,556,224</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1,400,404</w:t>
            </w:r>
          </w:p>
        </w:tc>
        <w:tc>
          <w:tcPr>
            <w:tcW w:w="28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19.6%</w:t>
            </w:r>
          </w:p>
        </w:tc>
        <w:tc>
          <w:tcPr>
            <w:tcW w:w="1220" w:type="dxa"/>
            <w:vAlign w:val="bottom"/>
            <w:gridSpan w:val="2"/>
          </w:tcPr>
          <w:p>
            <w:pPr>
              <w:jc w:val="right"/>
              <w:spacing w:after="0"/>
              <w:rPr>
                <w:sz w:val="20"/>
                <w:szCs w:val="20"/>
                <w:color w:val="auto"/>
              </w:rPr>
            </w:pPr>
            <w:r>
              <w:rPr>
                <w:rFonts w:ascii="Arial" w:cs="Arial" w:eastAsia="Arial" w:hAnsi="Arial"/>
                <w:sz w:val="18"/>
                <w:szCs w:val="18"/>
                <w:b w:val="1"/>
                <w:bCs w:val="1"/>
                <w:color w:val="auto"/>
              </w:rPr>
              <w:t>7.7%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shd w:val="clear" w:color="auto" w:fill="CCFFCC"/>
          </w:tcPr>
          <w:p>
            <w:pPr>
              <w:spacing w:after="0"/>
              <w:rPr>
                <w:sz w:val="20"/>
                <w:szCs w:val="20"/>
                <w:color w:val="auto"/>
              </w:rPr>
            </w:pPr>
            <w:r>
              <w:rPr>
                <w:rFonts w:ascii="Arial" w:cs="Arial" w:eastAsia="Arial" w:hAnsi="Arial"/>
                <w:sz w:val="18"/>
                <w:szCs w:val="18"/>
                <w:color w:val="auto"/>
              </w:rPr>
              <w:t>Return on average equity (ROAE)</w:t>
            </w:r>
          </w:p>
        </w:tc>
        <w:tc>
          <w:tcPr>
            <w:tcW w:w="10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26.59%</w:t>
            </w:r>
          </w:p>
        </w:tc>
        <w:tc>
          <w:tcPr>
            <w:tcW w:w="13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27.06%</w:t>
            </w:r>
          </w:p>
        </w:tc>
        <w:tc>
          <w:tcPr>
            <w:tcW w:w="13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25.48%</w:t>
            </w:r>
          </w:p>
        </w:tc>
        <w:tc>
          <w:tcPr>
            <w:tcW w:w="10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94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1020" w:type="dxa"/>
            <w:vAlign w:val="bottom"/>
            <w:shd w:val="clear" w:color="auto" w:fill="CCFFCC"/>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1040" w:type="dxa"/>
            <w:vAlign w:val="bottom"/>
            <w:shd w:val="clear" w:color="auto" w:fill="CCFFCC"/>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6254750</wp:posOffset>
            </wp:positionH>
            <wp:positionV relativeFrom="page">
              <wp:posOffset>337820</wp:posOffset>
            </wp:positionV>
            <wp:extent cx="1149350" cy="3175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clrChange>
                        <a:clrFrom>
                          <a:srgbClr val="FFFFFF"/>
                        </a:clrFrom>
                        <a:clrTo>
                          <a:srgbClr val="FFFFFF">
                            <a:alpha val="0"/>
                          </a:srgbClr>
                        </a:clrTo>
                      </a:clrChange>
                      <a:extLst>
                        <a:ext uri="{28A0092B-C50C-407E-A947-70E740481C1C}"/>
                      </a:extLst>
                    </a:blip>
                    <a:srcRect/>
                    <a:stretch>
                      <a:fillRect/>
                    </a:stretch>
                  </pic:blipFill>
                  <pic:spPr bwMode="auto">
                    <a:xfrm>
                      <a:off x="0" y="0"/>
                      <a:ext cx="1149350" cy="317500"/>
                    </a:xfrm>
                    <a:prstGeom prst="rect">
                      <a:avLst/>
                    </a:prstGeom>
                    <a:noFill/>
                  </pic:spPr>
                </pic:pic>
              </a:graphicData>
            </a:graphic>
          </wp:anchor>
        </w:drawing>
      </w:r>
    </w:p>
    <w:p>
      <w:pPr>
        <w:spacing w:after="0" w:line="277" w:lineRule="auto"/>
        <w:rPr>
          <w:sz w:val="20"/>
          <w:szCs w:val="20"/>
          <w:color w:val="auto"/>
        </w:rPr>
      </w:pPr>
      <w:r>
        <w:rPr>
          <w:rFonts w:ascii="Arial" w:cs="Arial" w:eastAsia="Arial" w:hAnsi="Arial"/>
          <w:sz w:val="18"/>
          <w:szCs w:val="18"/>
          <w:color w:val="auto"/>
        </w:rPr>
        <w:t>In annual terms, net shareholder’s equity grew 19.6% due to capitalization of earnings for 2008 as well as higher unrealized earnings that were generated by a recovery in the values of investment securities available for sale, which increased 207.1% with regard to last year.</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280" w:type="dxa"/>
            <w:vAlign w:val="bottom"/>
            <w:gridSpan w:val="2"/>
          </w:tcPr>
          <w:p>
            <w:pPr>
              <w:spacing w:after="0"/>
              <w:rPr>
                <w:sz w:val="20"/>
                <w:szCs w:val="20"/>
                <w:color w:val="auto"/>
              </w:rPr>
            </w:pPr>
            <w:r>
              <w:rPr>
                <w:rFonts w:ascii="Arial" w:cs="Arial" w:eastAsia="Arial" w:hAnsi="Arial"/>
                <w:sz w:val="18"/>
                <w:szCs w:val="18"/>
                <w:b w:val="1"/>
                <w:bCs w:val="1"/>
                <w:color w:val="auto"/>
              </w:rPr>
              <w:t>Regulatory Capital and Capital Adequancy Ratios</w:t>
            </w: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87"/>
              </w:rPr>
              <w:t>Balance as of</w:t>
            </w:r>
          </w:p>
        </w:tc>
        <w:tc>
          <w:tcPr>
            <w:tcW w:w="1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560" w:type="dxa"/>
            <w:vAlign w:val="bottom"/>
            <w:gridSpan w:val="4"/>
          </w:tcPr>
          <w:p>
            <w:pPr>
              <w:jc w:val="right"/>
              <w:ind w:right="960"/>
              <w:spacing w:after="0"/>
              <w:rPr>
                <w:sz w:val="20"/>
                <w:szCs w:val="20"/>
                <w:color w:val="auto"/>
              </w:rPr>
            </w:pPr>
            <w:r>
              <w:rPr>
                <w:rFonts w:ascii="Arial" w:cs="Arial" w:eastAsia="Arial" w:hAnsi="Arial"/>
                <w:sz w:val="18"/>
                <w:szCs w:val="18"/>
                <w:b w:val="1"/>
                <w:bCs w:val="1"/>
                <w:color w:val="auto"/>
              </w:rPr>
              <w:t>Change %</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2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tcBorders>
              <w:top w:val="single" w:sz="8" w:color="auto"/>
            </w:tcBorders>
            <w:gridSpan w:val="2"/>
          </w:tcPr>
          <w:p>
            <w:pPr>
              <w:jc w:val="right"/>
              <w:ind w:right="520"/>
              <w:spacing w:after="0" w:line="198" w:lineRule="exact"/>
              <w:rPr>
                <w:sz w:val="20"/>
                <w:szCs w:val="20"/>
                <w:color w:val="auto"/>
              </w:rPr>
            </w:pPr>
            <w:r>
              <w:rPr>
                <w:rFonts w:ascii="Arial" w:cs="Arial" w:eastAsia="Arial" w:hAnsi="Arial"/>
                <w:sz w:val="18"/>
                <w:szCs w:val="18"/>
                <w:b w:val="1"/>
                <w:bCs w:val="1"/>
                <w:color w:val="auto"/>
              </w:rPr>
              <w:t>Dec 09 /</w:t>
            </w:r>
          </w:p>
        </w:tc>
        <w:tc>
          <w:tcPr>
            <w:tcW w:w="1040" w:type="dxa"/>
            <w:vAlign w:val="bottom"/>
            <w:tcBorders>
              <w:top w:val="single" w:sz="8" w:color="auto"/>
            </w:tcBorders>
          </w:tcPr>
          <w:p>
            <w:pPr>
              <w:jc w:val="right"/>
              <w:ind w:right="130"/>
              <w:spacing w:after="0" w:line="198" w:lineRule="exact"/>
              <w:rPr>
                <w:sz w:val="20"/>
                <w:szCs w:val="20"/>
                <w:color w:val="auto"/>
              </w:rPr>
            </w:pPr>
            <w:r>
              <w:rPr>
                <w:rFonts w:ascii="Arial" w:cs="Arial" w:eastAsia="Arial" w:hAnsi="Arial"/>
                <w:sz w:val="18"/>
                <w:szCs w:val="18"/>
                <w:b w:val="1"/>
                <w:bCs w:val="1"/>
                <w:color w:val="auto"/>
              </w:rPr>
              <w:t>Dec 09 /</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280" w:type="dxa"/>
            <w:vAlign w:val="bottom"/>
            <w:gridSpan w:val="2"/>
          </w:tcPr>
          <w:p>
            <w:pPr>
              <w:spacing w:after="0"/>
              <w:rPr>
                <w:sz w:val="20"/>
                <w:szCs w:val="20"/>
                <w:color w:val="auto"/>
              </w:rPr>
            </w:pPr>
            <w:r>
              <w:rPr>
                <w:rFonts w:ascii="Arial" w:cs="Arial" w:eastAsia="Arial" w:hAnsi="Arial"/>
                <w:sz w:val="18"/>
                <w:szCs w:val="18"/>
                <w:color w:val="auto"/>
              </w:rPr>
              <w:t>US$ (000)</w:t>
            </w:r>
          </w:p>
        </w:tc>
        <w:tc>
          <w:tcPr>
            <w:tcW w:w="100" w:type="dxa"/>
            <w:vAlign w:val="bottom"/>
          </w:tcPr>
          <w:p>
            <w:pPr>
              <w:spacing w:after="0"/>
              <w:rPr>
                <w:sz w:val="20"/>
                <w:szCs w:val="20"/>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Dec 09</w:t>
            </w:r>
          </w:p>
        </w:tc>
        <w:tc>
          <w:tcPr>
            <w:tcW w:w="134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Sep 09</w:t>
            </w:r>
          </w:p>
        </w:tc>
        <w:tc>
          <w:tcPr>
            <w:tcW w:w="134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Dec 08</w:t>
            </w:r>
          </w:p>
        </w:tc>
        <w:tc>
          <w:tcPr>
            <w:tcW w:w="134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Dec 08</w:t>
            </w:r>
          </w:p>
        </w:tc>
        <w:tc>
          <w:tcPr>
            <w:tcW w:w="12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Sep 09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shd w:val="clear" w:color="auto" w:fill="CCFFCC"/>
          </w:tcPr>
          <w:p>
            <w:pPr>
              <w:spacing w:after="0"/>
              <w:rPr>
                <w:sz w:val="20"/>
                <w:szCs w:val="20"/>
                <w:color w:val="auto"/>
              </w:rPr>
            </w:pPr>
            <w:r>
              <w:rPr>
                <w:rFonts w:ascii="Arial" w:cs="Arial" w:eastAsia="Arial" w:hAnsi="Arial"/>
                <w:sz w:val="18"/>
                <w:szCs w:val="18"/>
                <w:color w:val="auto"/>
              </w:rPr>
              <w:t>Capital stock, net</w:t>
            </w:r>
          </w:p>
        </w:tc>
        <w:tc>
          <w:tcPr>
            <w:tcW w:w="100" w:type="dxa"/>
            <w:vAlign w:val="bottom"/>
            <w:shd w:val="clear" w:color="auto" w:fill="CCFFCC"/>
          </w:tcPr>
          <w:p>
            <w:pPr>
              <w:spacing w:after="0"/>
              <w:rPr>
                <w:sz w:val="18"/>
                <w:szCs w:val="18"/>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771,034</w:t>
            </w:r>
          </w:p>
        </w:tc>
        <w:tc>
          <w:tcPr>
            <w:tcW w:w="26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772,638</w:t>
            </w:r>
          </w:p>
        </w:tc>
        <w:tc>
          <w:tcPr>
            <w:tcW w:w="134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480,346</w:t>
            </w:r>
          </w:p>
        </w:tc>
        <w:tc>
          <w:tcPr>
            <w:tcW w:w="13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60.5%</w:t>
            </w:r>
          </w:p>
        </w:tc>
        <w:tc>
          <w:tcPr>
            <w:tcW w:w="12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Legal and other capital reserves</w:t>
            </w:r>
          </w:p>
        </w:tc>
        <w:tc>
          <w:tcPr>
            <w:tcW w:w="1440" w:type="dxa"/>
            <w:vAlign w:val="bottom"/>
            <w:gridSpan w:val="3"/>
          </w:tcPr>
          <w:p>
            <w:pPr>
              <w:jc w:val="right"/>
              <w:ind w:right="260"/>
              <w:spacing w:after="0"/>
              <w:rPr>
                <w:sz w:val="20"/>
                <w:szCs w:val="20"/>
                <w:color w:val="auto"/>
              </w:rPr>
            </w:pPr>
            <w:r>
              <w:rPr>
                <w:rFonts w:ascii="Arial" w:cs="Arial" w:eastAsia="Arial" w:hAnsi="Arial"/>
                <w:sz w:val="18"/>
                <w:szCs w:val="18"/>
                <w:color w:val="auto"/>
              </w:rPr>
              <w:t>459,881</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460,838</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423,052</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8.7%</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FFCC"/>
          </w:tcPr>
          <w:p>
            <w:pPr>
              <w:spacing w:after="0"/>
              <w:rPr>
                <w:sz w:val="20"/>
                <w:szCs w:val="20"/>
                <w:color w:val="auto"/>
              </w:rPr>
            </w:pPr>
            <w:r>
              <w:rPr>
                <w:rFonts w:ascii="Arial" w:cs="Arial" w:eastAsia="Arial" w:hAnsi="Arial"/>
                <w:sz w:val="18"/>
                <w:szCs w:val="18"/>
                <w:color w:val="auto"/>
              </w:rPr>
              <w:t>Net income capitalized</w:t>
            </w:r>
          </w:p>
        </w:tc>
        <w:tc>
          <w:tcPr>
            <w:tcW w:w="1440" w:type="dxa"/>
            <w:vAlign w:val="bottom"/>
            <w:gridSpan w:val="3"/>
            <w:shd w:val="clear" w:color="auto" w:fill="CCFFCC"/>
          </w:tcPr>
          <w:p>
            <w:pPr>
              <w:jc w:val="right"/>
              <w:ind w:right="260"/>
              <w:spacing w:after="0"/>
              <w:rPr>
                <w:sz w:val="20"/>
                <w:szCs w:val="20"/>
                <w:color w:val="auto"/>
              </w:rPr>
            </w:pPr>
            <w:r>
              <w:rPr>
                <w:rFonts w:ascii="Arial" w:cs="Arial" w:eastAsia="Arial" w:hAnsi="Arial"/>
                <w:sz w:val="18"/>
                <w:szCs w:val="18"/>
                <w:color w:val="auto"/>
              </w:rPr>
              <w:t>113,997</w:t>
            </w:r>
          </w:p>
        </w:tc>
        <w:tc>
          <w:tcPr>
            <w:tcW w:w="134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114,234</w:t>
            </w:r>
          </w:p>
        </w:tc>
        <w:tc>
          <w:tcPr>
            <w:tcW w:w="134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229,299</w:t>
            </w:r>
          </w:p>
        </w:tc>
        <w:tc>
          <w:tcPr>
            <w:tcW w:w="13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-50.3%</w:t>
            </w:r>
          </w:p>
        </w:tc>
        <w:tc>
          <w:tcPr>
            <w:tcW w:w="12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Subsidiaries non capitalized net income</w:t>
            </w:r>
          </w:p>
        </w:tc>
        <w:tc>
          <w:tcPr>
            <w:tcW w:w="1440" w:type="dxa"/>
            <w:vAlign w:val="bottom"/>
            <w:gridSpan w:val="3"/>
          </w:tcPr>
          <w:p>
            <w:pPr>
              <w:jc w:val="right"/>
              <w:ind w:right="260"/>
              <w:spacing w:after="0"/>
              <w:rPr>
                <w:sz w:val="20"/>
                <w:szCs w:val="20"/>
                <w:color w:val="auto"/>
              </w:rPr>
            </w:pPr>
            <w:r>
              <w:rPr>
                <w:rFonts w:ascii="Arial" w:cs="Arial" w:eastAsia="Arial" w:hAnsi="Arial"/>
                <w:sz w:val="18"/>
                <w:szCs w:val="18"/>
                <w:color w:val="auto"/>
              </w:rPr>
              <w:t>67,188</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58,261</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n.a.</w:t>
            </w: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FFCC"/>
          </w:tcPr>
          <w:p>
            <w:pPr>
              <w:spacing w:after="0"/>
              <w:rPr>
                <w:sz w:val="20"/>
                <w:szCs w:val="20"/>
                <w:color w:val="auto"/>
              </w:rPr>
            </w:pPr>
            <w:r>
              <w:rPr>
                <w:rFonts w:ascii="Arial" w:cs="Arial" w:eastAsia="Arial" w:hAnsi="Arial"/>
                <w:sz w:val="18"/>
                <w:szCs w:val="18"/>
                <w:color w:val="auto"/>
              </w:rPr>
              <w:t>Investment in subsidiaries and others</w:t>
            </w:r>
          </w:p>
        </w:tc>
        <w:tc>
          <w:tcPr>
            <w:tcW w:w="1440" w:type="dxa"/>
            <w:vAlign w:val="bottom"/>
            <w:gridSpan w:val="3"/>
            <w:shd w:val="clear" w:color="auto" w:fill="CCFFCC"/>
          </w:tcPr>
          <w:p>
            <w:pPr>
              <w:jc w:val="right"/>
              <w:ind w:right="260"/>
              <w:spacing w:after="0"/>
              <w:rPr>
                <w:sz w:val="20"/>
                <w:szCs w:val="20"/>
                <w:color w:val="auto"/>
              </w:rPr>
            </w:pPr>
            <w:r>
              <w:rPr>
                <w:rFonts w:ascii="Arial" w:cs="Arial" w:eastAsia="Arial" w:hAnsi="Arial"/>
                <w:sz w:val="18"/>
                <w:szCs w:val="18"/>
                <w:color w:val="auto"/>
              </w:rPr>
              <w:t>293,507</w:t>
            </w:r>
          </w:p>
        </w:tc>
        <w:tc>
          <w:tcPr>
            <w:tcW w:w="134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233,172</w:t>
            </w:r>
          </w:p>
        </w:tc>
        <w:tc>
          <w:tcPr>
            <w:tcW w:w="134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209,393</w:t>
            </w:r>
          </w:p>
        </w:tc>
        <w:tc>
          <w:tcPr>
            <w:tcW w:w="13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40.2%</w:t>
            </w:r>
          </w:p>
        </w:tc>
        <w:tc>
          <w:tcPr>
            <w:tcW w:w="12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Goodwill</w:t>
            </w:r>
          </w:p>
        </w:tc>
        <w:tc>
          <w:tcPr>
            <w:tcW w:w="1440" w:type="dxa"/>
            <w:vAlign w:val="bottom"/>
            <w:gridSpan w:val="3"/>
          </w:tcPr>
          <w:p>
            <w:pPr>
              <w:jc w:val="right"/>
              <w:ind w:right="260"/>
              <w:spacing w:after="0"/>
              <w:rPr>
                <w:sz w:val="20"/>
                <w:szCs w:val="20"/>
                <w:color w:val="auto"/>
              </w:rPr>
            </w:pPr>
            <w:r>
              <w:rPr>
                <w:rFonts w:ascii="Arial" w:cs="Arial" w:eastAsia="Arial" w:hAnsi="Arial"/>
                <w:sz w:val="18"/>
                <w:szCs w:val="18"/>
                <w:color w:val="auto"/>
              </w:rPr>
              <w:t>54,933</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8,027</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584.3%</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FFCC"/>
          </w:tcPr>
          <w:p>
            <w:pPr>
              <w:spacing w:after="0"/>
              <w:rPr>
                <w:sz w:val="20"/>
                <w:szCs w:val="20"/>
                <w:color w:val="auto"/>
              </w:rPr>
            </w:pPr>
            <w:r>
              <w:rPr>
                <w:rFonts w:ascii="Arial" w:cs="Arial" w:eastAsia="Arial" w:hAnsi="Arial"/>
                <w:sz w:val="18"/>
                <w:szCs w:val="18"/>
                <w:color w:val="auto"/>
              </w:rPr>
              <w:t>Generic contingency loss reserves</w:t>
            </w:r>
          </w:p>
        </w:tc>
        <w:tc>
          <w:tcPr>
            <w:tcW w:w="1440" w:type="dxa"/>
            <w:vAlign w:val="bottom"/>
            <w:gridSpan w:val="3"/>
            <w:shd w:val="clear" w:color="auto" w:fill="CCFFCC"/>
          </w:tcPr>
          <w:p>
            <w:pPr>
              <w:jc w:val="right"/>
              <w:ind w:right="260"/>
              <w:spacing w:after="0"/>
              <w:rPr>
                <w:sz w:val="20"/>
                <w:szCs w:val="20"/>
                <w:color w:val="auto"/>
              </w:rPr>
            </w:pPr>
            <w:r>
              <w:rPr>
                <w:rFonts w:ascii="Arial" w:cs="Arial" w:eastAsia="Arial" w:hAnsi="Arial"/>
                <w:sz w:val="18"/>
                <w:szCs w:val="18"/>
                <w:color w:val="auto"/>
              </w:rPr>
              <w:t>148,355</w:t>
            </w:r>
          </w:p>
        </w:tc>
        <w:tc>
          <w:tcPr>
            <w:tcW w:w="134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133,804</w:t>
            </w:r>
          </w:p>
        </w:tc>
        <w:tc>
          <w:tcPr>
            <w:tcW w:w="134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109,207</w:t>
            </w:r>
          </w:p>
        </w:tc>
        <w:tc>
          <w:tcPr>
            <w:tcW w:w="13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35.8%</w:t>
            </w:r>
          </w:p>
        </w:tc>
        <w:tc>
          <w:tcPr>
            <w:tcW w:w="12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Subordinated debt</w:t>
            </w:r>
          </w:p>
        </w:tc>
        <w:tc>
          <w:tcPr>
            <w:tcW w:w="1440" w:type="dxa"/>
            <w:vAlign w:val="bottom"/>
            <w:gridSpan w:val="3"/>
          </w:tcPr>
          <w:p>
            <w:pPr>
              <w:jc w:val="right"/>
              <w:ind w:right="260"/>
              <w:spacing w:after="0"/>
              <w:rPr>
                <w:sz w:val="20"/>
                <w:szCs w:val="20"/>
                <w:color w:val="auto"/>
              </w:rPr>
            </w:pPr>
            <w:r>
              <w:rPr>
                <w:rFonts w:ascii="Arial" w:cs="Arial" w:eastAsia="Arial" w:hAnsi="Arial"/>
                <w:sz w:val="18"/>
                <w:szCs w:val="18"/>
                <w:color w:val="auto"/>
              </w:rPr>
              <w:t>436,724</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432,418</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278,688</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56.7%</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FFCC"/>
          </w:tcPr>
          <w:p>
            <w:pPr>
              <w:spacing w:after="0"/>
              <w:rPr>
                <w:sz w:val="20"/>
                <w:szCs w:val="20"/>
                <w:color w:val="auto"/>
              </w:rPr>
            </w:pPr>
            <w:r>
              <w:rPr>
                <w:rFonts w:ascii="Arial" w:cs="Arial" w:eastAsia="Arial" w:hAnsi="Arial"/>
                <w:sz w:val="18"/>
                <w:szCs w:val="18"/>
                <w:color w:val="auto"/>
              </w:rPr>
              <w:t>Perpetual subordinated debt</w:t>
            </w:r>
          </w:p>
        </w:tc>
        <w:tc>
          <w:tcPr>
            <w:tcW w:w="1440" w:type="dxa"/>
            <w:vAlign w:val="bottom"/>
            <w:gridSpan w:val="3"/>
            <w:shd w:val="clear" w:color="auto" w:fill="CCFFCC"/>
          </w:tcPr>
          <w:p>
            <w:pPr>
              <w:jc w:val="right"/>
              <w:ind w:right="260"/>
              <w:spacing w:after="0"/>
              <w:rPr>
                <w:sz w:val="20"/>
                <w:szCs w:val="20"/>
                <w:color w:val="auto"/>
              </w:rPr>
            </w:pPr>
            <w:r>
              <w:rPr>
                <w:rFonts w:ascii="Arial" w:cs="Arial" w:eastAsia="Arial" w:hAnsi="Arial"/>
                <w:sz w:val="18"/>
                <w:szCs w:val="18"/>
                <w:color w:val="auto"/>
              </w:rPr>
              <w:t>239,540</w:t>
            </w:r>
          </w:p>
        </w:tc>
        <w:tc>
          <w:tcPr>
            <w:tcW w:w="134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n.a.</w:t>
            </w:r>
          </w:p>
        </w:tc>
        <w:tc>
          <w:tcPr>
            <w:tcW w:w="134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n.a.</w:t>
            </w:r>
          </w:p>
        </w:tc>
        <w:tc>
          <w:tcPr>
            <w:tcW w:w="104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Unrealized profit (loss)</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n.a.</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n.a.</w:t>
            </w: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6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rPr>
              <w:t>Non realized acumulated losses (if it exceeds BCP</w:t>
            </w:r>
          </w:p>
        </w:tc>
        <w:tc>
          <w:tcPr>
            <w:tcW w:w="100" w:type="dxa"/>
            <w:vAlign w:val="bottom"/>
            <w:shd w:val="clear" w:color="auto" w:fill="CCFFCC"/>
          </w:tcPr>
          <w:p>
            <w:pPr>
              <w:spacing w:after="0"/>
              <w:rPr>
                <w:sz w:val="17"/>
                <w:szCs w:val="17"/>
                <w:color w:val="auto"/>
              </w:rPr>
            </w:pPr>
          </w:p>
        </w:tc>
        <w:tc>
          <w:tcPr>
            <w:tcW w:w="108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1060" w:type="dxa"/>
            <w:vAlign w:val="bottom"/>
            <w:shd w:val="clear" w:color="auto" w:fill="CCFFCC"/>
          </w:tcPr>
          <w:p>
            <w:pPr>
              <w:spacing w:after="0"/>
              <w:rPr>
                <w:sz w:val="17"/>
                <w:szCs w:val="17"/>
                <w:color w:val="auto"/>
              </w:rPr>
            </w:pPr>
          </w:p>
        </w:tc>
        <w:tc>
          <w:tcPr>
            <w:tcW w:w="280" w:type="dxa"/>
            <w:vAlign w:val="bottom"/>
            <w:shd w:val="clear" w:color="auto" w:fill="CCFFCC"/>
          </w:tcPr>
          <w:p>
            <w:pPr>
              <w:spacing w:after="0"/>
              <w:rPr>
                <w:sz w:val="17"/>
                <w:szCs w:val="17"/>
                <w:color w:val="auto"/>
              </w:rPr>
            </w:pPr>
          </w:p>
        </w:tc>
        <w:tc>
          <w:tcPr>
            <w:tcW w:w="1060" w:type="dxa"/>
            <w:vAlign w:val="bottom"/>
            <w:shd w:val="clear" w:color="auto" w:fill="CCFFCC"/>
          </w:tcPr>
          <w:p>
            <w:pPr>
              <w:spacing w:after="0"/>
              <w:rPr>
                <w:sz w:val="17"/>
                <w:szCs w:val="17"/>
                <w:color w:val="auto"/>
              </w:rPr>
            </w:pPr>
          </w:p>
        </w:tc>
        <w:tc>
          <w:tcPr>
            <w:tcW w:w="280" w:type="dxa"/>
            <w:vAlign w:val="bottom"/>
            <w:shd w:val="clear" w:color="auto" w:fill="CCFFCC"/>
          </w:tcPr>
          <w:p>
            <w:pPr>
              <w:spacing w:after="0"/>
              <w:rPr>
                <w:sz w:val="17"/>
                <w:szCs w:val="17"/>
                <w:color w:val="auto"/>
              </w:rPr>
            </w:pPr>
          </w:p>
        </w:tc>
        <w:tc>
          <w:tcPr>
            <w:tcW w:w="1040" w:type="dxa"/>
            <w:vAlign w:val="bottom"/>
            <w:shd w:val="clear" w:color="auto" w:fill="CCFFCC"/>
          </w:tcPr>
          <w:p>
            <w:pPr>
              <w:spacing w:after="0"/>
              <w:rPr>
                <w:sz w:val="17"/>
                <w:szCs w:val="17"/>
                <w:color w:val="auto"/>
              </w:rPr>
            </w:pPr>
          </w:p>
        </w:tc>
        <w:tc>
          <w:tcPr>
            <w:tcW w:w="300" w:type="dxa"/>
            <w:vAlign w:val="bottom"/>
            <w:shd w:val="clear" w:color="auto" w:fill="CCFFCC"/>
          </w:tcPr>
          <w:p>
            <w:pPr>
              <w:spacing w:after="0"/>
              <w:rPr>
                <w:sz w:val="17"/>
                <w:szCs w:val="17"/>
                <w:color w:val="auto"/>
              </w:rPr>
            </w:pPr>
          </w:p>
        </w:tc>
        <w:tc>
          <w:tcPr>
            <w:tcW w:w="104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60" w:type="dxa"/>
            <w:vAlign w:val="bottom"/>
            <w:shd w:val="clear" w:color="auto" w:fill="CCFFCC"/>
          </w:tcPr>
          <w:p>
            <w:pPr>
              <w:spacing w:after="0"/>
              <w:rPr>
                <w:sz w:val="20"/>
                <w:szCs w:val="20"/>
                <w:color w:val="auto"/>
              </w:rPr>
            </w:pPr>
            <w:r>
              <w:rPr>
                <w:rFonts w:ascii="Arial" w:cs="Arial" w:eastAsia="Arial" w:hAnsi="Arial"/>
                <w:sz w:val="18"/>
                <w:szCs w:val="18"/>
                <w:color w:val="auto"/>
              </w:rPr>
              <w:t>acumulated net income)</w:t>
            </w:r>
          </w:p>
        </w:tc>
        <w:tc>
          <w:tcPr>
            <w:tcW w:w="11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FFCC"/>
          </w:tcPr>
          <w:p>
            <w:pPr>
              <w:spacing w:after="0"/>
              <w:rPr>
                <w:sz w:val="20"/>
                <w:szCs w:val="20"/>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FFCC"/>
          </w:tcPr>
          <w:p>
            <w:pPr>
              <w:spacing w:after="0"/>
              <w:rPr>
                <w:sz w:val="20"/>
                <w:szCs w:val="20"/>
                <w:color w:val="auto"/>
              </w:rPr>
            </w:pPr>
          </w:p>
        </w:tc>
        <w:tc>
          <w:tcPr>
            <w:tcW w:w="134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n.a.</w:t>
            </w:r>
          </w:p>
        </w:tc>
        <w:tc>
          <w:tcPr>
            <w:tcW w:w="134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18"/>
                <w:szCs w:val="18"/>
                <w:b w:val="1"/>
                <w:bCs w:val="1"/>
                <w:color w:val="auto"/>
              </w:rPr>
              <w:t>Total Regulatory Capital</w:t>
            </w:r>
          </w:p>
        </w:tc>
        <w:tc>
          <w:tcPr>
            <w:tcW w:w="1180" w:type="dxa"/>
            <w:vAlign w:val="bottom"/>
            <w:gridSpan w:val="2"/>
          </w:tcPr>
          <w:p>
            <w:pPr>
              <w:jc w:val="right"/>
              <w:spacing w:after="0"/>
              <w:rPr>
                <w:sz w:val="20"/>
                <w:szCs w:val="20"/>
                <w:color w:val="auto"/>
              </w:rPr>
            </w:pPr>
            <w:r>
              <w:rPr>
                <w:rFonts w:ascii="Arial" w:cs="Arial" w:eastAsia="Arial" w:hAnsi="Arial"/>
                <w:sz w:val="18"/>
                <w:szCs w:val="18"/>
                <w:b w:val="1"/>
                <w:bCs w:val="1"/>
                <w:color w:val="auto"/>
              </w:rPr>
              <w:t>1,888,278</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1,739,021</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1,303,172</w:t>
            </w:r>
          </w:p>
        </w:tc>
        <w:tc>
          <w:tcPr>
            <w:tcW w:w="280" w:type="dxa"/>
            <w:vAlign w:val="bottom"/>
          </w:tcPr>
          <w:p>
            <w:pPr>
              <w:spacing w:after="0"/>
              <w:rPr>
                <w:sz w:val="19"/>
                <w:szCs w:val="19"/>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44.9%</w:t>
            </w:r>
          </w:p>
        </w:tc>
        <w:tc>
          <w:tcPr>
            <w:tcW w:w="1220" w:type="dxa"/>
            <w:vAlign w:val="bottom"/>
            <w:gridSpan w:val="2"/>
          </w:tcPr>
          <w:p>
            <w:pPr>
              <w:jc w:val="right"/>
              <w:spacing w:after="0"/>
              <w:rPr>
                <w:sz w:val="20"/>
                <w:szCs w:val="20"/>
                <w:color w:val="auto"/>
              </w:rPr>
            </w:pPr>
            <w:r>
              <w:rPr>
                <w:rFonts w:ascii="Arial" w:cs="Arial" w:eastAsia="Arial" w:hAnsi="Arial"/>
                <w:sz w:val="18"/>
                <w:szCs w:val="18"/>
                <w:b w:val="1"/>
                <w:bCs w:val="1"/>
                <w:color w:val="auto"/>
              </w:rPr>
              <w:t>8.6%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80" w:type="dxa"/>
            <w:vAlign w:val="bottom"/>
            <w:tcBorders>
              <w:top w:val="single" w:sz="8" w:color="auto"/>
            </w:tcBorders>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060" w:type="dxa"/>
            <w:vAlign w:val="bottom"/>
            <w:tcBorders>
              <w:top w:val="single" w:sz="8" w:color="auto"/>
            </w:tcBorders>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60" w:type="dxa"/>
            <w:vAlign w:val="bottom"/>
            <w:tcBorders>
              <w:top w:val="single" w:sz="8" w:color="auto"/>
            </w:tcBorders>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40" w:type="dxa"/>
            <w:vAlign w:val="bottom"/>
            <w:tcBorders>
              <w:top w:val="single" w:sz="8" w:color="auto"/>
            </w:tcBorders>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040" w:type="dxa"/>
            <w:vAlign w:val="bottom"/>
            <w:tcBorders>
              <w:top w:val="single" w:sz="8" w:color="auto"/>
            </w:tcBorders>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260" w:type="dxa"/>
            <w:vAlign w:val="bottom"/>
          </w:tcPr>
          <w:p>
            <w:pPr>
              <w:spacing w:after="0" w:line="229" w:lineRule="exact"/>
              <w:rPr>
                <w:sz w:val="20"/>
                <w:szCs w:val="20"/>
                <w:color w:val="auto"/>
              </w:rPr>
            </w:pPr>
            <w:r>
              <w:rPr>
                <w:rFonts w:ascii="Arial" w:cs="Arial" w:eastAsia="Arial" w:hAnsi="Arial"/>
                <w:sz w:val="18"/>
                <w:szCs w:val="18"/>
                <w:color w:val="auto"/>
              </w:rPr>
              <w:t xml:space="preserve">Tier 1 </w:t>
            </w:r>
            <w:r>
              <w:rPr>
                <w:rFonts w:ascii="Arial" w:cs="Arial" w:eastAsia="Arial" w:hAnsi="Arial"/>
                <w:sz w:val="25"/>
                <w:szCs w:val="25"/>
                <w:color w:val="auto"/>
                <w:vertAlign w:val="superscript"/>
              </w:rPr>
              <w:t>(1)</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1,449,953</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1,289,384</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1,019,974</w:t>
            </w:r>
          </w:p>
        </w:tc>
        <w:tc>
          <w:tcPr>
            <w:tcW w:w="28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42.2%</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60" w:type="dxa"/>
            <w:vAlign w:val="bottom"/>
            <w:shd w:val="clear" w:color="auto" w:fill="CCFFCC"/>
          </w:tcPr>
          <w:p>
            <w:pPr>
              <w:spacing w:after="0" w:line="229" w:lineRule="exact"/>
              <w:rPr>
                <w:sz w:val="20"/>
                <w:szCs w:val="20"/>
                <w:color w:val="auto"/>
              </w:rPr>
            </w:pPr>
            <w:r>
              <w:rPr>
                <w:rFonts w:ascii="Arial" w:cs="Arial" w:eastAsia="Arial" w:hAnsi="Arial"/>
                <w:sz w:val="18"/>
                <w:szCs w:val="18"/>
                <w:color w:val="auto"/>
              </w:rPr>
              <w:t xml:space="preserve">Tier 2 </w:t>
            </w:r>
            <w:r>
              <w:rPr>
                <w:rFonts w:ascii="Arial" w:cs="Arial" w:eastAsia="Arial" w:hAnsi="Arial"/>
                <w:sz w:val="25"/>
                <w:szCs w:val="25"/>
                <w:color w:val="auto"/>
                <w:vertAlign w:val="superscript"/>
              </w:rPr>
              <w:t>(2)</w:t>
            </w:r>
          </w:p>
        </w:tc>
        <w:tc>
          <w:tcPr>
            <w:tcW w:w="1440" w:type="dxa"/>
            <w:vAlign w:val="bottom"/>
            <w:gridSpan w:val="3"/>
            <w:shd w:val="clear" w:color="auto" w:fill="CCFFCC"/>
          </w:tcPr>
          <w:p>
            <w:pPr>
              <w:jc w:val="right"/>
              <w:ind w:right="260"/>
              <w:spacing w:after="0"/>
              <w:rPr>
                <w:sz w:val="20"/>
                <w:szCs w:val="20"/>
                <w:color w:val="auto"/>
              </w:rPr>
            </w:pPr>
            <w:r>
              <w:rPr>
                <w:rFonts w:ascii="Arial" w:cs="Arial" w:eastAsia="Arial" w:hAnsi="Arial"/>
                <w:sz w:val="18"/>
                <w:szCs w:val="18"/>
                <w:color w:val="auto"/>
              </w:rPr>
              <w:t>438,325</w:t>
            </w:r>
          </w:p>
        </w:tc>
        <w:tc>
          <w:tcPr>
            <w:tcW w:w="134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449,636</w:t>
            </w:r>
          </w:p>
        </w:tc>
        <w:tc>
          <w:tcPr>
            <w:tcW w:w="134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283,199</w:t>
            </w:r>
          </w:p>
        </w:tc>
        <w:tc>
          <w:tcPr>
            <w:tcW w:w="13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54.8%</w:t>
            </w:r>
          </w:p>
        </w:tc>
        <w:tc>
          <w:tcPr>
            <w:tcW w:w="12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60" w:type="dxa"/>
            <w:vAlign w:val="bottom"/>
            <w:tcBorders>
              <w:top w:val="single" w:sz="8" w:color="CCFFCC"/>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60" w:type="dxa"/>
            <w:vAlign w:val="bottom"/>
            <w:tcBorders>
              <w:top w:val="single" w:sz="8" w:color="CCFFCC"/>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80" w:type="dxa"/>
            <w:vAlign w:val="bottom"/>
            <w:tcBorders>
              <w:top w:val="single" w:sz="8" w:color="CCFFCC"/>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80" w:type="dxa"/>
            <w:vAlign w:val="bottom"/>
            <w:tcBorders>
              <w:top w:val="single" w:sz="8" w:color="CCFFCC"/>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300" w:type="dxa"/>
            <w:vAlign w:val="bottom"/>
            <w:tcBorders>
              <w:top w:val="single" w:sz="8" w:color="CCFFCC"/>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8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shd w:val="clear" w:color="auto" w:fill="CCFFCC"/>
          </w:tcPr>
          <w:p>
            <w:pPr>
              <w:spacing w:after="0"/>
              <w:rPr>
                <w:sz w:val="20"/>
                <w:szCs w:val="20"/>
                <w:color w:val="auto"/>
              </w:rPr>
            </w:pPr>
            <w:r>
              <w:rPr>
                <w:rFonts w:ascii="Arial" w:cs="Arial" w:eastAsia="Arial" w:hAnsi="Arial"/>
                <w:sz w:val="18"/>
                <w:szCs w:val="18"/>
                <w:color w:val="auto"/>
              </w:rPr>
              <w:t>Risk-weighted assets</w:t>
            </w:r>
          </w:p>
        </w:tc>
        <w:tc>
          <w:tcPr>
            <w:tcW w:w="1440" w:type="dxa"/>
            <w:vAlign w:val="bottom"/>
            <w:gridSpan w:val="3"/>
            <w:shd w:val="clear" w:color="auto" w:fill="CCFFCC"/>
          </w:tcPr>
          <w:p>
            <w:pPr>
              <w:jc w:val="right"/>
              <w:ind w:right="260"/>
              <w:spacing w:after="0"/>
              <w:rPr>
                <w:sz w:val="20"/>
                <w:szCs w:val="20"/>
                <w:color w:val="auto"/>
              </w:rPr>
            </w:pPr>
            <w:r>
              <w:rPr>
                <w:rFonts w:ascii="Arial" w:cs="Arial" w:eastAsia="Arial" w:hAnsi="Arial"/>
                <w:sz w:val="18"/>
                <w:szCs w:val="18"/>
                <w:b w:val="1"/>
                <w:bCs w:val="1"/>
                <w:color w:val="auto"/>
              </w:rPr>
              <w:t>13,007,788</w:t>
            </w:r>
          </w:p>
        </w:tc>
        <w:tc>
          <w:tcPr>
            <w:tcW w:w="134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b w:val="1"/>
                <w:bCs w:val="1"/>
                <w:color w:val="auto"/>
              </w:rPr>
              <w:t>11,130,078</w:t>
            </w:r>
          </w:p>
        </w:tc>
        <w:tc>
          <w:tcPr>
            <w:tcW w:w="134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b w:val="1"/>
                <w:bCs w:val="1"/>
                <w:color w:val="auto"/>
              </w:rPr>
              <w:t>10,787,723</w:t>
            </w:r>
          </w:p>
        </w:tc>
        <w:tc>
          <w:tcPr>
            <w:tcW w:w="13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20.6%</w:t>
            </w:r>
          </w:p>
        </w:tc>
        <w:tc>
          <w:tcPr>
            <w:tcW w:w="122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Market risk</w:t>
            </w:r>
          </w:p>
        </w:tc>
        <w:tc>
          <w:tcPr>
            <w:tcW w:w="144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rPr>
              <w:t>64,759</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85,231</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47,928</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35.1%</w:t>
            </w:r>
          </w:p>
        </w:tc>
        <w:tc>
          <w:tcPr>
            <w:tcW w:w="1220" w:type="dxa"/>
            <w:vAlign w:val="bottom"/>
            <w:gridSpan w:val="2"/>
          </w:tcPr>
          <w:p>
            <w:pPr>
              <w:jc w:val="right"/>
              <w:spacing w:after="0"/>
              <w:rPr>
                <w:sz w:val="20"/>
                <w:szCs w:val="20"/>
                <w:color w:val="auto"/>
              </w:rPr>
            </w:pPr>
            <w:r>
              <w:rPr>
                <w:rFonts w:ascii="Arial" w:cs="Arial" w:eastAsia="Arial" w:hAnsi="Arial"/>
                <w:sz w:val="18"/>
                <w:szCs w:val="18"/>
                <w:b w:val="1"/>
                <w:bCs w:val="1"/>
                <w:color w:val="auto"/>
              </w:rPr>
              <w:t>-24.0%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60" w:type="dxa"/>
            <w:vAlign w:val="bottom"/>
            <w:shd w:val="clear" w:color="auto" w:fill="CCFFCC"/>
          </w:tcPr>
          <w:p>
            <w:pPr>
              <w:spacing w:after="0"/>
              <w:rPr>
                <w:sz w:val="20"/>
                <w:szCs w:val="20"/>
                <w:color w:val="auto"/>
              </w:rPr>
            </w:pPr>
            <w:r>
              <w:rPr>
                <w:rFonts w:ascii="Arial" w:cs="Arial" w:eastAsia="Arial" w:hAnsi="Arial"/>
                <w:sz w:val="18"/>
                <w:szCs w:val="18"/>
                <w:color w:val="auto"/>
              </w:rPr>
              <w:t>Operational risk</w:t>
            </w:r>
          </w:p>
        </w:tc>
        <w:tc>
          <w:tcPr>
            <w:tcW w:w="1440" w:type="dxa"/>
            <w:vAlign w:val="bottom"/>
            <w:gridSpan w:val="3"/>
            <w:shd w:val="clear" w:color="auto" w:fill="CCFFCC"/>
          </w:tcPr>
          <w:p>
            <w:pPr>
              <w:jc w:val="right"/>
              <w:ind w:right="260"/>
              <w:spacing w:after="0"/>
              <w:rPr>
                <w:sz w:val="20"/>
                <w:szCs w:val="20"/>
                <w:color w:val="auto"/>
              </w:rPr>
            </w:pPr>
            <w:r>
              <w:rPr>
                <w:rFonts w:ascii="Arial" w:cs="Arial" w:eastAsia="Arial" w:hAnsi="Arial"/>
                <w:sz w:val="18"/>
                <w:szCs w:val="18"/>
                <w:b w:val="1"/>
                <w:bCs w:val="1"/>
                <w:color w:val="auto"/>
              </w:rPr>
              <w:t>43,486</w:t>
            </w:r>
          </w:p>
        </w:tc>
        <w:tc>
          <w:tcPr>
            <w:tcW w:w="134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b w:val="1"/>
                <w:bCs w:val="1"/>
                <w:color w:val="auto"/>
              </w:rPr>
              <w:t>41,987</w:t>
            </w:r>
          </w:p>
        </w:tc>
        <w:tc>
          <w:tcPr>
            <w:tcW w:w="134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b w:val="1"/>
                <w:bCs w:val="1"/>
                <w:color w:val="auto"/>
              </w:rPr>
              <w:t>n.a</w:t>
            </w:r>
          </w:p>
        </w:tc>
        <w:tc>
          <w:tcPr>
            <w:tcW w:w="134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Borders>
              <w:top w:val="single" w:sz="8" w:color="CCFFCC"/>
            </w:tcBorders>
          </w:tcPr>
          <w:p>
            <w:pPr>
              <w:spacing w:after="0"/>
              <w:rPr>
                <w:sz w:val="20"/>
                <w:szCs w:val="20"/>
                <w:color w:val="auto"/>
              </w:rPr>
            </w:pPr>
            <w:r>
              <w:rPr>
                <w:rFonts w:ascii="Arial" w:cs="Arial" w:eastAsia="Arial" w:hAnsi="Arial"/>
                <w:sz w:val="18"/>
                <w:szCs w:val="18"/>
                <w:b w:val="1"/>
                <w:bCs w:val="1"/>
                <w:color w:val="auto"/>
              </w:rPr>
              <w:t>Capital ratios</w:t>
            </w:r>
          </w:p>
        </w:tc>
        <w:tc>
          <w:tcPr>
            <w:tcW w:w="100" w:type="dxa"/>
            <w:vAlign w:val="bottom"/>
            <w:tcBorders>
              <w:top w:val="single" w:sz="8" w:color="CCFFCC"/>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60" w:type="dxa"/>
            <w:vAlign w:val="bottom"/>
            <w:tcBorders>
              <w:top w:val="single" w:sz="8" w:color="CCFFCC"/>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80" w:type="dxa"/>
            <w:vAlign w:val="bottom"/>
            <w:tcBorders>
              <w:top w:val="single" w:sz="8" w:color="CCFFCC"/>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80" w:type="dxa"/>
            <w:vAlign w:val="bottom"/>
            <w:tcBorders>
              <w:top w:val="single" w:sz="8" w:color="CCFFCC"/>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300" w:type="dxa"/>
            <w:vAlign w:val="bottom"/>
            <w:tcBorders>
              <w:top w:val="single" w:sz="8" w:color="CCFFCC"/>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8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60" w:type="dxa"/>
            <w:vAlign w:val="bottom"/>
            <w:shd w:val="clear" w:color="auto" w:fill="CCFFCC"/>
          </w:tcPr>
          <w:p>
            <w:pPr>
              <w:spacing w:after="0" w:line="229" w:lineRule="exact"/>
              <w:rPr>
                <w:sz w:val="20"/>
                <w:szCs w:val="20"/>
                <w:color w:val="auto"/>
              </w:rPr>
            </w:pPr>
            <w:r>
              <w:rPr>
                <w:rFonts w:ascii="Arial" w:cs="Arial" w:eastAsia="Arial" w:hAnsi="Arial"/>
                <w:sz w:val="18"/>
                <w:szCs w:val="18"/>
                <w:color w:val="auto"/>
              </w:rPr>
              <w:t xml:space="preserve">BIS ratio </w:t>
            </w:r>
            <w:r>
              <w:rPr>
                <w:rFonts w:ascii="Arial" w:cs="Arial" w:eastAsia="Arial" w:hAnsi="Arial"/>
                <w:sz w:val="25"/>
                <w:szCs w:val="25"/>
                <w:color w:val="auto"/>
                <w:vertAlign w:val="superscript"/>
              </w:rPr>
              <w:t>(3)</w:t>
            </w:r>
          </w:p>
        </w:tc>
        <w:tc>
          <w:tcPr>
            <w:tcW w:w="100" w:type="dxa"/>
            <w:vAlign w:val="bottom"/>
            <w:shd w:val="clear" w:color="auto" w:fill="CCFFCC"/>
          </w:tcPr>
          <w:p>
            <w:pPr>
              <w:spacing w:after="0"/>
              <w:rPr>
                <w:sz w:val="19"/>
                <w:szCs w:val="19"/>
                <w:color w:val="auto"/>
              </w:rPr>
            </w:pPr>
          </w:p>
        </w:tc>
        <w:tc>
          <w:tcPr>
            <w:tcW w:w="13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14.52%</w:t>
            </w:r>
          </w:p>
        </w:tc>
        <w:tc>
          <w:tcPr>
            <w:tcW w:w="13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14.46%</w:t>
            </w:r>
          </w:p>
        </w:tc>
        <w:tc>
          <w:tcPr>
            <w:tcW w:w="13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11.52%</w:t>
            </w:r>
          </w:p>
        </w:tc>
        <w:tc>
          <w:tcPr>
            <w:tcW w:w="1040" w:type="dxa"/>
            <w:vAlign w:val="bottom"/>
            <w:shd w:val="clear" w:color="auto" w:fill="CCFFCC"/>
          </w:tcPr>
          <w:p>
            <w:pPr>
              <w:spacing w:after="0"/>
              <w:rPr>
                <w:sz w:val="19"/>
                <w:szCs w:val="19"/>
                <w:color w:val="auto"/>
              </w:rPr>
            </w:pPr>
          </w:p>
        </w:tc>
        <w:tc>
          <w:tcPr>
            <w:tcW w:w="300" w:type="dxa"/>
            <w:vAlign w:val="bottom"/>
            <w:shd w:val="clear" w:color="auto" w:fill="CCFFCC"/>
          </w:tcPr>
          <w:p>
            <w:pPr>
              <w:spacing w:after="0"/>
              <w:rPr>
                <w:sz w:val="19"/>
                <w:szCs w:val="19"/>
                <w:color w:val="auto"/>
              </w:rPr>
            </w:pPr>
          </w:p>
        </w:tc>
        <w:tc>
          <w:tcPr>
            <w:tcW w:w="1040" w:type="dxa"/>
            <w:vAlign w:val="bottom"/>
            <w:shd w:val="clear" w:color="auto" w:fill="CCFFCC"/>
          </w:tcPr>
          <w:p>
            <w:pPr>
              <w:spacing w:after="0"/>
              <w:rPr>
                <w:sz w:val="19"/>
                <w:szCs w:val="19"/>
                <w:color w:val="auto"/>
              </w:rPr>
            </w:pPr>
          </w:p>
        </w:tc>
        <w:tc>
          <w:tcPr>
            <w:tcW w:w="18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6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1040" w:type="dxa"/>
            <w:vAlign w:val="bottom"/>
            <w:shd w:val="clear" w:color="auto" w:fill="CCFFCC"/>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1040" w:type="dxa"/>
            <w:vAlign w:val="bottom"/>
            <w:shd w:val="clear" w:color="auto" w:fill="CCFFCC"/>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Risk-weighted assets / Regulatory Capital</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6.89</w:t>
            </w:r>
          </w:p>
        </w:tc>
        <w:tc>
          <w:tcPr>
            <w:tcW w:w="260" w:type="dxa"/>
            <w:vAlign w:val="bottom"/>
          </w:tcPr>
          <w:p>
            <w:pPr>
              <w:spacing w:after="0"/>
              <w:rPr>
                <w:sz w:val="19"/>
                <w:szCs w:val="19"/>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6.91</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8.68</w:t>
            </w: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160"/>
              <w:spacing w:after="0"/>
              <w:rPr>
                <w:sz w:val="20"/>
                <w:szCs w:val="20"/>
                <w:color w:val="auto"/>
              </w:rPr>
            </w:pPr>
            <w:r>
              <w:rPr>
                <w:rFonts w:ascii="Arial" w:cs="Arial" w:eastAsia="Arial" w:hAnsi="Arial"/>
                <w:sz w:val="18"/>
                <w:szCs w:val="18"/>
                <w:color w:val="auto"/>
              </w:rPr>
              <w:t>n.a.: no applicable</w:t>
            </w:r>
          </w:p>
        </w:tc>
        <w:tc>
          <w:tcPr>
            <w:tcW w:w="10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180"/>
        <w:spacing w:after="0"/>
        <w:rPr>
          <w:sz w:val="20"/>
          <w:szCs w:val="20"/>
          <w:color w:val="auto"/>
        </w:rPr>
      </w:pPr>
      <w:r>
        <w:rPr>
          <w:rFonts w:ascii="Arial" w:cs="Arial" w:eastAsia="Arial" w:hAnsi="Arial"/>
          <w:sz w:val="18"/>
          <w:szCs w:val="18"/>
          <w:b w:val="1"/>
          <w:bCs w:val="1"/>
          <w:i w:val="1"/>
          <w:iCs w:val="1"/>
          <w:color w:val="auto"/>
        </w:rPr>
        <w:t>Old methodology</w:t>
      </w:r>
    </w:p>
    <w:p>
      <w:pPr>
        <w:spacing w:after="0" w:line="9" w:lineRule="exact"/>
        <w:rPr>
          <w:sz w:val="20"/>
          <w:szCs w:val="20"/>
          <w:color w:val="auto"/>
        </w:rPr>
      </w:pPr>
    </w:p>
    <w:p>
      <w:pPr>
        <w:ind w:left="420" w:hanging="250"/>
        <w:spacing w:after="0"/>
        <w:tabs>
          <w:tab w:leader="none" w:pos="42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Tier 1 = Capital + Reserves + Net Income capitalized - Goodwill - (0.5 x Inverstment in Subsidiaries)</w:t>
      </w:r>
    </w:p>
    <w:p>
      <w:pPr>
        <w:spacing w:after="0" w:line="9" w:lineRule="exact"/>
        <w:rPr>
          <w:rFonts w:ascii="Arial" w:cs="Arial" w:eastAsia="Arial" w:hAnsi="Arial"/>
          <w:sz w:val="18"/>
          <w:szCs w:val="18"/>
          <w:i w:val="1"/>
          <w:iCs w:val="1"/>
          <w:color w:val="auto"/>
        </w:rPr>
      </w:pPr>
    </w:p>
    <w:p>
      <w:pPr>
        <w:ind w:left="420" w:hanging="250"/>
        <w:spacing w:after="0"/>
        <w:tabs>
          <w:tab w:leader="none" w:pos="42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Tier 2 = Subordinated Debt + Generic Contigency loss reserves - (0.5 x Investment in subsidiaries)</w:t>
      </w:r>
    </w:p>
    <w:p>
      <w:pPr>
        <w:spacing w:after="0" w:line="9" w:lineRule="exact"/>
        <w:rPr>
          <w:rFonts w:ascii="Arial" w:cs="Arial" w:eastAsia="Arial" w:hAnsi="Arial"/>
          <w:sz w:val="18"/>
          <w:szCs w:val="18"/>
          <w:i w:val="1"/>
          <w:iCs w:val="1"/>
          <w:color w:val="auto"/>
        </w:rPr>
      </w:pPr>
    </w:p>
    <w:p>
      <w:pPr>
        <w:ind w:left="420" w:hanging="250"/>
        <w:spacing w:after="0"/>
        <w:tabs>
          <w:tab w:leader="none" w:pos="42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Risk-weighted assets = Minimum requirement for credit risk + Minimum requirement for market risk * 11</w:t>
      </w:r>
    </w:p>
    <w:p>
      <w:pPr>
        <w:spacing w:after="0" w:line="9" w:lineRule="exact"/>
        <w:rPr>
          <w:rFonts w:ascii="Arial" w:cs="Arial" w:eastAsia="Arial" w:hAnsi="Arial"/>
          <w:sz w:val="18"/>
          <w:szCs w:val="18"/>
          <w:i w:val="1"/>
          <w:iCs w:val="1"/>
          <w:color w:val="auto"/>
        </w:rPr>
      </w:pPr>
    </w:p>
    <w:p>
      <w:pPr>
        <w:ind w:left="180"/>
        <w:spacing w:after="0"/>
        <w:rPr>
          <w:rFonts w:ascii="Arial" w:cs="Arial" w:eastAsia="Arial" w:hAnsi="Arial"/>
          <w:sz w:val="18"/>
          <w:szCs w:val="18"/>
          <w:i w:val="1"/>
          <w:iCs w:val="1"/>
          <w:color w:val="auto"/>
        </w:rPr>
      </w:pPr>
      <w:r>
        <w:rPr>
          <w:rFonts w:ascii="Arial" w:cs="Arial" w:eastAsia="Arial" w:hAnsi="Arial"/>
          <w:sz w:val="18"/>
          <w:szCs w:val="18"/>
          <w:b w:val="1"/>
          <w:bCs w:val="1"/>
          <w:i w:val="1"/>
          <w:iCs w:val="1"/>
          <w:color w:val="auto"/>
        </w:rPr>
        <w:t>New methodology</w:t>
      </w:r>
    </w:p>
    <w:p>
      <w:pPr>
        <w:spacing w:after="0" w:line="9" w:lineRule="exact"/>
        <w:rPr>
          <w:rFonts w:ascii="Arial" w:cs="Arial" w:eastAsia="Arial" w:hAnsi="Arial"/>
          <w:sz w:val="18"/>
          <w:szCs w:val="18"/>
          <w:i w:val="1"/>
          <w:iCs w:val="1"/>
          <w:color w:val="auto"/>
        </w:rPr>
      </w:pPr>
    </w:p>
    <w:p>
      <w:pPr>
        <w:ind w:left="180" w:hanging="10"/>
        <w:spacing w:after="0" w:line="250" w:lineRule="auto"/>
        <w:tabs>
          <w:tab w:leader="none" w:pos="437"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Tier 1 = Capital + Reserves + Net Income capitalized + Non capitalized net income in subsidiaries - Goodwill - Acumulated losses non realized - (0.5 x Inverstment in Subsidiaries)</w:t>
      </w:r>
    </w:p>
    <w:p>
      <w:pPr>
        <w:ind w:left="420" w:hanging="250"/>
        <w:spacing w:after="0"/>
        <w:tabs>
          <w:tab w:leader="none" w:pos="42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Tier 2 = Subordinated Debt + Generic Contigency loss reserves - (0.5 x Investment in subsidiaries)</w:t>
      </w:r>
    </w:p>
    <w:p>
      <w:pPr>
        <w:spacing w:after="0" w:line="9" w:lineRule="exact"/>
        <w:rPr>
          <w:rFonts w:ascii="Arial" w:cs="Arial" w:eastAsia="Arial" w:hAnsi="Arial"/>
          <w:sz w:val="18"/>
          <w:szCs w:val="18"/>
          <w:i w:val="1"/>
          <w:iCs w:val="1"/>
          <w:color w:val="auto"/>
        </w:rPr>
      </w:pPr>
    </w:p>
    <w:p>
      <w:pPr>
        <w:ind w:left="180" w:right="880" w:hanging="10"/>
        <w:spacing w:after="0" w:line="261" w:lineRule="auto"/>
        <w:tabs>
          <w:tab w:leader="none" w:pos="435"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Risk-weighted assets = Minimum requirement for credit risk * 0.96 + Minimum requirement market risk * 10.5 + Minimum requirement for operational risk * 10.5</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the end of 2009, regulatory capital recorded a 44.9% increase compared to the figure of 2008. This was basically attributable to a US$ 250 million hybrid bond issuance. The process to strengthen regulatory capital is part of BCP’s strategy to adequately absorb the growth expected in the financial system due to bank penetration and economic expansion.</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Risk-weighted assets registered a considerable increase of 16.9% QoQ, primarily due to loan growth. Nevertheless, the regulatory capital ratio remained relatively flat as the result of capital strengthening measures implemented in 4Q09. Thus, the end-of-quarter BIS ratio was 14.5% (14.5% in 3Q09). Comparisons with 4Q08 results are not applicable given that these figures were calculated according to Basel I parameters while 4Q09’s figures, incorporate methodologies that were established by the Basel II framework.</w:t>
      </w:r>
    </w:p>
    <w:p>
      <w:pPr>
        <w:spacing w:after="0" w:line="3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6"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6254750</wp:posOffset>
            </wp:positionH>
            <wp:positionV relativeFrom="page">
              <wp:posOffset>337820</wp:posOffset>
            </wp:positionV>
            <wp:extent cx="1149350" cy="3175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clrChange>
                        <a:clrFrom>
                          <a:srgbClr val="FFFFFF"/>
                        </a:clrFrom>
                        <a:clrTo>
                          <a:srgbClr val="FFFFFF">
                            <a:alpha val="0"/>
                          </a:srgbClr>
                        </a:clrTo>
                      </a:clrChange>
                      <a:extLst>
                        <a:ext uri="{28A0092B-C50C-407E-A947-70E740481C1C}"/>
                      </a:extLst>
                    </a:blip>
                    <a:srcRect/>
                    <a:stretch>
                      <a:fillRect/>
                    </a:stretch>
                  </pic:blipFill>
                  <pic:spPr bwMode="auto">
                    <a:xfrm>
                      <a:off x="0" y="0"/>
                      <a:ext cx="1149350" cy="317500"/>
                    </a:xfrm>
                    <a:prstGeom prst="rect">
                      <a:avLst/>
                    </a:prstGeom>
                    <a:noFill/>
                  </pic:spPr>
                </pic:pic>
              </a:graphicData>
            </a:graphic>
          </wp:anchor>
        </w:drawing>
        <w:t>III. Banco de Crédito de Bolivia</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III.1 Bolivian Financial System</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total net loan volume in the Bolivian banking system was US$ 3,972 million at the end of December 2009, which, compared to the US$ 3,962 million recorded at the end of September 2009, represented 5.6% growth QoQ and an increase of 11.4% YoY. An increase in loans was accompanied by an improvement in loan quality- evident throughout 2009- that is reflected in the banking system’s past due loan ratio. This ratio fell from 4.3% in December 2009 to 3.5% in December 2009. Additionally, the banking system’s coverage ratio reached 162.6% in December 2009, which exceeds December 2008’s result of 144.3%.</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terms of deposits, the Bolivian banking system grew 3.6% QoQ and 22.1% YoY, reaching a balance of US$ 6,932 at the end of December 2009. QoQ growth is attributable to an 8.6% and 3.4% in demand deposits and time deposits,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III.2 BCP Bolivia</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Results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4Q09, BCP Bolivia achieved net income of US$ 9.5 million, which was higher than the US$ 7.1 million recorded in 3T09. This is primarily due to a drop in loan provisions and higher non financial income. The latter corresponds to the gain in the sale of Visa shares.</w:t>
      </w:r>
    </w:p>
    <w:p>
      <w:pPr>
        <w:spacing w:after="0" w:line="19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If we analyze this quarter’s results with 4Q08’s figures in hand, a 16.7% contraction is evident that is attributable to lower interest income (-4.1%), a contraction in other income (-78.9%), a decline in earnings on securities sales (-73.5%) and lower earnings on foreign currency transactions (-49.8%). Most of this income deterioration is a consequence of lower net interest income due to the reduction in interest rates and higher operating expenses.</w:t>
      </w:r>
    </w:p>
    <w:p>
      <w:pPr>
        <w:spacing w:after="0" w:line="19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Due to the financial crisis, BCP Bolivia has opted for a conservative credit risk management strategy. As a result, the bank reported a past due ratio of 1.8% in 4Q09 (2.3% in 3Q09 and 2.0% in 4Q08) and a 257.9% coverage ratio (241.3% in 3Q09 and 230.6% in 4Q08). These indicators show that BCP Bolivia’s performance exceeded that of the banking system, which reported ratios of 4.3% and 144.3 respectively at the end of 4Q09.</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terms of profitability, BCP Bolivia obtained a ROAE of 30.4% for the accumulated results of 2009. This figure was slightly higher than the 30.3% achieved as of September 2009 but lower than the 53.4% observed in 2008.</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and Liabilities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Total loans at the end of December 2009 were US$ 481.3 million. This is 2.2% higher than the US$ 470.8 million recorded in 3Q09 2009 and slightly above December 2008’s figure of 0.8%. Loans fell in the first part of the year, reflecting expectations that the economy would be weak in the future. Nevertheless, loans evolved favorably during the last quarter.</w:t>
      </w:r>
    </w:p>
    <w:p>
      <w:pPr>
        <w:spacing w:after="0" w:line="20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This quarter, the Retail Banking Portfolio performed particularly well, registering growth of 2.3% QoQ and 4.5% YoY. This increase has had a significant effect on the Bank’s results given that this portfolio represents 53.9% of the total portfolio and has higher margins that any other segment.</w:t>
      </w:r>
    </w:p>
    <w:p>
      <w:pPr>
        <w:spacing w:after="0" w:line="17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terms of Retail Banking, the product that demonstrated highest QoQ growth was Individual Cash Loans (+10.9%), which represents 14.6% of the Retail portfolio. Mortgage loans, which account for 46.3% of this portfolio, recorded no significant growth QoQ. On the flip side, YoY growth in this segment was positive, increasing 2.8%.</w:t>
      </w:r>
    </w:p>
    <w:p>
      <w:pPr>
        <w:spacing w:after="0" w:line="35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6" w:right="239" w:bottom="1440" w:gutter="0" w:footer="0" w:header="0"/>
        </w:sectPr>
      </w:pPr>
    </w:p>
    <w:bookmarkStart w:id="21" w:name="page22"/>
    <w:bookmarkEnd w:id="21"/>
    <w:p>
      <w:pPr>
        <w:jc w:val="both"/>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6254750</wp:posOffset>
            </wp:positionH>
            <wp:positionV relativeFrom="page">
              <wp:posOffset>337820</wp:posOffset>
            </wp:positionV>
            <wp:extent cx="1149350" cy="3175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clrChange>
                        <a:clrFrom>
                          <a:srgbClr val="FFFFFF"/>
                        </a:clrFrom>
                        <a:clrTo>
                          <a:srgbClr val="FFFFFF">
                            <a:alpha val="0"/>
                          </a:srgbClr>
                        </a:clrTo>
                      </a:clrChange>
                      <a:extLst>
                        <a:ext uri="{28A0092B-C50C-407E-A947-70E740481C1C}"/>
                      </a:extLst>
                    </a:blip>
                    <a:srcRect/>
                    <a:stretch>
                      <a:fillRect/>
                    </a:stretch>
                  </pic:blipFill>
                  <pic:spPr bwMode="auto">
                    <a:xfrm>
                      <a:off x="0" y="0"/>
                      <a:ext cx="1149350" cy="317500"/>
                    </a:xfrm>
                    <a:prstGeom prst="rect">
                      <a:avLst/>
                    </a:prstGeom>
                    <a:noFill/>
                  </pic:spPr>
                </pic:pic>
              </a:graphicData>
            </a:graphic>
          </wp:anchor>
        </w:drawing>
        <w:t>In terms of liabilities, BCP Bolivia’s deposits fell 2.6% QoQ and increased 22.2% YoY. Savings deposits reduced 19.3% QoQ and increased 4% YoY, while demand deposits grew 11.5% QoQ and 49.4% YoY.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Shareholder’s equity increased 7.1% QoQ due to higher net income (+34.1% QoQ) and grew 1.6% YoY.</w:t>
      </w:r>
    </w:p>
    <w:p>
      <w:pPr>
        <w:spacing w:after="0" w:line="25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BCP Bolivia has 11.8% market share in loans and 13.0% in deposits. As such, the bank is ranked fourth in terms of loans and deposits in the Bolivian banking system. BCP Bolivia continues to position itself as a “neighborly” bank that is innovative, agile and offers the best quality services. To accomplish this, the bank is focusing on improving sales processes (rapid, agile and good post-sale service) and increasing customers’ use of on-line services.</w:t>
      </w:r>
    </w:p>
    <w:p>
      <w:pPr>
        <w:spacing w:after="0" w:line="17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Finally, BCP Bolivia's accumulated earnings at the end of December totaled US$ 30.4 million, which is 29.1% lower than the figure obtained during 2008 (US$ 42.9 million). This decline is due the fact that the domestic currency (the Boliviano) appreciated during 2008 in contrast with the situation in 2009, when the Boliviano - US Dollar exchange rate remained flat. Additionally, accumulated earnings decreased due to lower extraordinary income whose level in 2008 included proceeds from the sale of share package that BCP Bolivia held in Visa International and from the sale of an important piece of adjudicated real estate.</w:t>
      </w:r>
    </w:p>
    <w:p>
      <w:pPr>
        <w:spacing w:after="0" w:line="19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2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Banco de Crédito de Boliv ia</w:t>
            </w: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Quarter</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gridSpan w:val="3"/>
            <w:vMerge w:val="restart"/>
          </w:tcPr>
          <w:p>
            <w:pPr>
              <w:ind w:left="680"/>
              <w:spacing w:after="0"/>
              <w:rPr>
                <w:sz w:val="20"/>
                <w:szCs w:val="20"/>
                <w:color w:val="auto"/>
              </w:rPr>
            </w:pPr>
            <w:r>
              <w:rPr>
                <w:rFonts w:ascii="Arial" w:cs="Arial" w:eastAsia="Arial" w:hAnsi="Arial"/>
                <w:sz w:val="14"/>
                <w:szCs w:val="14"/>
                <w:b w:val="1"/>
                <w:bCs w:val="1"/>
                <w:color w:val="auto"/>
              </w:rPr>
              <w:t>Change %</w:t>
            </w: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gridSpan w:val="3"/>
            <w:vMerge w:val="restart"/>
          </w:tcPr>
          <w:p>
            <w:pPr>
              <w:ind w:left="620"/>
              <w:spacing w:after="0"/>
              <w:rPr>
                <w:sz w:val="20"/>
                <w:szCs w:val="20"/>
                <w:color w:val="auto"/>
              </w:rPr>
            </w:pPr>
            <w:r>
              <w:rPr>
                <w:rFonts w:ascii="Arial" w:cs="Arial" w:eastAsia="Arial" w:hAnsi="Arial"/>
                <w:sz w:val="14"/>
                <w:szCs w:val="14"/>
                <w:b w:val="1"/>
                <w:bCs w:val="1"/>
                <w:color w:val="auto"/>
                <w:w w:val="94"/>
              </w:rPr>
              <w:t>Year to end</w:t>
            </w: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Change %&lt;</w:t>
            </w:r>
          </w:p>
        </w:tc>
        <w:tc>
          <w:tcPr>
            <w:tcW w:w="0" w:type="dxa"/>
            <w:vAlign w:val="bottom"/>
          </w:tcPr>
          <w:p>
            <w:pPr>
              <w:spacing w:after="0"/>
              <w:rPr>
                <w:sz w:val="1"/>
                <w:szCs w:val="1"/>
                <w:color w:val="auto"/>
              </w:rPr>
            </w:pPr>
          </w:p>
        </w:tc>
      </w:tr>
      <w:tr>
        <w:trPr>
          <w:trHeight w:val="178"/>
        </w:trPr>
        <w:tc>
          <w:tcPr>
            <w:tcW w:w="22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gridSpan w:val="3"/>
            <w:vMerge w:val="continue"/>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gridSpan w:val="3"/>
            <w:vMerge w:val="continue"/>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/font&gt;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2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Borders>
              <w:top w:val="single" w:sz="8" w:color="auto"/>
            </w:tcBorders>
          </w:tcPr>
          <w:p>
            <w:pPr>
              <w:jc w:val="center"/>
              <w:spacing w:after="0" w:line="222" w:lineRule="exact"/>
              <w:rPr>
                <w:sz w:val="20"/>
                <w:szCs w:val="20"/>
                <w:color w:val="auto"/>
              </w:rPr>
            </w:pPr>
            <w:r>
              <w:rPr>
                <w:rFonts w:ascii="Arial" w:cs="Arial" w:eastAsia="Arial" w:hAnsi="Arial"/>
                <w:sz w:val="14"/>
                <w:szCs w:val="14"/>
                <w:b w:val="1"/>
                <w:bCs w:val="1"/>
                <w:color w:val="auto"/>
                <w:w w:val="94"/>
              </w:rPr>
              <w:t>2009/2008</w:t>
            </w:r>
            <w:r>
              <w:rPr>
                <w:rFonts w:ascii="Arial" w:cs="Arial" w:eastAsia="Arial" w:hAnsi="Arial"/>
                <w:sz w:val="21"/>
                <w:szCs w:val="21"/>
                <w:color w:val="auto"/>
                <w:w w:val="94"/>
              </w:rPr>
              <w:t>&lt;</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5"/>
        </w:trPr>
        <w:tc>
          <w:tcPr>
            <w:tcW w:w="2260" w:type="dxa"/>
            <w:vAlign w:val="bottom"/>
            <w:gridSpan w:val="2"/>
          </w:tcPr>
          <w:p>
            <w:pPr>
              <w:spacing w:after="0"/>
              <w:rPr>
                <w:sz w:val="20"/>
                <w:szCs w:val="20"/>
                <w:color w:val="auto"/>
              </w:rPr>
            </w:pPr>
            <w:r>
              <w:rPr>
                <w:rFonts w:ascii="Arial" w:cs="Arial" w:eastAsia="Arial" w:hAnsi="Arial"/>
                <w:sz w:val="14"/>
                <w:szCs w:val="14"/>
                <w:b w:val="1"/>
                <w:bCs w:val="1"/>
                <w:color w:val="auto"/>
              </w:rPr>
              <w:t>US$ Thousands</w:t>
            </w:r>
          </w:p>
        </w:tc>
        <w:tc>
          <w:tcPr>
            <w:tcW w:w="120" w:type="dxa"/>
            <w:vAlign w:val="bottom"/>
          </w:tcPr>
          <w:p>
            <w:pPr>
              <w:spacing w:after="0"/>
              <w:rPr>
                <w:sz w:val="23"/>
                <w:szCs w:val="23"/>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4Q09</w:t>
            </w:r>
          </w:p>
        </w:tc>
        <w:tc>
          <w:tcPr>
            <w:tcW w:w="11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3Q09</w:t>
            </w:r>
          </w:p>
        </w:tc>
        <w:tc>
          <w:tcPr>
            <w:tcW w:w="11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4Q08</w:t>
            </w:r>
          </w:p>
        </w:tc>
        <w:tc>
          <w:tcPr>
            <w:tcW w:w="11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4Q09/4Q08</w:t>
            </w:r>
          </w:p>
        </w:tc>
        <w:tc>
          <w:tcPr>
            <w:tcW w:w="114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4Q09/3Q09</w:t>
            </w:r>
          </w:p>
        </w:tc>
        <w:tc>
          <w:tcPr>
            <w:tcW w:w="880" w:type="dxa"/>
            <w:vAlign w:val="bottom"/>
          </w:tcPr>
          <w:p>
            <w:pPr>
              <w:jc w:val="right"/>
              <w:ind w:right="228"/>
              <w:spacing w:after="0"/>
              <w:rPr>
                <w:sz w:val="20"/>
                <w:szCs w:val="20"/>
                <w:color w:val="auto"/>
              </w:rPr>
            </w:pPr>
            <w:r>
              <w:rPr>
                <w:rFonts w:ascii="Arial" w:cs="Arial" w:eastAsia="Arial" w:hAnsi="Arial"/>
                <w:sz w:val="14"/>
                <w:szCs w:val="14"/>
                <w:b w:val="1"/>
                <w:bCs w:val="1"/>
                <w:color w:val="auto"/>
              </w:rPr>
              <w:t>2009</w:t>
            </w: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0" w:type="dxa"/>
            <w:vAlign w:val="bottom"/>
          </w:tcPr>
          <w:p>
            <w:pPr>
              <w:jc w:val="right"/>
              <w:ind w:right="228"/>
              <w:spacing w:after="0"/>
              <w:rPr>
                <w:sz w:val="20"/>
                <w:szCs w:val="20"/>
                <w:color w:val="auto"/>
              </w:rPr>
            </w:pPr>
            <w:r>
              <w:rPr>
                <w:rFonts w:ascii="Arial" w:cs="Arial" w:eastAsia="Arial" w:hAnsi="Arial"/>
                <w:sz w:val="14"/>
                <w:szCs w:val="14"/>
                <w:b w:val="1"/>
                <w:bCs w:val="1"/>
                <w:color w:val="auto"/>
                <w:w w:val="89"/>
              </w:rPr>
              <w:t>2008</w:t>
            </w:r>
          </w:p>
        </w:tc>
        <w:tc>
          <w:tcPr>
            <w:tcW w:w="220" w:type="dxa"/>
            <w:vAlign w:val="bottom"/>
          </w:tcPr>
          <w:p>
            <w:pPr>
              <w:spacing w:after="0"/>
              <w:rPr>
                <w:sz w:val="23"/>
                <w:szCs w:val="23"/>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22"/>
                <w:szCs w:val="22"/>
                <w:color w:val="auto"/>
                <w:w w:val="93"/>
              </w:rPr>
              <w:t>/font&gt;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2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24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Net financial income</w:t>
            </w:r>
          </w:p>
        </w:tc>
        <w:tc>
          <w:tcPr>
            <w:tcW w:w="120" w:type="dxa"/>
            <w:vAlign w:val="bottom"/>
            <w:shd w:val="clear" w:color="auto" w:fill="CCFFCC"/>
          </w:tcPr>
          <w:p>
            <w:pPr>
              <w:spacing w:after="0"/>
              <w:rPr>
                <w:sz w:val="12"/>
                <w:szCs w:val="12"/>
                <w:color w:val="auto"/>
              </w:rPr>
            </w:pPr>
          </w:p>
        </w:tc>
        <w:tc>
          <w:tcPr>
            <w:tcW w:w="8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11.5</w:t>
            </w:r>
          </w:p>
        </w:tc>
        <w:tc>
          <w:tcPr>
            <w:tcW w:w="240" w:type="dxa"/>
            <w:vAlign w:val="bottom"/>
            <w:shd w:val="clear" w:color="auto" w:fill="CCFFCC"/>
          </w:tcPr>
          <w:p>
            <w:pPr>
              <w:spacing w:after="0"/>
              <w:rPr>
                <w:sz w:val="12"/>
                <w:szCs w:val="12"/>
                <w:color w:val="auto"/>
              </w:rPr>
            </w:pPr>
          </w:p>
        </w:tc>
        <w:tc>
          <w:tcPr>
            <w:tcW w:w="8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11.6</w:t>
            </w:r>
          </w:p>
        </w:tc>
        <w:tc>
          <w:tcPr>
            <w:tcW w:w="220" w:type="dxa"/>
            <w:vAlign w:val="bottom"/>
            <w:shd w:val="clear" w:color="auto" w:fill="CCFFCC"/>
          </w:tcPr>
          <w:p>
            <w:pPr>
              <w:spacing w:after="0"/>
              <w:rPr>
                <w:sz w:val="12"/>
                <w:szCs w:val="12"/>
                <w:color w:val="auto"/>
              </w:rPr>
            </w:pPr>
          </w:p>
        </w:tc>
        <w:tc>
          <w:tcPr>
            <w:tcW w:w="8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14.3</w:t>
            </w:r>
          </w:p>
        </w:tc>
        <w:tc>
          <w:tcPr>
            <w:tcW w:w="220" w:type="dxa"/>
            <w:vAlign w:val="bottom"/>
            <w:shd w:val="clear" w:color="auto" w:fill="CCFFCC"/>
          </w:tcPr>
          <w:p>
            <w:pPr>
              <w:spacing w:after="0"/>
              <w:rPr>
                <w:sz w:val="12"/>
                <w:szCs w:val="12"/>
                <w:color w:val="auto"/>
              </w:rPr>
            </w:pPr>
          </w:p>
        </w:tc>
        <w:tc>
          <w:tcPr>
            <w:tcW w:w="11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-19.6%</w:t>
            </w:r>
          </w:p>
        </w:tc>
        <w:tc>
          <w:tcPr>
            <w:tcW w:w="34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-0.9%</w:t>
            </w:r>
          </w:p>
        </w:tc>
        <w:tc>
          <w:tcPr>
            <w:tcW w:w="8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50.2</w:t>
            </w:r>
          </w:p>
        </w:tc>
        <w:tc>
          <w:tcPr>
            <w:tcW w:w="22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6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52.9</w:t>
            </w:r>
          </w:p>
        </w:tc>
        <w:tc>
          <w:tcPr>
            <w:tcW w:w="1260" w:type="dxa"/>
            <w:vAlign w:val="bottom"/>
            <w:gridSpan w:val="3"/>
            <w:shd w:val="clear" w:color="auto" w:fill="CCFFCC"/>
          </w:tcPr>
          <w:p>
            <w:pPr>
              <w:jc w:val="right"/>
              <w:ind w:right="40"/>
              <w:spacing w:after="0" w:line="149" w:lineRule="exact"/>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tcPr>
          <w:p>
            <w:pPr>
              <w:spacing w:after="0" w:line="149" w:lineRule="exact"/>
              <w:rPr>
                <w:sz w:val="20"/>
                <w:szCs w:val="20"/>
                <w:color w:val="auto"/>
              </w:rPr>
            </w:pPr>
            <w:r>
              <w:rPr>
                <w:rFonts w:ascii="Arial" w:cs="Arial" w:eastAsia="Arial" w:hAnsi="Arial"/>
                <w:sz w:val="14"/>
                <w:szCs w:val="14"/>
                <w:color w:val="auto"/>
              </w:rPr>
              <w:t>Total provision, net of recoveries</w:t>
            </w: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0.9</w:t>
            </w:r>
          </w:p>
        </w:tc>
        <w:tc>
          <w:tcPr>
            <w:tcW w:w="2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-1.2</w:t>
            </w:r>
          </w:p>
        </w:tc>
        <w:tc>
          <w:tcPr>
            <w:tcW w:w="22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-3.9</w:t>
            </w:r>
          </w:p>
        </w:tc>
        <w:tc>
          <w:tcPr>
            <w:tcW w:w="220" w:type="dxa"/>
            <w:vAlign w:val="bottom"/>
          </w:tcPr>
          <w:p>
            <w:pPr>
              <w:spacing w:after="0"/>
              <w:rPr>
                <w:sz w:val="12"/>
                <w:szCs w:val="12"/>
                <w:color w:val="auto"/>
              </w:rPr>
            </w:pPr>
          </w:p>
        </w:tc>
        <w:tc>
          <w:tcPr>
            <w:tcW w:w="11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-123.1%</w:t>
            </w:r>
          </w:p>
        </w:tc>
        <w:tc>
          <w:tcPr>
            <w:tcW w:w="34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-175.0%</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-4.2</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-6.3</w:t>
            </w:r>
          </w:p>
        </w:tc>
        <w:tc>
          <w:tcPr>
            <w:tcW w:w="126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-33.0%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Non financial income</w:t>
            </w:r>
          </w:p>
        </w:tc>
        <w:tc>
          <w:tcPr>
            <w:tcW w:w="10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10.8</w:t>
            </w:r>
          </w:p>
        </w:tc>
        <w:tc>
          <w:tcPr>
            <w:tcW w:w="240" w:type="dxa"/>
            <w:vAlign w:val="bottom"/>
            <w:shd w:val="clear" w:color="auto" w:fill="CCFFCC"/>
          </w:tcPr>
          <w:p>
            <w:pPr>
              <w:spacing w:after="0"/>
              <w:rPr>
                <w:sz w:val="12"/>
                <w:szCs w:val="12"/>
                <w:color w:val="auto"/>
              </w:rPr>
            </w:pPr>
          </w:p>
        </w:tc>
        <w:tc>
          <w:tcPr>
            <w:tcW w:w="8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9</w:t>
            </w:r>
          </w:p>
        </w:tc>
        <w:tc>
          <w:tcPr>
            <w:tcW w:w="220" w:type="dxa"/>
            <w:vAlign w:val="bottom"/>
            <w:shd w:val="clear" w:color="auto" w:fill="CCFFCC"/>
          </w:tcPr>
          <w:p>
            <w:pPr>
              <w:spacing w:after="0"/>
              <w:rPr>
                <w:sz w:val="12"/>
                <w:szCs w:val="12"/>
                <w:color w:val="auto"/>
              </w:rPr>
            </w:pPr>
          </w:p>
        </w:tc>
        <w:tc>
          <w:tcPr>
            <w:tcW w:w="8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11</w:t>
            </w:r>
          </w:p>
        </w:tc>
        <w:tc>
          <w:tcPr>
            <w:tcW w:w="220" w:type="dxa"/>
            <w:vAlign w:val="bottom"/>
            <w:shd w:val="clear" w:color="auto" w:fill="CCFFCC"/>
          </w:tcPr>
          <w:p>
            <w:pPr>
              <w:spacing w:after="0"/>
              <w:rPr>
                <w:sz w:val="12"/>
                <w:szCs w:val="12"/>
                <w:color w:val="auto"/>
              </w:rPr>
            </w:pPr>
          </w:p>
        </w:tc>
        <w:tc>
          <w:tcPr>
            <w:tcW w:w="11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-1.4%</w:t>
            </w:r>
          </w:p>
        </w:tc>
        <w:tc>
          <w:tcPr>
            <w:tcW w:w="34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20.7%</w:t>
            </w:r>
          </w:p>
        </w:tc>
        <w:tc>
          <w:tcPr>
            <w:tcW w:w="8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38.4</w:t>
            </w:r>
          </w:p>
        </w:tc>
        <w:tc>
          <w:tcPr>
            <w:tcW w:w="22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6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40.6</w:t>
            </w:r>
          </w:p>
        </w:tc>
        <w:tc>
          <w:tcPr>
            <w:tcW w:w="1260" w:type="dxa"/>
            <w:vAlign w:val="bottom"/>
            <w:gridSpan w:val="3"/>
            <w:shd w:val="clear" w:color="auto" w:fill="CCFFCC"/>
          </w:tcPr>
          <w:p>
            <w:pPr>
              <w:jc w:val="right"/>
              <w:ind w:right="40"/>
              <w:spacing w:after="0" w:line="149" w:lineRule="exact"/>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tcPr>
          <w:p>
            <w:pPr>
              <w:spacing w:after="0" w:line="149" w:lineRule="exact"/>
              <w:rPr>
                <w:sz w:val="20"/>
                <w:szCs w:val="20"/>
                <w:color w:val="auto"/>
              </w:rPr>
            </w:pPr>
            <w:r>
              <w:rPr>
                <w:rFonts w:ascii="Arial" w:cs="Arial" w:eastAsia="Arial" w:hAnsi="Arial"/>
                <w:sz w:val="14"/>
                <w:szCs w:val="14"/>
                <w:color w:val="auto"/>
              </w:rPr>
              <w:t>Operating expenses</w:t>
            </w: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-12.7</w:t>
            </w:r>
          </w:p>
        </w:tc>
        <w:tc>
          <w:tcPr>
            <w:tcW w:w="2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-11.6</w:t>
            </w:r>
          </w:p>
        </w:tc>
        <w:tc>
          <w:tcPr>
            <w:tcW w:w="22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-10.5</w:t>
            </w:r>
          </w:p>
        </w:tc>
        <w:tc>
          <w:tcPr>
            <w:tcW w:w="220" w:type="dxa"/>
            <w:vAlign w:val="bottom"/>
          </w:tcPr>
          <w:p>
            <w:pPr>
              <w:spacing w:after="0"/>
              <w:rPr>
                <w:sz w:val="12"/>
                <w:szCs w:val="12"/>
                <w:color w:val="auto"/>
              </w:rPr>
            </w:pPr>
          </w:p>
        </w:tc>
        <w:tc>
          <w:tcPr>
            <w:tcW w:w="11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20.9%</w:t>
            </w:r>
          </w:p>
        </w:tc>
        <w:tc>
          <w:tcPr>
            <w:tcW w:w="34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9.5%</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-50.2</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-43.7</w:t>
            </w:r>
          </w:p>
        </w:tc>
        <w:tc>
          <w:tcPr>
            <w:tcW w:w="126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15.0%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Translation result</w:t>
            </w:r>
          </w:p>
        </w:tc>
        <w:tc>
          <w:tcPr>
            <w:tcW w:w="10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0</w:t>
            </w:r>
          </w:p>
        </w:tc>
        <w:tc>
          <w:tcPr>
            <w:tcW w:w="240" w:type="dxa"/>
            <w:vAlign w:val="bottom"/>
            <w:shd w:val="clear" w:color="auto" w:fill="CCFFCC"/>
          </w:tcPr>
          <w:p>
            <w:pPr>
              <w:spacing w:after="0"/>
              <w:rPr>
                <w:sz w:val="12"/>
                <w:szCs w:val="12"/>
                <w:color w:val="auto"/>
              </w:rPr>
            </w:pPr>
          </w:p>
        </w:tc>
        <w:tc>
          <w:tcPr>
            <w:tcW w:w="8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0.1</w:t>
            </w:r>
          </w:p>
        </w:tc>
        <w:tc>
          <w:tcPr>
            <w:tcW w:w="220" w:type="dxa"/>
            <w:vAlign w:val="bottom"/>
            <w:shd w:val="clear" w:color="auto" w:fill="CCFFCC"/>
          </w:tcPr>
          <w:p>
            <w:pPr>
              <w:spacing w:after="0"/>
              <w:rPr>
                <w:sz w:val="12"/>
                <w:szCs w:val="12"/>
                <w:color w:val="auto"/>
              </w:rPr>
            </w:pPr>
          </w:p>
        </w:tc>
        <w:tc>
          <w:tcPr>
            <w:tcW w:w="8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0.3</w:t>
            </w:r>
          </w:p>
        </w:tc>
        <w:tc>
          <w:tcPr>
            <w:tcW w:w="220" w:type="dxa"/>
            <w:vAlign w:val="bottom"/>
            <w:shd w:val="clear" w:color="auto" w:fill="CCFFCC"/>
          </w:tcPr>
          <w:p>
            <w:pPr>
              <w:spacing w:after="0"/>
              <w:rPr>
                <w:sz w:val="12"/>
                <w:szCs w:val="12"/>
                <w:color w:val="auto"/>
              </w:rPr>
            </w:pPr>
          </w:p>
        </w:tc>
        <w:tc>
          <w:tcPr>
            <w:tcW w:w="11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-100.0%</w:t>
            </w:r>
          </w:p>
        </w:tc>
        <w:tc>
          <w:tcPr>
            <w:tcW w:w="34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-100.0%</w:t>
            </w:r>
          </w:p>
        </w:tc>
        <w:tc>
          <w:tcPr>
            <w:tcW w:w="8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-0.2</w:t>
            </w:r>
          </w:p>
        </w:tc>
        <w:tc>
          <w:tcPr>
            <w:tcW w:w="22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6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2.5</w:t>
            </w:r>
          </w:p>
        </w:tc>
        <w:tc>
          <w:tcPr>
            <w:tcW w:w="1260" w:type="dxa"/>
            <w:vAlign w:val="bottom"/>
            <w:gridSpan w:val="3"/>
            <w:shd w:val="clear" w:color="auto" w:fill="CCFFCC"/>
          </w:tcPr>
          <w:p>
            <w:pPr>
              <w:jc w:val="right"/>
              <w:ind w:right="40"/>
              <w:spacing w:after="0" w:line="149" w:lineRule="exact"/>
              <w:rPr>
                <w:sz w:val="20"/>
                <w:szCs w:val="20"/>
                <w:color w:val="auto"/>
              </w:rPr>
            </w:pPr>
            <w:r>
              <w:rPr>
                <w:rFonts w:ascii="Arial" w:cs="Arial" w:eastAsia="Arial" w:hAnsi="Arial"/>
                <w:sz w:val="14"/>
                <w:szCs w:val="14"/>
                <w:color w:val="auto"/>
              </w:rPr>
              <w:t>-108.7%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tcPr>
          <w:p>
            <w:pPr>
              <w:spacing w:after="0" w:line="149" w:lineRule="exact"/>
              <w:rPr>
                <w:sz w:val="20"/>
                <w:szCs w:val="20"/>
                <w:color w:val="auto"/>
              </w:rPr>
            </w:pPr>
            <w:r>
              <w:rPr>
                <w:rFonts w:ascii="Arial" w:cs="Arial" w:eastAsia="Arial" w:hAnsi="Arial"/>
                <w:sz w:val="14"/>
                <w:szCs w:val="14"/>
                <w:color w:val="auto"/>
              </w:rPr>
              <w:t>Income taxes</w:t>
            </w:r>
          </w:p>
        </w:tc>
        <w:tc>
          <w:tcPr>
            <w:tcW w:w="12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2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-0.7</w:t>
            </w:r>
          </w:p>
        </w:tc>
        <w:tc>
          <w:tcPr>
            <w:tcW w:w="22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0.3</w:t>
            </w:r>
          </w:p>
        </w:tc>
        <w:tc>
          <w:tcPr>
            <w:tcW w:w="220" w:type="dxa"/>
            <w:vAlign w:val="bottom"/>
          </w:tcPr>
          <w:p>
            <w:pPr>
              <w:spacing w:after="0"/>
              <w:rPr>
                <w:sz w:val="12"/>
                <w:szCs w:val="12"/>
                <w:color w:val="auto"/>
              </w:rPr>
            </w:pPr>
          </w:p>
        </w:tc>
        <w:tc>
          <w:tcPr>
            <w:tcW w:w="11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433.3%</w:t>
            </w:r>
          </w:p>
        </w:tc>
        <w:tc>
          <w:tcPr>
            <w:tcW w:w="34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34.8%</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-3.5</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-3.2</w:t>
            </w:r>
          </w:p>
        </w:tc>
        <w:tc>
          <w:tcPr>
            <w:tcW w:w="126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9.5%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24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Net income</w:t>
            </w:r>
          </w:p>
        </w:tc>
        <w:tc>
          <w:tcPr>
            <w:tcW w:w="120" w:type="dxa"/>
            <w:vAlign w:val="bottom"/>
            <w:shd w:val="clear" w:color="auto" w:fill="CCFFCC"/>
          </w:tcPr>
          <w:p>
            <w:pPr>
              <w:spacing w:after="0"/>
              <w:rPr>
                <w:sz w:val="12"/>
                <w:szCs w:val="12"/>
                <w:color w:val="auto"/>
              </w:rPr>
            </w:pPr>
          </w:p>
        </w:tc>
        <w:tc>
          <w:tcPr>
            <w:tcW w:w="8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9.5</w:t>
            </w:r>
          </w:p>
        </w:tc>
        <w:tc>
          <w:tcPr>
            <w:tcW w:w="240" w:type="dxa"/>
            <w:vAlign w:val="bottom"/>
            <w:shd w:val="clear" w:color="auto" w:fill="CCFFCC"/>
          </w:tcPr>
          <w:p>
            <w:pPr>
              <w:spacing w:after="0"/>
              <w:rPr>
                <w:sz w:val="12"/>
                <w:szCs w:val="12"/>
                <w:color w:val="auto"/>
              </w:rPr>
            </w:pPr>
          </w:p>
        </w:tc>
        <w:tc>
          <w:tcPr>
            <w:tcW w:w="8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7.1</w:t>
            </w:r>
          </w:p>
        </w:tc>
        <w:tc>
          <w:tcPr>
            <w:tcW w:w="220" w:type="dxa"/>
            <w:vAlign w:val="bottom"/>
            <w:shd w:val="clear" w:color="auto" w:fill="CCFFCC"/>
          </w:tcPr>
          <w:p>
            <w:pPr>
              <w:spacing w:after="0"/>
              <w:rPr>
                <w:sz w:val="12"/>
                <w:szCs w:val="12"/>
                <w:color w:val="auto"/>
              </w:rPr>
            </w:pPr>
          </w:p>
        </w:tc>
        <w:tc>
          <w:tcPr>
            <w:tcW w:w="8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11.4</w:t>
            </w:r>
          </w:p>
        </w:tc>
        <w:tc>
          <w:tcPr>
            <w:tcW w:w="220" w:type="dxa"/>
            <w:vAlign w:val="bottom"/>
            <w:shd w:val="clear" w:color="auto" w:fill="CCFFCC"/>
          </w:tcPr>
          <w:p>
            <w:pPr>
              <w:spacing w:after="0"/>
              <w:rPr>
                <w:sz w:val="12"/>
                <w:szCs w:val="12"/>
                <w:color w:val="auto"/>
              </w:rPr>
            </w:pPr>
          </w:p>
        </w:tc>
        <w:tc>
          <w:tcPr>
            <w:tcW w:w="11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-16.7%</w:t>
            </w:r>
          </w:p>
        </w:tc>
        <w:tc>
          <w:tcPr>
            <w:tcW w:w="34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34.1%</w:t>
            </w:r>
          </w:p>
        </w:tc>
        <w:tc>
          <w:tcPr>
            <w:tcW w:w="8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30.4</w:t>
            </w:r>
          </w:p>
        </w:tc>
        <w:tc>
          <w:tcPr>
            <w:tcW w:w="22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6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42.9</w:t>
            </w:r>
          </w:p>
        </w:tc>
        <w:tc>
          <w:tcPr>
            <w:tcW w:w="1260" w:type="dxa"/>
            <w:vAlign w:val="bottom"/>
            <w:gridSpan w:val="3"/>
            <w:shd w:val="clear" w:color="auto" w:fill="CCFFCC"/>
          </w:tcPr>
          <w:p>
            <w:pPr>
              <w:jc w:val="right"/>
              <w:ind w:right="20"/>
              <w:spacing w:after="0" w:line="149" w:lineRule="exact"/>
              <w:rPr>
                <w:sz w:val="20"/>
                <w:szCs w:val="20"/>
                <w:color w:val="auto"/>
              </w:rPr>
            </w:pPr>
            <w:r>
              <w:rPr>
                <w:rFonts w:ascii="Arial" w:cs="Arial" w:eastAsia="Arial" w:hAnsi="Arial"/>
                <w:sz w:val="14"/>
                <w:szCs w:val="14"/>
                <w:b w:val="1"/>
                <w:bCs w:val="1"/>
                <w:color w:val="auto"/>
              </w:rPr>
              <w:t>-29.1%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24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240" w:type="dxa"/>
            <w:vAlign w:val="bottom"/>
          </w:tcPr>
          <w:p>
            <w:pPr>
              <w:spacing w:after="0" w:line="149" w:lineRule="exact"/>
              <w:rPr>
                <w:sz w:val="20"/>
                <w:szCs w:val="20"/>
                <w:color w:val="auto"/>
              </w:rPr>
            </w:pPr>
            <w:r>
              <w:rPr>
                <w:rFonts w:ascii="Arial" w:cs="Arial" w:eastAsia="Arial" w:hAnsi="Arial"/>
                <w:sz w:val="14"/>
                <w:szCs w:val="14"/>
                <w:color w:val="auto"/>
              </w:rPr>
              <w:t>Total loans</w:t>
            </w:r>
          </w:p>
        </w:tc>
        <w:tc>
          <w:tcPr>
            <w:tcW w:w="12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481.3</w:t>
            </w:r>
          </w:p>
        </w:tc>
        <w:tc>
          <w:tcPr>
            <w:tcW w:w="2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470.8</w:t>
            </w:r>
          </w:p>
        </w:tc>
        <w:tc>
          <w:tcPr>
            <w:tcW w:w="22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477.5</w:t>
            </w:r>
          </w:p>
        </w:tc>
        <w:tc>
          <w:tcPr>
            <w:tcW w:w="220" w:type="dxa"/>
            <w:vAlign w:val="bottom"/>
          </w:tcPr>
          <w:p>
            <w:pPr>
              <w:spacing w:after="0"/>
              <w:rPr>
                <w:sz w:val="12"/>
                <w:szCs w:val="12"/>
                <w:color w:val="auto"/>
              </w:rPr>
            </w:pPr>
          </w:p>
        </w:tc>
        <w:tc>
          <w:tcPr>
            <w:tcW w:w="11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0.8%</w:t>
            </w:r>
          </w:p>
        </w:tc>
        <w:tc>
          <w:tcPr>
            <w:tcW w:w="34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2.2%</w:t>
            </w: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Past due loans</w:t>
            </w:r>
          </w:p>
        </w:tc>
        <w:tc>
          <w:tcPr>
            <w:tcW w:w="10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8.7</w:t>
            </w:r>
          </w:p>
        </w:tc>
        <w:tc>
          <w:tcPr>
            <w:tcW w:w="240" w:type="dxa"/>
            <w:vAlign w:val="bottom"/>
            <w:shd w:val="clear" w:color="auto" w:fill="CCFFCC"/>
          </w:tcPr>
          <w:p>
            <w:pPr>
              <w:spacing w:after="0"/>
              <w:rPr>
                <w:sz w:val="12"/>
                <w:szCs w:val="12"/>
                <w:color w:val="auto"/>
              </w:rPr>
            </w:pPr>
          </w:p>
        </w:tc>
        <w:tc>
          <w:tcPr>
            <w:tcW w:w="8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10.7</w:t>
            </w:r>
          </w:p>
        </w:tc>
        <w:tc>
          <w:tcPr>
            <w:tcW w:w="220" w:type="dxa"/>
            <w:vAlign w:val="bottom"/>
            <w:shd w:val="clear" w:color="auto" w:fill="CCFFCC"/>
          </w:tcPr>
          <w:p>
            <w:pPr>
              <w:spacing w:after="0"/>
              <w:rPr>
                <w:sz w:val="12"/>
                <w:szCs w:val="12"/>
                <w:color w:val="auto"/>
              </w:rPr>
            </w:pPr>
          </w:p>
        </w:tc>
        <w:tc>
          <w:tcPr>
            <w:tcW w:w="8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9.2</w:t>
            </w:r>
          </w:p>
        </w:tc>
        <w:tc>
          <w:tcPr>
            <w:tcW w:w="220" w:type="dxa"/>
            <w:vAlign w:val="bottom"/>
            <w:shd w:val="clear" w:color="auto" w:fill="CCFFCC"/>
          </w:tcPr>
          <w:p>
            <w:pPr>
              <w:spacing w:after="0"/>
              <w:rPr>
                <w:sz w:val="12"/>
                <w:szCs w:val="12"/>
                <w:color w:val="auto"/>
              </w:rPr>
            </w:pPr>
          </w:p>
        </w:tc>
        <w:tc>
          <w:tcPr>
            <w:tcW w:w="11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-5.4%</w:t>
            </w:r>
          </w:p>
        </w:tc>
        <w:tc>
          <w:tcPr>
            <w:tcW w:w="34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-18.7%</w:t>
            </w:r>
          </w:p>
        </w:tc>
        <w:tc>
          <w:tcPr>
            <w:tcW w:w="88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6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88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tcPr>
          <w:p>
            <w:pPr>
              <w:spacing w:after="0" w:line="149" w:lineRule="exact"/>
              <w:rPr>
                <w:sz w:val="20"/>
                <w:szCs w:val="20"/>
                <w:color w:val="auto"/>
              </w:rPr>
            </w:pPr>
            <w:r>
              <w:rPr>
                <w:rFonts w:ascii="Arial" w:cs="Arial" w:eastAsia="Arial" w:hAnsi="Arial"/>
                <w:sz w:val="14"/>
                <w:szCs w:val="14"/>
                <w:color w:val="auto"/>
              </w:rPr>
              <w:t>Total provisions</w:t>
            </w: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-21</w:t>
            </w:r>
          </w:p>
        </w:tc>
        <w:tc>
          <w:tcPr>
            <w:tcW w:w="2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-24.7</w:t>
            </w:r>
          </w:p>
        </w:tc>
        <w:tc>
          <w:tcPr>
            <w:tcW w:w="22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-20.8</w:t>
            </w:r>
          </w:p>
        </w:tc>
        <w:tc>
          <w:tcPr>
            <w:tcW w:w="220" w:type="dxa"/>
            <w:vAlign w:val="bottom"/>
          </w:tcPr>
          <w:p>
            <w:pPr>
              <w:spacing w:after="0"/>
              <w:rPr>
                <w:sz w:val="12"/>
                <w:szCs w:val="12"/>
                <w:color w:val="auto"/>
              </w:rPr>
            </w:pPr>
          </w:p>
        </w:tc>
        <w:tc>
          <w:tcPr>
            <w:tcW w:w="11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1.0%</w:t>
            </w:r>
          </w:p>
        </w:tc>
        <w:tc>
          <w:tcPr>
            <w:tcW w:w="34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-14.8%</w:t>
            </w: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Total assets</w:t>
            </w:r>
          </w:p>
        </w:tc>
        <w:tc>
          <w:tcPr>
            <w:tcW w:w="10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1,097.80</w:t>
            </w:r>
          </w:p>
        </w:tc>
        <w:tc>
          <w:tcPr>
            <w:tcW w:w="240" w:type="dxa"/>
            <w:vAlign w:val="bottom"/>
            <w:shd w:val="clear" w:color="auto" w:fill="CCFFCC"/>
          </w:tcPr>
          <w:p>
            <w:pPr>
              <w:spacing w:after="0"/>
              <w:rPr>
                <w:sz w:val="12"/>
                <w:szCs w:val="12"/>
                <w:color w:val="auto"/>
              </w:rPr>
            </w:pPr>
          </w:p>
        </w:tc>
        <w:tc>
          <w:tcPr>
            <w:tcW w:w="8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1,120.10</w:t>
            </w:r>
          </w:p>
        </w:tc>
        <w:tc>
          <w:tcPr>
            <w:tcW w:w="220" w:type="dxa"/>
            <w:vAlign w:val="bottom"/>
            <w:shd w:val="clear" w:color="auto" w:fill="CCFFCC"/>
          </w:tcPr>
          <w:p>
            <w:pPr>
              <w:spacing w:after="0"/>
              <w:rPr>
                <w:sz w:val="12"/>
                <w:szCs w:val="12"/>
                <w:color w:val="auto"/>
              </w:rPr>
            </w:pPr>
          </w:p>
        </w:tc>
        <w:tc>
          <w:tcPr>
            <w:tcW w:w="8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939.7</w:t>
            </w:r>
          </w:p>
        </w:tc>
        <w:tc>
          <w:tcPr>
            <w:tcW w:w="220" w:type="dxa"/>
            <w:vAlign w:val="bottom"/>
            <w:shd w:val="clear" w:color="auto" w:fill="CCFFCC"/>
          </w:tcPr>
          <w:p>
            <w:pPr>
              <w:spacing w:after="0"/>
              <w:rPr>
                <w:sz w:val="12"/>
                <w:szCs w:val="12"/>
                <w:color w:val="auto"/>
              </w:rPr>
            </w:pPr>
          </w:p>
        </w:tc>
        <w:tc>
          <w:tcPr>
            <w:tcW w:w="11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16.8%</w:t>
            </w:r>
          </w:p>
        </w:tc>
        <w:tc>
          <w:tcPr>
            <w:tcW w:w="34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-2.0%</w:t>
            </w:r>
          </w:p>
        </w:tc>
        <w:tc>
          <w:tcPr>
            <w:tcW w:w="88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6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88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tcPr>
          <w:p>
            <w:pPr>
              <w:spacing w:after="0" w:line="149" w:lineRule="exact"/>
              <w:rPr>
                <w:sz w:val="20"/>
                <w:szCs w:val="20"/>
                <w:color w:val="auto"/>
              </w:rPr>
            </w:pPr>
            <w:r>
              <w:rPr>
                <w:rFonts w:ascii="Arial" w:cs="Arial" w:eastAsia="Arial" w:hAnsi="Arial"/>
                <w:sz w:val="14"/>
                <w:szCs w:val="14"/>
                <w:color w:val="auto"/>
              </w:rPr>
              <w:t>Deposits</w:t>
            </w: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943.6</w:t>
            </w:r>
          </w:p>
        </w:tc>
        <w:tc>
          <w:tcPr>
            <w:tcW w:w="2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968.6</w:t>
            </w:r>
          </w:p>
        </w:tc>
        <w:tc>
          <w:tcPr>
            <w:tcW w:w="22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771.9</w:t>
            </w:r>
          </w:p>
        </w:tc>
        <w:tc>
          <w:tcPr>
            <w:tcW w:w="220" w:type="dxa"/>
            <w:vAlign w:val="bottom"/>
          </w:tcPr>
          <w:p>
            <w:pPr>
              <w:spacing w:after="0"/>
              <w:rPr>
                <w:sz w:val="12"/>
                <w:szCs w:val="12"/>
                <w:color w:val="auto"/>
              </w:rPr>
            </w:pPr>
          </w:p>
        </w:tc>
        <w:tc>
          <w:tcPr>
            <w:tcW w:w="11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22.2%</w:t>
            </w:r>
          </w:p>
        </w:tc>
        <w:tc>
          <w:tcPr>
            <w:tcW w:w="34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-2.6%</w:t>
            </w: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Net shareholders' equity</w:t>
            </w:r>
          </w:p>
        </w:tc>
        <w:tc>
          <w:tcPr>
            <w:tcW w:w="120" w:type="dxa"/>
            <w:vAlign w:val="bottom"/>
            <w:shd w:val="clear" w:color="auto" w:fill="CCFFCC"/>
          </w:tcPr>
          <w:p>
            <w:pPr>
              <w:spacing w:after="0"/>
              <w:rPr>
                <w:sz w:val="12"/>
                <w:szCs w:val="12"/>
                <w:color w:val="auto"/>
              </w:rPr>
            </w:pPr>
          </w:p>
        </w:tc>
        <w:tc>
          <w:tcPr>
            <w:tcW w:w="8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108.3</w:t>
            </w:r>
          </w:p>
        </w:tc>
        <w:tc>
          <w:tcPr>
            <w:tcW w:w="240" w:type="dxa"/>
            <w:vAlign w:val="bottom"/>
            <w:shd w:val="clear" w:color="auto" w:fill="CCFFCC"/>
          </w:tcPr>
          <w:p>
            <w:pPr>
              <w:spacing w:after="0"/>
              <w:rPr>
                <w:sz w:val="12"/>
                <w:szCs w:val="12"/>
                <w:color w:val="auto"/>
              </w:rPr>
            </w:pPr>
          </w:p>
        </w:tc>
        <w:tc>
          <w:tcPr>
            <w:tcW w:w="8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101.1</w:t>
            </w:r>
          </w:p>
        </w:tc>
        <w:tc>
          <w:tcPr>
            <w:tcW w:w="220" w:type="dxa"/>
            <w:vAlign w:val="bottom"/>
            <w:shd w:val="clear" w:color="auto" w:fill="CCFFCC"/>
          </w:tcPr>
          <w:p>
            <w:pPr>
              <w:spacing w:after="0"/>
              <w:rPr>
                <w:sz w:val="12"/>
                <w:szCs w:val="12"/>
                <w:color w:val="auto"/>
              </w:rPr>
            </w:pPr>
          </w:p>
        </w:tc>
        <w:tc>
          <w:tcPr>
            <w:tcW w:w="8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106.6</w:t>
            </w:r>
          </w:p>
        </w:tc>
        <w:tc>
          <w:tcPr>
            <w:tcW w:w="220" w:type="dxa"/>
            <w:vAlign w:val="bottom"/>
            <w:shd w:val="clear" w:color="auto" w:fill="CCFFCC"/>
          </w:tcPr>
          <w:p>
            <w:pPr>
              <w:spacing w:after="0"/>
              <w:rPr>
                <w:sz w:val="12"/>
                <w:szCs w:val="12"/>
                <w:color w:val="auto"/>
              </w:rPr>
            </w:pPr>
          </w:p>
        </w:tc>
        <w:tc>
          <w:tcPr>
            <w:tcW w:w="11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1.6%</w:t>
            </w:r>
          </w:p>
        </w:tc>
        <w:tc>
          <w:tcPr>
            <w:tcW w:w="34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7.1%</w:t>
            </w:r>
          </w:p>
        </w:tc>
        <w:tc>
          <w:tcPr>
            <w:tcW w:w="88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6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88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24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880" w:type="dxa"/>
            <w:vAlign w:val="bottom"/>
            <w:shd w:val="clear" w:color="auto" w:fill="CCFFCC"/>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600" w:type="dxa"/>
            <w:vAlign w:val="bottom"/>
            <w:shd w:val="clear" w:color="auto" w:fill="CCFFCC"/>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880" w:type="dxa"/>
            <w:vAlign w:val="bottom"/>
            <w:shd w:val="clear" w:color="auto" w:fill="CCFFCC"/>
          </w:tcPr>
          <w:p>
            <w:pPr>
              <w:spacing w:after="0"/>
              <w:rPr>
                <w:sz w:val="2"/>
                <w:szCs w:val="2"/>
                <w:color w:val="auto"/>
              </w:rPr>
            </w:pPr>
          </w:p>
        </w:tc>
        <w:tc>
          <w:tcPr>
            <w:tcW w:w="16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240" w:type="dxa"/>
            <w:vAlign w:val="bottom"/>
          </w:tcPr>
          <w:p>
            <w:pPr>
              <w:spacing w:after="0" w:line="149" w:lineRule="exact"/>
              <w:rPr>
                <w:sz w:val="20"/>
                <w:szCs w:val="20"/>
                <w:color w:val="auto"/>
              </w:rPr>
            </w:pPr>
            <w:r>
              <w:rPr>
                <w:rFonts w:ascii="Arial" w:cs="Arial" w:eastAsia="Arial" w:hAnsi="Arial"/>
                <w:sz w:val="14"/>
                <w:szCs w:val="14"/>
                <w:color w:val="auto"/>
              </w:rPr>
              <w:t>PDL/Total loans</w:t>
            </w:r>
          </w:p>
        </w:tc>
        <w:tc>
          <w:tcPr>
            <w:tcW w:w="120" w:type="dxa"/>
            <w:vAlign w:val="bottom"/>
          </w:tcPr>
          <w:p>
            <w:pPr>
              <w:spacing w:after="0"/>
              <w:rPr>
                <w:sz w:val="12"/>
                <w:szCs w:val="12"/>
                <w:color w:val="auto"/>
              </w:rPr>
            </w:pPr>
          </w:p>
        </w:tc>
        <w:tc>
          <w:tcPr>
            <w:tcW w:w="11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1.80%</w:t>
            </w:r>
          </w:p>
        </w:tc>
        <w:tc>
          <w:tcPr>
            <w:tcW w:w="11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2.30%</w:t>
            </w:r>
          </w:p>
        </w:tc>
        <w:tc>
          <w:tcPr>
            <w:tcW w:w="11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2.00%</w:t>
            </w: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Coverage ratio of PDLs</w:t>
            </w:r>
          </w:p>
        </w:tc>
        <w:tc>
          <w:tcPr>
            <w:tcW w:w="1240" w:type="dxa"/>
            <w:vAlign w:val="bottom"/>
            <w:gridSpan w:val="3"/>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257.90%</w:t>
            </w:r>
          </w:p>
        </w:tc>
        <w:tc>
          <w:tcPr>
            <w:tcW w:w="11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241.30%</w:t>
            </w:r>
          </w:p>
        </w:tc>
        <w:tc>
          <w:tcPr>
            <w:tcW w:w="11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230.60%</w:t>
            </w:r>
          </w:p>
        </w:tc>
        <w:tc>
          <w:tcPr>
            <w:tcW w:w="88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340" w:type="dxa"/>
            <w:vAlign w:val="bottom"/>
            <w:shd w:val="clear" w:color="auto" w:fill="CCFFCC"/>
          </w:tcPr>
          <w:p>
            <w:pPr>
              <w:spacing w:after="0"/>
              <w:rPr>
                <w:sz w:val="12"/>
                <w:szCs w:val="12"/>
                <w:color w:val="auto"/>
              </w:rPr>
            </w:pPr>
          </w:p>
        </w:tc>
        <w:tc>
          <w:tcPr>
            <w:tcW w:w="54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88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6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88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tcPr>
          <w:p>
            <w:pPr>
              <w:spacing w:after="0" w:line="149" w:lineRule="exact"/>
              <w:rPr>
                <w:sz w:val="20"/>
                <w:szCs w:val="20"/>
                <w:color w:val="auto"/>
              </w:rPr>
            </w:pPr>
            <w:r>
              <w:rPr>
                <w:rFonts w:ascii="Arial" w:cs="Arial" w:eastAsia="Arial" w:hAnsi="Arial"/>
                <w:sz w:val="14"/>
                <w:szCs w:val="14"/>
                <w:color w:val="auto"/>
              </w:rPr>
              <w:t>ROAE*</w:t>
            </w:r>
          </w:p>
        </w:tc>
        <w:tc>
          <w:tcPr>
            <w:tcW w:w="124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30.40%</w:t>
            </w:r>
          </w:p>
        </w:tc>
        <w:tc>
          <w:tcPr>
            <w:tcW w:w="11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30.30%</w:t>
            </w:r>
          </w:p>
        </w:tc>
        <w:tc>
          <w:tcPr>
            <w:tcW w:w="11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53.40%</w:t>
            </w: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Branches</w:t>
            </w:r>
          </w:p>
        </w:tc>
        <w:tc>
          <w:tcPr>
            <w:tcW w:w="10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65</w:t>
            </w:r>
          </w:p>
        </w:tc>
        <w:tc>
          <w:tcPr>
            <w:tcW w:w="240" w:type="dxa"/>
            <w:vAlign w:val="bottom"/>
            <w:shd w:val="clear" w:color="auto" w:fill="CCFFCC"/>
          </w:tcPr>
          <w:p>
            <w:pPr>
              <w:spacing w:after="0"/>
              <w:rPr>
                <w:sz w:val="12"/>
                <w:szCs w:val="12"/>
                <w:color w:val="auto"/>
              </w:rPr>
            </w:pPr>
          </w:p>
        </w:tc>
        <w:tc>
          <w:tcPr>
            <w:tcW w:w="8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65</w:t>
            </w:r>
          </w:p>
        </w:tc>
        <w:tc>
          <w:tcPr>
            <w:tcW w:w="220" w:type="dxa"/>
            <w:vAlign w:val="bottom"/>
            <w:shd w:val="clear" w:color="auto" w:fill="CCFFCC"/>
          </w:tcPr>
          <w:p>
            <w:pPr>
              <w:spacing w:after="0"/>
              <w:rPr>
                <w:sz w:val="12"/>
                <w:szCs w:val="12"/>
                <w:color w:val="auto"/>
              </w:rPr>
            </w:pPr>
          </w:p>
        </w:tc>
        <w:tc>
          <w:tcPr>
            <w:tcW w:w="8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64</w:t>
            </w:r>
          </w:p>
        </w:tc>
        <w:tc>
          <w:tcPr>
            <w:tcW w:w="220" w:type="dxa"/>
            <w:vAlign w:val="bottom"/>
            <w:shd w:val="clear" w:color="auto" w:fill="CCFFCC"/>
          </w:tcPr>
          <w:p>
            <w:pPr>
              <w:spacing w:after="0"/>
              <w:rPr>
                <w:sz w:val="12"/>
                <w:szCs w:val="12"/>
                <w:color w:val="auto"/>
              </w:rPr>
            </w:pPr>
          </w:p>
        </w:tc>
        <w:tc>
          <w:tcPr>
            <w:tcW w:w="88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340" w:type="dxa"/>
            <w:vAlign w:val="bottom"/>
            <w:shd w:val="clear" w:color="auto" w:fill="CCFFCC"/>
          </w:tcPr>
          <w:p>
            <w:pPr>
              <w:spacing w:after="0"/>
              <w:rPr>
                <w:sz w:val="12"/>
                <w:szCs w:val="12"/>
                <w:color w:val="auto"/>
              </w:rPr>
            </w:pPr>
          </w:p>
        </w:tc>
        <w:tc>
          <w:tcPr>
            <w:tcW w:w="54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88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6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88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tcPr>
          <w:p>
            <w:pPr>
              <w:spacing w:after="0" w:line="149" w:lineRule="exact"/>
              <w:rPr>
                <w:sz w:val="20"/>
                <w:szCs w:val="20"/>
                <w:color w:val="auto"/>
              </w:rPr>
            </w:pPr>
            <w:r>
              <w:rPr>
                <w:rFonts w:ascii="Arial" w:cs="Arial" w:eastAsia="Arial" w:hAnsi="Arial"/>
                <w:sz w:val="14"/>
                <w:szCs w:val="14"/>
                <w:color w:val="auto"/>
              </w:rPr>
              <w:t>ATMs</w:t>
            </w: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172</w:t>
            </w:r>
          </w:p>
        </w:tc>
        <w:tc>
          <w:tcPr>
            <w:tcW w:w="2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172</w:t>
            </w:r>
          </w:p>
        </w:tc>
        <w:tc>
          <w:tcPr>
            <w:tcW w:w="22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184</w:t>
            </w: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240" w:type="dxa"/>
            <w:vAlign w:val="bottom"/>
            <w:tcBorders>
              <w:bottom w:val="single" w:sz="8" w:color="CCFFCC"/>
            </w:tcBorders>
            <w:shd w:val="clear" w:color="auto" w:fill="CCFFCC"/>
          </w:tcPr>
          <w:p>
            <w:pPr>
              <w:spacing w:after="0" w:line="149" w:lineRule="exact"/>
              <w:rPr>
                <w:sz w:val="20"/>
                <w:szCs w:val="20"/>
                <w:color w:val="auto"/>
              </w:rPr>
            </w:pPr>
            <w:r>
              <w:rPr>
                <w:rFonts w:ascii="Arial" w:cs="Arial" w:eastAsia="Arial" w:hAnsi="Arial"/>
                <w:sz w:val="14"/>
                <w:szCs w:val="14"/>
                <w:color w:val="auto"/>
              </w:rPr>
              <w:t>Employees</w:t>
            </w:r>
          </w:p>
        </w:tc>
        <w:tc>
          <w:tcPr>
            <w:tcW w:w="120" w:type="dxa"/>
            <w:vAlign w:val="bottom"/>
            <w:tcBorders>
              <w:bottom w:val="single" w:sz="8" w:color="CCFFCC"/>
            </w:tcBorders>
            <w:shd w:val="clear" w:color="auto" w:fill="CCFFCC"/>
          </w:tcPr>
          <w:p>
            <w:pPr>
              <w:spacing w:after="0"/>
              <w:rPr>
                <w:sz w:val="13"/>
                <w:szCs w:val="13"/>
                <w:color w:val="auto"/>
              </w:rPr>
            </w:pPr>
          </w:p>
        </w:tc>
        <w:tc>
          <w:tcPr>
            <w:tcW w:w="880" w:type="dxa"/>
            <w:vAlign w:val="bottom"/>
            <w:tcBorders>
              <w:bottom w:val="single" w:sz="8" w:color="auto"/>
            </w:tcBorders>
            <w:shd w:val="clear" w:color="auto" w:fill="CCFFCC"/>
          </w:tcPr>
          <w:p>
            <w:pPr>
              <w:jc w:val="right"/>
              <w:spacing w:after="0" w:line="149" w:lineRule="exact"/>
              <w:rPr>
                <w:sz w:val="20"/>
                <w:szCs w:val="20"/>
                <w:color w:val="auto"/>
              </w:rPr>
            </w:pPr>
            <w:r>
              <w:rPr>
                <w:rFonts w:ascii="Arial" w:cs="Arial" w:eastAsia="Arial" w:hAnsi="Arial"/>
                <w:sz w:val="14"/>
                <w:szCs w:val="14"/>
                <w:color w:val="auto"/>
              </w:rPr>
              <w:t>1,518</w:t>
            </w:r>
          </w:p>
        </w:tc>
        <w:tc>
          <w:tcPr>
            <w:tcW w:w="240" w:type="dxa"/>
            <w:vAlign w:val="bottom"/>
            <w:tcBorders>
              <w:bottom w:val="single" w:sz="8" w:color="CCFFCC"/>
            </w:tcBorders>
            <w:shd w:val="clear" w:color="auto" w:fill="CCFFCC"/>
          </w:tcPr>
          <w:p>
            <w:pPr>
              <w:spacing w:after="0"/>
              <w:rPr>
                <w:sz w:val="13"/>
                <w:szCs w:val="13"/>
                <w:color w:val="auto"/>
              </w:rPr>
            </w:pPr>
          </w:p>
        </w:tc>
        <w:tc>
          <w:tcPr>
            <w:tcW w:w="880" w:type="dxa"/>
            <w:vAlign w:val="bottom"/>
            <w:tcBorders>
              <w:bottom w:val="single" w:sz="8" w:color="auto"/>
            </w:tcBorders>
            <w:shd w:val="clear" w:color="auto" w:fill="CCFFCC"/>
          </w:tcPr>
          <w:p>
            <w:pPr>
              <w:jc w:val="right"/>
              <w:spacing w:after="0" w:line="149" w:lineRule="exact"/>
              <w:rPr>
                <w:sz w:val="20"/>
                <w:szCs w:val="20"/>
                <w:color w:val="auto"/>
              </w:rPr>
            </w:pPr>
            <w:r>
              <w:rPr>
                <w:rFonts w:ascii="Arial" w:cs="Arial" w:eastAsia="Arial" w:hAnsi="Arial"/>
                <w:sz w:val="14"/>
                <w:szCs w:val="14"/>
                <w:color w:val="auto"/>
              </w:rPr>
              <w:t>1,522</w:t>
            </w:r>
          </w:p>
        </w:tc>
        <w:tc>
          <w:tcPr>
            <w:tcW w:w="220" w:type="dxa"/>
            <w:vAlign w:val="bottom"/>
            <w:tcBorders>
              <w:bottom w:val="single" w:sz="8" w:color="CCFFCC"/>
            </w:tcBorders>
            <w:shd w:val="clear" w:color="auto" w:fill="CCFFCC"/>
          </w:tcPr>
          <w:p>
            <w:pPr>
              <w:spacing w:after="0"/>
              <w:rPr>
                <w:sz w:val="13"/>
                <w:szCs w:val="13"/>
                <w:color w:val="auto"/>
              </w:rPr>
            </w:pPr>
          </w:p>
        </w:tc>
        <w:tc>
          <w:tcPr>
            <w:tcW w:w="880" w:type="dxa"/>
            <w:vAlign w:val="bottom"/>
            <w:tcBorders>
              <w:bottom w:val="single" w:sz="8" w:color="auto"/>
            </w:tcBorders>
            <w:shd w:val="clear" w:color="auto" w:fill="CCFFCC"/>
          </w:tcPr>
          <w:p>
            <w:pPr>
              <w:jc w:val="right"/>
              <w:spacing w:after="0" w:line="149" w:lineRule="exact"/>
              <w:rPr>
                <w:sz w:val="20"/>
                <w:szCs w:val="20"/>
                <w:color w:val="auto"/>
              </w:rPr>
            </w:pPr>
            <w:r>
              <w:rPr>
                <w:rFonts w:ascii="Arial" w:cs="Arial" w:eastAsia="Arial" w:hAnsi="Arial"/>
                <w:sz w:val="14"/>
                <w:szCs w:val="14"/>
                <w:color w:val="auto"/>
              </w:rPr>
              <w:t>1,593</w:t>
            </w:r>
          </w:p>
        </w:tc>
        <w:tc>
          <w:tcPr>
            <w:tcW w:w="220" w:type="dxa"/>
            <w:vAlign w:val="bottom"/>
            <w:tcBorders>
              <w:bottom w:val="single" w:sz="8" w:color="CCFFCC"/>
            </w:tcBorders>
            <w:shd w:val="clear" w:color="auto" w:fill="CCFFCC"/>
          </w:tcPr>
          <w:p>
            <w:pPr>
              <w:spacing w:after="0"/>
              <w:rPr>
                <w:sz w:val="13"/>
                <w:szCs w:val="13"/>
                <w:color w:val="auto"/>
              </w:rPr>
            </w:pPr>
          </w:p>
        </w:tc>
        <w:tc>
          <w:tcPr>
            <w:tcW w:w="880" w:type="dxa"/>
            <w:vAlign w:val="bottom"/>
            <w:tcBorders>
              <w:bottom w:val="single" w:sz="8" w:color="CCFFCC"/>
            </w:tcBorders>
            <w:shd w:val="clear" w:color="auto" w:fill="CCFFCC"/>
          </w:tcPr>
          <w:p>
            <w:pPr>
              <w:spacing w:after="0"/>
              <w:rPr>
                <w:sz w:val="13"/>
                <w:szCs w:val="13"/>
                <w:color w:val="auto"/>
              </w:rPr>
            </w:pPr>
          </w:p>
        </w:tc>
        <w:tc>
          <w:tcPr>
            <w:tcW w:w="260" w:type="dxa"/>
            <w:vAlign w:val="bottom"/>
            <w:tcBorders>
              <w:bottom w:val="single" w:sz="8" w:color="CCFFCC"/>
            </w:tcBorders>
            <w:shd w:val="clear" w:color="auto" w:fill="CCFFCC"/>
          </w:tcPr>
          <w:p>
            <w:pPr>
              <w:spacing w:after="0"/>
              <w:rPr>
                <w:sz w:val="13"/>
                <w:szCs w:val="13"/>
                <w:color w:val="auto"/>
              </w:rPr>
            </w:pPr>
          </w:p>
        </w:tc>
        <w:tc>
          <w:tcPr>
            <w:tcW w:w="340" w:type="dxa"/>
            <w:vAlign w:val="bottom"/>
            <w:tcBorders>
              <w:bottom w:val="single" w:sz="8" w:color="CCFFCC"/>
            </w:tcBorders>
            <w:shd w:val="clear" w:color="auto" w:fill="CCFFCC"/>
          </w:tcPr>
          <w:p>
            <w:pPr>
              <w:spacing w:after="0"/>
              <w:rPr>
                <w:sz w:val="13"/>
                <w:szCs w:val="13"/>
                <w:color w:val="auto"/>
              </w:rPr>
            </w:pPr>
          </w:p>
        </w:tc>
        <w:tc>
          <w:tcPr>
            <w:tcW w:w="540" w:type="dxa"/>
            <w:vAlign w:val="bottom"/>
            <w:tcBorders>
              <w:bottom w:val="single" w:sz="8" w:color="CCFFCC"/>
            </w:tcBorders>
            <w:shd w:val="clear" w:color="auto" w:fill="CCFFCC"/>
          </w:tcPr>
          <w:p>
            <w:pPr>
              <w:spacing w:after="0"/>
              <w:rPr>
                <w:sz w:val="13"/>
                <w:szCs w:val="13"/>
                <w:color w:val="auto"/>
              </w:rPr>
            </w:pPr>
          </w:p>
        </w:tc>
        <w:tc>
          <w:tcPr>
            <w:tcW w:w="260" w:type="dxa"/>
            <w:vAlign w:val="bottom"/>
            <w:tcBorders>
              <w:bottom w:val="single" w:sz="8" w:color="CCFFCC"/>
            </w:tcBorders>
            <w:shd w:val="clear" w:color="auto" w:fill="CCFFCC"/>
          </w:tcPr>
          <w:p>
            <w:pPr>
              <w:spacing w:after="0"/>
              <w:rPr>
                <w:sz w:val="13"/>
                <w:szCs w:val="13"/>
                <w:color w:val="auto"/>
              </w:rPr>
            </w:pPr>
          </w:p>
        </w:tc>
        <w:tc>
          <w:tcPr>
            <w:tcW w:w="880" w:type="dxa"/>
            <w:vAlign w:val="bottom"/>
            <w:tcBorders>
              <w:bottom w:val="single" w:sz="8" w:color="CCFFCC"/>
            </w:tcBorders>
            <w:shd w:val="clear" w:color="auto" w:fill="CCFFCC"/>
          </w:tcPr>
          <w:p>
            <w:pPr>
              <w:spacing w:after="0"/>
              <w:rPr>
                <w:sz w:val="13"/>
                <w:szCs w:val="13"/>
                <w:color w:val="auto"/>
              </w:rPr>
            </w:pPr>
          </w:p>
        </w:tc>
        <w:tc>
          <w:tcPr>
            <w:tcW w:w="220" w:type="dxa"/>
            <w:vAlign w:val="bottom"/>
            <w:tcBorders>
              <w:bottom w:val="single" w:sz="8" w:color="CCFFCC"/>
            </w:tcBorders>
            <w:shd w:val="clear" w:color="auto" w:fill="CCFFCC"/>
          </w:tcPr>
          <w:p>
            <w:pPr>
              <w:spacing w:after="0"/>
              <w:rPr>
                <w:sz w:val="13"/>
                <w:szCs w:val="13"/>
                <w:color w:val="auto"/>
              </w:rPr>
            </w:pPr>
          </w:p>
        </w:tc>
        <w:tc>
          <w:tcPr>
            <w:tcW w:w="260" w:type="dxa"/>
            <w:vAlign w:val="bottom"/>
            <w:tcBorders>
              <w:bottom w:val="single" w:sz="8" w:color="CCFFCC"/>
            </w:tcBorders>
            <w:shd w:val="clear" w:color="auto" w:fill="CCFFCC"/>
          </w:tcPr>
          <w:p>
            <w:pPr>
              <w:spacing w:after="0"/>
              <w:rPr>
                <w:sz w:val="13"/>
                <w:szCs w:val="13"/>
                <w:color w:val="auto"/>
              </w:rPr>
            </w:pPr>
          </w:p>
        </w:tc>
        <w:tc>
          <w:tcPr>
            <w:tcW w:w="600" w:type="dxa"/>
            <w:vAlign w:val="bottom"/>
            <w:tcBorders>
              <w:bottom w:val="single" w:sz="8" w:color="CCFFCC"/>
            </w:tcBorders>
            <w:shd w:val="clear" w:color="auto" w:fill="CCFFCC"/>
          </w:tcPr>
          <w:p>
            <w:pPr>
              <w:spacing w:after="0"/>
              <w:rPr>
                <w:sz w:val="13"/>
                <w:szCs w:val="13"/>
                <w:color w:val="auto"/>
              </w:rPr>
            </w:pPr>
          </w:p>
        </w:tc>
        <w:tc>
          <w:tcPr>
            <w:tcW w:w="220" w:type="dxa"/>
            <w:vAlign w:val="bottom"/>
            <w:tcBorders>
              <w:bottom w:val="single" w:sz="8" w:color="CCFFCC"/>
            </w:tcBorders>
            <w:shd w:val="clear" w:color="auto" w:fill="CCFFCC"/>
          </w:tcPr>
          <w:p>
            <w:pPr>
              <w:spacing w:after="0"/>
              <w:rPr>
                <w:sz w:val="13"/>
                <w:szCs w:val="13"/>
                <w:color w:val="auto"/>
              </w:rPr>
            </w:pPr>
          </w:p>
        </w:tc>
        <w:tc>
          <w:tcPr>
            <w:tcW w:w="880" w:type="dxa"/>
            <w:vAlign w:val="bottom"/>
            <w:tcBorders>
              <w:bottom w:val="single" w:sz="8" w:color="CCFFCC"/>
            </w:tcBorders>
            <w:shd w:val="clear" w:color="auto" w:fill="CCFFCC"/>
          </w:tcPr>
          <w:p>
            <w:pPr>
              <w:spacing w:after="0"/>
              <w:rPr>
                <w:sz w:val="13"/>
                <w:szCs w:val="13"/>
                <w:color w:val="auto"/>
              </w:rPr>
            </w:pPr>
          </w:p>
        </w:tc>
        <w:tc>
          <w:tcPr>
            <w:tcW w:w="160" w:type="dxa"/>
            <w:vAlign w:val="bottom"/>
            <w:tcBorders>
              <w:bottom w:val="single" w:sz="8" w:color="CCFFCC"/>
            </w:tcBorders>
            <w:shd w:val="clear" w:color="auto" w:fill="CCFFCC"/>
          </w:tcPr>
          <w:p>
            <w:pPr>
              <w:spacing w:after="0"/>
              <w:rPr>
                <w:sz w:val="13"/>
                <w:szCs w:val="13"/>
                <w:color w:val="auto"/>
              </w:rPr>
            </w:pPr>
          </w:p>
        </w:tc>
        <w:tc>
          <w:tcPr>
            <w:tcW w:w="0" w:type="dxa"/>
            <w:vAlign w:val="bottom"/>
          </w:tcPr>
          <w:p>
            <w:pPr>
              <w:spacing w:after="0"/>
              <w:rPr>
                <w:sz w:val="1"/>
                <w:szCs w:val="1"/>
                <w:color w:val="auto"/>
              </w:rPr>
            </w:pPr>
          </w:p>
        </w:tc>
      </w:tr>
    </w:tbl>
    <w:p>
      <w:pPr>
        <w:ind w:left="180"/>
        <w:spacing w:after="0"/>
        <w:rPr>
          <w:sz w:val="20"/>
          <w:szCs w:val="20"/>
          <w:color w:val="auto"/>
        </w:rPr>
      </w:pPr>
      <w:r>
        <w:rPr>
          <w:rFonts w:ascii="Arial" w:cs="Arial" w:eastAsia="Arial" w:hAnsi="Arial"/>
          <w:sz w:val="18"/>
          <w:szCs w:val="18"/>
          <w:i w:val="1"/>
          <w:iCs w:val="1"/>
          <w:color w:val="auto"/>
        </w:rPr>
        <w:t>* ROAE: (Acumulated net income/Average monthly equity (from dec. 08 to date))/(number of months)*12</w:t>
      </w:r>
    </w:p>
    <w:p>
      <w:pPr>
        <w:spacing w:after="0" w:line="3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60"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6254750</wp:posOffset>
            </wp:positionH>
            <wp:positionV relativeFrom="page">
              <wp:posOffset>337820</wp:posOffset>
            </wp:positionV>
            <wp:extent cx="1149350" cy="3175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clrChange>
                        <a:clrFrom>
                          <a:srgbClr val="FFFFFF"/>
                        </a:clrFrom>
                        <a:clrTo>
                          <a:srgbClr val="FFFFFF">
                            <a:alpha val="0"/>
                          </a:srgbClr>
                        </a:clrTo>
                      </a:clrChange>
                      <a:extLst>
                        <a:ext uri="{28A0092B-C50C-407E-A947-70E740481C1C}"/>
                      </a:extLst>
                    </a:blip>
                    <a:srcRect/>
                    <a:stretch>
                      <a:fillRect/>
                    </a:stretch>
                  </pic:blipFill>
                  <pic:spPr bwMode="auto">
                    <a:xfrm>
                      <a:off x="0" y="0"/>
                      <a:ext cx="1149350" cy="317500"/>
                    </a:xfrm>
                    <a:prstGeom prst="rect">
                      <a:avLst/>
                    </a:prstGeom>
                    <a:noFill/>
                  </pic:spPr>
                </pic:pic>
              </a:graphicData>
            </a:graphic>
          </wp:anchor>
        </w:drawing>
        <w:t>IV. Atlantic Security Holding Corporation</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40" w:type="dxa"/>
            <w:vAlign w:val="bottom"/>
            <w:gridSpan w:val="2"/>
          </w:tcPr>
          <w:p>
            <w:pPr>
              <w:spacing w:after="0"/>
              <w:rPr>
                <w:sz w:val="20"/>
                <w:szCs w:val="20"/>
                <w:color w:val="auto"/>
              </w:rPr>
            </w:pPr>
            <w:r>
              <w:rPr>
                <w:rFonts w:ascii="Arial" w:cs="Arial" w:eastAsia="Arial" w:hAnsi="Arial"/>
                <w:sz w:val="14"/>
                <w:szCs w:val="14"/>
                <w:b w:val="1"/>
                <w:bCs w:val="1"/>
                <w:color w:val="auto"/>
              </w:rPr>
              <w:t>ASHC</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Quarter</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6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rPr>
              <w:t>Change %</w:t>
            </w:r>
          </w:p>
        </w:tc>
        <w:tc>
          <w:tcPr>
            <w:tcW w:w="176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rPr>
              <w:t>Year ended</w:t>
            </w: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vMerge w:val="restart"/>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4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(US$ Million)</w:t>
            </w:r>
          </w:p>
        </w:tc>
        <w:tc>
          <w:tcPr>
            <w:tcW w:w="120" w:type="dxa"/>
            <w:vAlign w:val="bottom"/>
          </w:tcPr>
          <w:p>
            <w:pPr>
              <w:spacing w:after="0"/>
              <w:rPr>
                <w:sz w:val="10"/>
                <w:szCs w:val="10"/>
                <w:color w:val="auto"/>
              </w:rPr>
            </w:pPr>
          </w:p>
        </w:tc>
        <w:tc>
          <w:tcPr>
            <w:tcW w:w="88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4Q 2009</w:t>
            </w:r>
          </w:p>
        </w:tc>
        <w:tc>
          <w:tcPr>
            <w:tcW w:w="90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3Q 2009</w:t>
            </w:r>
          </w:p>
        </w:tc>
        <w:tc>
          <w:tcPr>
            <w:tcW w:w="88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4Q 2008</w:t>
            </w:r>
          </w:p>
        </w:tc>
        <w:tc>
          <w:tcPr>
            <w:tcW w:w="880" w:type="dxa"/>
            <w:vAlign w:val="bottom"/>
            <w:gridSpan w:val="2"/>
          </w:tcPr>
          <w:p>
            <w:pPr>
              <w:jc w:val="center"/>
              <w:ind w:right="200"/>
              <w:spacing w:after="0" w:line="126" w:lineRule="exact"/>
              <w:rPr>
                <w:sz w:val="20"/>
                <w:szCs w:val="20"/>
                <w:color w:val="auto"/>
              </w:rPr>
            </w:pPr>
            <w:r>
              <w:rPr>
                <w:rFonts w:ascii="Arial" w:cs="Arial" w:eastAsia="Arial" w:hAnsi="Arial"/>
                <w:sz w:val="14"/>
                <w:szCs w:val="14"/>
                <w:b w:val="1"/>
                <w:bCs w:val="1"/>
                <w:color w:val="auto"/>
              </w:rPr>
              <w:t>4Q09 / 4</w:t>
            </w:r>
          </w:p>
        </w:tc>
        <w:tc>
          <w:tcPr>
            <w:tcW w:w="660" w:type="dxa"/>
            <w:vAlign w:val="bottom"/>
          </w:tcPr>
          <w:p>
            <w:pPr>
              <w:jc w:val="center"/>
              <w:spacing w:after="0" w:line="126" w:lineRule="exact"/>
              <w:rPr>
                <w:sz w:val="20"/>
                <w:szCs w:val="20"/>
                <w:color w:val="auto"/>
              </w:rPr>
            </w:pPr>
            <w:r>
              <w:rPr>
                <w:rFonts w:ascii="Arial" w:cs="Arial" w:eastAsia="Arial" w:hAnsi="Arial"/>
                <w:sz w:val="14"/>
                <w:szCs w:val="14"/>
                <w:b w:val="1"/>
                <w:bCs w:val="1"/>
                <w:color w:val="auto"/>
              </w:rPr>
              <w:t>4Q09 / 3</w:t>
            </w:r>
          </w:p>
        </w:tc>
        <w:tc>
          <w:tcPr>
            <w:tcW w:w="220" w:type="dxa"/>
            <w:vAlign w:val="bottom"/>
            <w:vMerge w:val="continue"/>
          </w:tcPr>
          <w:p>
            <w:pPr>
              <w:spacing w:after="0"/>
              <w:rPr>
                <w:sz w:val="10"/>
                <w:szCs w:val="10"/>
                <w:color w:val="auto"/>
              </w:rPr>
            </w:pPr>
          </w:p>
        </w:tc>
        <w:tc>
          <w:tcPr>
            <w:tcW w:w="66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2009</w:t>
            </w:r>
          </w:p>
        </w:tc>
        <w:tc>
          <w:tcPr>
            <w:tcW w:w="220" w:type="dxa"/>
            <w:vAlign w:val="bottom"/>
          </w:tcPr>
          <w:p>
            <w:pPr>
              <w:spacing w:after="0"/>
              <w:rPr>
                <w:sz w:val="10"/>
                <w:szCs w:val="10"/>
                <w:color w:val="auto"/>
              </w:rPr>
            </w:pPr>
          </w:p>
        </w:tc>
        <w:tc>
          <w:tcPr>
            <w:tcW w:w="66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2008</w:t>
            </w:r>
          </w:p>
        </w:tc>
        <w:tc>
          <w:tcPr>
            <w:tcW w:w="220" w:type="dxa"/>
            <w:vAlign w:val="bottom"/>
          </w:tcPr>
          <w:p>
            <w:pPr>
              <w:spacing w:after="0"/>
              <w:rPr>
                <w:sz w:val="10"/>
                <w:szCs w:val="10"/>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Change %</w:t>
            </w:r>
          </w:p>
        </w:tc>
        <w:tc>
          <w:tcPr>
            <w:tcW w:w="0" w:type="dxa"/>
            <w:vAlign w:val="bottom"/>
          </w:tcPr>
          <w:p>
            <w:pPr>
              <w:spacing w:after="0"/>
              <w:rPr>
                <w:sz w:val="1"/>
                <w:szCs w:val="1"/>
                <w:color w:val="auto"/>
              </w:rPr>
            </w:pPr>
          </w:p>
        </w:tc>
      </w:tr>
      <w:tr>
        <w:trPr>
          <w:trHeight w:val="171"/>
        </w:trPr>
        <w:tc>
          <w:tcPr>
            <w:tcW w:w="40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Q08</w:t>
            </w: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Q09</w:t>
            </w:r>
          </w:p>
        </w:tc>
        <w:tc>
          <w:tcPr>
            <w:tcW w:w="6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02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Net interest income</w:t>
            </w:r>
          </w:p>
        </w:tc>
        <w:tc>
          <w:tcPr>
            <w:tcW w:w="120" w:type="dxa"/>
            <w:vAlign w:val="bottom"/>
            <w:shd w:val="clear" w:color="auto" w:fill="CCFFCC"/>
          </w:tcPr>
          <w:p>
            <w:pPr>
              <w:spacing w:after="0"/>
              <w:rPr>
                <w:sz w:val="12"/>
                <w:szCs w:val="12"/>
                <w:color w:val="auto"/>
              </w:rPr>
            </w:pPr>
          </w:p>
        </w:tc>
        <w:tc>
          <w:tcPr>
            <w:tcW w:w="66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9.4</w:t>
            </w:r>
          </w:p>
        </w:tc>
        <w:tc>
          <w:tcPr>
            <w:tcW w:w="220" w:type="dxa"/>
            <w:vAlign w:val="bottom"/>
            <w:shd w:val="clear" w:color="auto" w:fill="CCFFCC"/>
          </w:tcPr>
          <w:p>
            <w:pPr>
              <w:spacing w:after="0"/>
              <w:rPr>
                <w:sz w:val="12"/>
                <w:szCs w:val="12"/>
                <w:color w:val="auto"/>
              </w:rPr>
            </w:pPr>
          </w:p>
        </w:tc>
        <w:tc>
          <w:tcPr>
            <w:tcW w:w="90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7.5</w:t>
            </w:r>
          </w:p>
        </w:tc>
        <w:tc>
          <w:tcPr>
            <w:tcW w:w="8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5.8</w:t>
            </w:r>
          </w:p>
        </w:tc>
        <w:tc>
          <w:tcPr>
            <w:tcW w:w="88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62.6</w:t>
            </w:r>
          </w:p>
        </w:tc>
        <w:tc>
          <w:tcPr>
            <w:tcW w:w="8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26.6</w:t>
            </w:r>
          </w:p>
        </w:tc>
        <w:tc>
          <w:tcPr>
            <w:tcW w:w="8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29.4</w:t>
            </w:r>
          </w:p>
        </w:tc>
        <w:tc>
          <w:tcPr>
            <w:tcW w:w="8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24.1</w:t>
            </w:r>
          </w:p>
        </w:tc>
        <w:tc>
          <w:tcPr>
            <w:tcW w:w="860" w:type="dxa"/>
            <w:vAlign w:val="bottom"/>
            <w:gridSpan w:val="2"/>
            <w:shd w:val="clear" w:color="auto" w:fill="CCFFCC"/>
          </w:tcPr>
          <w:p>
            <w:pPr>
              <w:jc w:val="right"/>
              <w:ind w:right="40"/>
              <w:spacing w:after="0" w:line="149" w:lineRule="exact"/>
              <w:rPr>
                <w:sz w:val="20"/>
                <w:szCs w:val="20"/>
                <w:color w:val="auto"/>
              </w:rPr>
            </w:pPr>
            <w:r>
              <w:rPr>
                <w:rFonts w:ascii="Arial" w:cs="Arial" w:eastAsia="Arial" w:hAnsi="Arial"/>
                <w:sz w:val="14"/>
                <w:szCs w:val="14"/>
                <w:color w:val="auto"/>
              </w:rPr>
              <w:t>22.1%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tcPr>
          <w:p>
            <w:pPr>
              <w:spacing w:after="0" w:line="149" w:lineRule="exact"/>
              <w:rPr>
                <w:sz w:val="20"/>
                <w:szCs w:val="20"/>
                <w:color w:val="auto"/>
              </w:rPr>
            </w:pPr>
            <w:r>
              <w:rPr>
                <w:rFonts w:ascii="Arial" w:cs="Arial" w:eastAsia="Arial" w:hAnsi="Arial"/>
                <w:sz w:val="14"/>
                <w:szCs w:val="14"/>
                <w:color w:val="auto"/>
              </w:rPr>
              <w:t>Dividend income</w:t>
            </w:r>
          </w:p>
        </w:tc>
        <w:tc>
          <w:tcPr>
            <w:tcW w:w="100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0.2</w:t>
            </w: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0.1</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0.2</w:t>
            </w: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2.8</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100.0</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22.3</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22.4</w:t>
            </w:r>
          </w:p>
        </w:tc>
        <w:tc>
          <w:tcPr>
            <w:tcW w:w="8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Fees and commissions from services</w:t>
            </w:r>
          </w:p>
        </w:tc>
        <w:tc>
          <w:tcPr>
            <w:tcW w:w="1000" w:type="dxa"/>
            <w:vAlign w:val="bottom"/>
            <w:gridSpan w:val="3"/>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2.5</w:t>
            </w:r>
          </w:p>
        </w:tc>
        <w:tc>
          <w:tcPr>
            <w:tcW w:w="90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1.5</w:t>
            </w:r>
          </w:p>
        </w:tc>
        <w:tc>
          <w:tcPr>
            <w:tcW w:w="8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2.0</w:t>
            </w:r>
          </w:p>
        </w:tc>
        <w:tc>
          <w:tcPr>
            <w:tcW w:w="88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24.2</w:t>
            </w:r>
          </w:p>
        </w:tc>
        <w:tc>
          <w:tcPr>
            <w:tcW w:w="8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58.4</w:t>
            </w:r>
          </w:p>
        </w:tc>
        <w:tc>
          <w:tcPr>
            <w:tcW w:w="8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6.5</w:t>
            </w:r>
          </w:p>
        </w:tc>
        <w:tc>
          <w:tcPr>
            <w:tcW w:w="8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8.5</w:t>
            </w:r>
          </w:p>
        </w:tc>
        <w:tc>
          <w:tcPr>
            <w:tcW w:w="860" w:type="dxa"/>
            <w:vAlign w:val="bottom"/>
            <w:gridSpan w:val="2"/>
            <w:shd w:val="clear" w:color="auto" w:fill="CCFFCC"/>
          </w:tcPr>
          <w:p>
            <w:pPr>
              <w:jc w:val="right"/>
              <w:ind w:right="40"/>
              <w:spacing w:after="0" w:line="149" w:lineRule="exact"/>
              <w:rPr>
                <w:sz w:val="20"/>
                <w:szCs w:val="20"/>
                <w:color w:val="auto"/>
              </w:rPr>
            </w:pPr>
            <w:r>
              <w:rPr>
                <w:rFonts w:ascii="Arial" w:cs="Arial" w:eastAsia="Arial" w:hAnsi="Arial"/>
                <w:sz w:val="14"/>
                <w:szCs w:val="14"/>
                <w:color w:val="auto"/>
              </w:rPr>
              <w:t>-23.6%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tcPr>
          <w:p>
            <w:pPr>
              <w:spacing w:after="0" w:line="149" w:lineRule="exact"/>
              <w:rPr>
                <w:sz w:val="20"/>
                <w:szCs w:val="20"/>
                <w:color w:val="auto"/>
              </w:rPr>
            </w:pPr>
            <w:r>
              <w:rPr>
                <w:rFonts w:ascii="Arial" w:cs="Arial" w:eastAsia="Arial" w:hAnsi="Arial"/>
                <w:sz w:val="14"/>
                <w:szCs w:val="14"/>
                <w:color w:val="auto"/>
              </w:rPr>
              <w:t>Net gains on foreign exchange transactions</w:t>
            </w:r>
          </w:p>
        </w:tc>
        <w:tc>
          <w:tcPr>
            <w:tcW w:w="100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-0.1</w:t>
            </w: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0.1</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-0.6</w:t>
            </w: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87.9</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-152.2</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-0.6</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-0.3</w:t>
            </w:r>
          </w:p>
        </w:tc>
        <w:tc>
          <w:tcPr>
            <w:tcW w:w="8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72.5%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Core Revenues</w:t>
            </w:r>
          </w:p>
        </w:tc>
        <w:tc>
          <w:tcPr>
            <w:tcW w:w="120" w:type="dxa"/>
            <w:vAlign w:val="bottom"/>
            <w:shd w:val="clear" w:color="auto" w:fill="CCFFCC"/>
          </w:tcPr>
          <w:p>
            <w:pPr>
              <w:spacing w:after="0"/>
              <w:rPr>
                <w:sz w:val="12"/>
                <w:szCs w:val="12"/>
                <w:color w:val="auto"/>
              </w:rPr>
            </w:pPr>
          </w:p>
        </w:tc>
        <w:tc>
          <w:tcPr>
            <w:tcW w:w="66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12.0</w:t>
            </w:r>
          </w:p>
        </w:tc>
        <w:tc>
          <w:tcPr>
            <w:tcW w:w="220" w:type="dxa"/>
            <w:vAlign w:val="bottom"/>
            <w:shd w:val="clear" w:color="auto" w:fill="CCFFCC"/>
          </w:tcPr>
          <w:p>
            <w:pPr>
              <w:spacing w:after="0"/>
              <w:rPr>
                <w:sz w:val="12"/>
                <w:szCs w:val="12"/>
                <w:color w:val="auto"/>
              </w:rPr>
            </w:pPr>
          </w:p>
        </w:tc>
        <w:tc>
          <w:tcPr>
            <w:tcW w:w="90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9.3</w:t>
            </w:r>
          </w:p>
        </w:tc>
        <w:tc>
          <w:tcPr>
            <w:tcW w:w="8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7.3</w:t>
            </w:r>
          </w:p>
        </w:tc>
        <w:tc>
          <w:tcPr>
            <w:tcW w:w="88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b w:val="1"/>
                <w:bCs w:val="1"/>
                <w:color w:val="auto"/>
              </w:rPr>
              <w:t>63.6</w:t>
            </w:r>
          </w:p>
        </w:tc>
        <w:tc>
          <w:tcPr>
            <w:tcW w:w="8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29.0</w:t>
            </w:r>
          </w:p>
        </w:tc>
        <w:tc>
          <w:tcPr>
            <w:tcW w:w="8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57.6</w:t>
            </w:r>
          </w:p>
        </w:tc>
        <w:tc>
          <w:tcPr>
            <w:tcW w:w="8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54.6</w:t>
            </w:r>
          </w:p>
        </w:tc>
        <w:tc>
          <w:tcPr>
            <w:tcW w:w="86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b w:val="1"/>
                <w:bCs w:val="1"/>
                <w:color w:val="auto"/>
              </w:rPr>
              <w:t>5.6%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2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020" w:type="dxa"/>
            <w:vAlign w:val="bottom"/>
          </w:tcPr>
          <w:p>
            <w:pPr>
              <w:spacing w:after="0" w:line="149" w:lineRule="exact"/>
              <w:rPr>
                <w:sz w:val="20"/>
                <w:szCs w:val="20"/>
                <w:color w:val="auto"/>
              </w:rPr>
            </w:pPr>
            <w:r>
              <w:rPr>
                <w:rFonts w:ascii="Arial" w:cs="Arial" w:eastAsia="Arial" w:hAnsi="Arial"/>
                <w:sz w:val="14"/>
                <w:szCs w:val="14"/>
                <w:color w:val="auto"/>
              </w:rPr>
              <w:t>Impairment provisions, net of recoveries</w:t>
            </w: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-2.3</w:t>
            </w:r>
          </w:p>
        </w:tc>
        <w:tc>
          <w:tcPr>
            <w:tcW w:w="220" w:type="dxa"/>
            <w:vAlign w:val="bottom"/>
          </w:tcPr>
          <w:p>
            <w:pPr>
              <w:spacing w:after="0"/>
              <w:rPr>
                <w:sz w:val="12"/>
                <w:szCs w:val="12"/>
                <w:color w:val="auto"/>
              </w:rPr>
            </w:pP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-0.9</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-26.0</w:t>
            </w: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91.1</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-144.6</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-10.7</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-35.4</w:t>
            </w:r>
          </w:p>
        </w:tc>
        <w:tc>
          <w:tcPr>
            <w:tcW w:w="8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-69.7%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Losses related to Madoff Securities LLC</w:t>
            </w:r>
          </w:p>
        </w:tc>
        <w:tc>
          <w:tcPr>
            <w:tcW w:w="1000" w:type="dxa"/>
            <w:vAlign w:val="bottom"/>
            <w:gridSpan w:val="3"/>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0.0</w:t>
            </w:r>
          </w:p>
        </w:tc>
        <w:tc>
          <w:tcPr>
            <w:tcW w:w="90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0.0</w:t>
            </w:r>
          </w:p>
        </w:tc>
        <w:tc>
          <w:tcPr>
            <w:tcW w:w="8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-43.5</w:t>
            </w:r>
          </w:p>
        </w:tc>
        <w:tc>
          <w:tcPr>
            <w:tcW w:w="88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0.0</w:t>
            </w:r>
          </w:p>
        </w:tc>
        <w:tc>
          <w:tcPr>
            <w:tcW w:w="8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0.0</w:t>
            </w:r>
          </w:p>
        </w:tc>
        <w:tc>
          <w:tcPr>
            <w:tcW w:w="8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0.0</w:t>
            </w:r>
          </w:p>
        </w:tc>
        <w:tc>
          <w:tcPr>
            <w:tcW w:w="8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-43.5</w:t>
            </w:r>
          </w:p>
        </w:tc>
        <w:tc>
          <w:tcPr>
            <w:tcW w:w="860" w:type="dxa"/>
            <w:vAlign w:val="bottom"/>
            <w:gridSpan w:val="2"/>
            <w:shd w:val="clear" w:color="auto" w:fill="CCFFCC"/>
          </w:tcPr>
          <w:p>
            <w:pPr>
              <w:jc w:val="right"/>
              <w:ind w:right="40"/>
              <w:spacing w:after="0" w:line="149" w:lineRule="exact"/>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tcPr>
          <w:p>
            <w:pPr>
              <w:spacing w:after="0" w:line="149" w:lineRule="exact"/>
              <w:rPr>
                <w:sz w:val="20"/>
                <w:szCs w:val="20"/>
                <w:color w:val="auto"/>
              </w:rPr>
            </w:pPr>
            <w:r>
              <w:rPr>
                <w:rFonts w:ascii="Arial" w:cs="Arial" w:eastAsia="Arial" w:hAnsi="Arial"/>
                <w:sz w:val="14"/>
                <w:szCs w:val="14"/>
                <w:color w:val="auto"/>
              </w:rPr>
              <w:t>Net gains from sale of securities</w:t>
            </w:r>
          </w:p>
        </w:tc>
        <w:tc>
          <w:tcPr>
            <w:tcW w:w="100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4.1</w:t>
            </w: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1.6</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3.4</w:t>
            </w: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20.7</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157.9</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7.3</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5.6</w:t>
            </w:r>
          </w:p>
        </w:tc>
        <w:tc>
          <w:tcPr>
            <w:tcW w:w="8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Other income</w:t>
            </w:r>
          </w:p>
        </w:tc>
        <w:tc>
          <w:tcPr>
            <w:tcW w:w="1000" w:type="dxa"/>
            <w:vAlign w:val="bottom"/>
            <w:gridSpan w:val="3"/>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5.5</w:t>
            </w:r>
          </w:p>
        </w:tc>
        <w:tc>
          <w:tcPr>
            <w:tcW w:w="90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0.5</w:t>
            </w:r>
          </w:p>
        </w:tc>
        <w:tc>
          <w:tcPr>
            <w:tcW w:w="8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1.4</w:t>
            </w:r>
          </w:p>
        </w:tc>
        <w:tc>
          <w:tcPr>
            <w:tcW w:w="88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299.9</w:t>
            </w:r>
          </w:p>
        </w:tc>
        <w:tc>
          <w:tcPr>
            <w:tcW w:w="8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936.0</w:t>
            </w:r>
          </w:p>
        </w:tc>
        <w:tc>
          <w:tcPr>
            <w:tcW w:w="8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7.6</w:t>
            </w:r>
          </w:p>
        </w:tc>
        <w:tc>
          <w:tcPr>
            <w:tcW w:w="8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4.7</w:t>
            </w:r>
          </w:p>
        </w:tc>
        <w:tc>
          <w:tcPr>
            <w:tcW w:w="860" w:type="dxa"/>
            <w:vAlign w:val="bottom"/>
            <w:gridSpan w:val="2"/>
            <w:shd w:val="clear" w:color="auto" w:fill="CCFFCC"/>
          </w:tcPr>
          <w:p>
            <w:pPr>
              <w:jc w:val="right"/>
              <w:ind w:right="40"/>
              <w:spacing w:after="0" w:line="149" w:lineRule="exact"/>
              <w:rPr>
                <w:sz w:val="20"/>
                <w:szCs w:val="20"/>
                <w:color w:val="auto"/>
              </w:rPr>
            </w:pPr>
            <w:r>
              <w:rPr>
                <w:rFonts w:ascii="Arial" w:cs="Arial" w:eastAsia="Arial" w:hAnsi="Arial"/>
                <w:sz w:val="14"/>
                <w:szCs w:val="14"/>
                <w:color w:val="auto"/>
              </w:rPr>
              <w:t>64.1%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tcPr>
          <w:p>
            <w:pPr>
              <w:spacing w:after="0" w:line="149" w:lineRule="exact"/>
              <w:rPr>
                <w:sz w:val="20"/>
                <w:szCs w:val="20"/>
                <w:color w:val="auto"/>
              </w:rPr>
            </w:pPr>
            <w:r>
              <w:rPr>
                <w:rFonts w:ascii="Arial" w:cs="Arial" w:eastAsia="Arial" w:hAnsi="Arial"/>
                <w:sz w:val="14"/>
                <w:szCs w:val="14"/>
                <w:color w:val="auto"/>
              </w:rPr>
              <w:t>Operating expenses</w:t>
            </w: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-2.2</w:t>
            </w:r>
          </w:p>
        </w:tc>
        <w:tc>
          <w:tcPr>
            <w:tcW w:w="220" w:type="dxa"/>
            <w:vAlign w:val="bottom"/>
          </w:tcPr>
          <w:p>
            <w:pPr>
              <w:spacing w:after="0"/>
              <w:rPr>
                <w:sz w:val="12"/>
                <w:szCs w:val="12"/>
                <w:color w:val="auto"/>
              </w:rPr>
            </w:pP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-2.0</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-2.0</w:t>
            </w: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9.4</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10.3</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-7.8</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-8.4</w:t>
            </w:r>
          </w:p>
        </w:tc>
        <w:tc>
          <w:tcPr>
            <w:tcW w:w="8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02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Net income</w:t>
            </w:r>
          </w:p>
        </w:tc>
        <w:tc>
          <w:tcPr>
            <w:tcW w:w="120" w:type="dxa"/>
            <w:vAlign w:val="bottom"/>
            <w:shd w:val="clear" w:color="auto" w:fill="CCFFCC"/>
          </w:tcPr>
          <w:p>
            <w:pPr>
              <w:spacing w:after="0"/>
              <w:rPr>
                <w:sz w:val="12"/>
                <w:szCs w:val="12"/>
                <w:color w:val="auto"/>
              </w:rPr>
            </w:pPr>
          </w:p>
        </w:tc>
        <w:tc>
          <w:tcPr>
            <w:tcW w:w="66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17.1</w:t>
            </w:r>
          </w:p>
        </w:tc>
        <w:tc>
          <w:tcPr>
            <w:tcW w:w="220" w:type="dxa"/>
            <w:vAlign w:val="bottom"/>
            <w:shd w:val="clear" w:color="auto" w:fill="CCFFCC"/>
          </w:tcPr>
          <w:p>
            <w:pPr>
              <w:spacing w:after="0"/>
              <w:rPr>
                <w:sz w:val="12"/>
                <w:szCs w:val="12"/>
                <w:color w:val="auto"/>
              </w:rPr>
            </w:pPr>
          </w:p>
        </w:tc>
        <w:tc>
          <w:tcPr>
            <w:tcW w:w="90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8.4</w:t>
            </w:r>
          </w:p>
        </w:tc>
        <w:tc>
          <w:tcPr>
            <w:tcW w:w="8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-59.4</w:t>
            </w:r>
          </w:p>
        </w:tc>
        <w:tc>
          <w:tcPr>
            <w:tcW w:w="88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b w:val="1"/>
                <w:bCs w:val="1"/>
                <w:color w:val="auto"/>
              </w:rPr>
              <w:t>206.9</w:t>
            </w:r>
          </w:p>
        </w:tc>
        <w:tc>
          <w:tcPr>
            <w:tcW w:w="8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102.1</w:t>
            </w:r>
          </w:p>
        </w:tc>
        <w:tc>
          <w:tcPr>
            <w:tcW w:w="8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54.1</w:t>
            </w:r>
          </w:p>
        </w:tc>
        <w:tc>
          <w:tcPr>
            <w:tcW w:w="8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-22.4</w:t>
            </w:r>
          </w:p>
        </w:tc>
        <w:tc>
          <w:tcPr>
            <w:tcW w:w="86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b w:val="1"/>
                <w:bCs w:val="1"/>
                <w:color w:val="auto"/>
              </w:rPr>
              <w:t>340.9%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2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020" w:type="dxa"/>
            <w:vAlign w:val="bottom"/>
          </w:tcPr>
          <w:p>
            <w:pPr>
              <w:spacing w:after="0" w:line="149" w:lineRule="exact"/>
              <w:rPr>
                <w:sz w:val="20"/>
                <w:szCs w:val="20"/>
                <w:color w:val="auto"/>
              </w:rPr>
            </w:pPr>
            <w:r>
              <w:rPr>
                <w:rFonts w:ascii="Arial" w:cs="Arial" w:eastAsia="Arial" w:hAnsi="Arial"/>
                <w:sz w:val="14"/>
                <w:szCs w:val="14"/>
                <w:color w:val="auto"/>
              </w:rPr>
              <w:t>Net income/share</w:t>
            </w: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0.2</w:t>
            </w:r>
          </w:p>
        </w:tc>
        <w:tc>
          <w:tcPr>
            <w:tcW w:w="220" w:type="dxa"/>
            <w:vAlign w:val="bottom"/>
          </w:tcPr>
          <w:p>
            <w:pPr>
              <w:spacing w:after="0"/>
              <w:rPr>
                <w:sz w:val="12"/>
                <w:szCs w:val="12"/>
                <w:color w:val="auto"/>
              </w:rPr>
            </w:pP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0.1</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-0.7</w:t>
            </w: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183.1</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102.1</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02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Total loans</w:t>
            </w:r>
          </w:p>
        </w:tc>
        <w:tc>
          <w:tcPr>
            <w:tcW w:w="120" w:type="dxa"/>
            <w:vAlign w:val="bottom"/>
            <w:shd w:val="clear" w:color="auto" w:fill="CCFFCC"/>
          </w:tcPr>
          <w:p>
            <w:pPr>
              <w:spacing w:after="0"/>
              <w:rPr>
                <w:sz w:val="12"/>
                <w:szCs w:val="12"/>
                <w:color w:val="auto"/>
              </w:rPr>
            </w:pPr>
          </w:p>
        </w:tc>
        <w:tc>
          <w:tcPr>
            <w:tcW w:w="66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132.3</w:t>
            </w:r>
          </w:p>
        </w:tc>
        <w:tc>
          <w:tcPr>
            <w:tcW w:w="220" w:type="dxa"/>
            <w:vAlign w:val="bottom"/>
            <w:shd w:val="clear" w:color="auto" w:fill="CCFFCC"/>
          </w:tcPr>
          <w:p>
            <w:pPr>
              <w:spacing w:after="0"/>
              <w:rPr>
                <w:sz w:val="12"/>
                <w:szCs w:val="12"/>
                <w:color w:val="auto"/>
              </w:rPr>
            </w:pPr>
          </w:p>
        </w:tc>
        <w:tc>
          <w:tcPr>
            <w:tcW w:w="90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134.3</w:t>
            </w:r>
          </w:p>
        </w:tc>
        <w:tc>
          <w:tcPr>
            <w:tcW w:w="8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201.4</w:t>
            </w:r>
          </w:p>
        </w:tc>
        <w:tc>
          <w:tcPr>
            <w:tcW w:w="88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-34.3</w:t>
            </w:r>
          </w:p>
        </w:tc>
        <w:tc>
          <w:tcPr>
            <w:tcW w:w="8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-1.5</w:t>
            </w:r>
          </w:p>
        </w:tc>
        <w:tc>
          <w:tcPr>
            <w:tcW w:w="66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70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tcPr>
          <w:p>
            <w:pPr>
              <w:spacing w:after="0" w:line="149" w:lineRule="exact"/>
              <w:rPr>
                <w:sz w:val="20"/>
                <w:szCs w:val="20"/>
                <w:color w:val="auto"/>
              </w:rPr>
            </w:pPr>
            <w:r>
              <w:rPr>
                <w:rFonts w:ascii="Arial" w:cs="Arial" w:eastAsia="Arial" w:hAnsi="Arial"/>
                <w:sz w:val="14"/>
                <w:szCs w:val="14"/>
                <w:color w:val="auto"/>
              </w:rPr>
              <w:t>Total investments available for sale</w:t>
            </w:r>
          </w:p>
        </w:tc>
        <w:tc>
          <w:tcPr>
            <w:tcW w:w="100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779.3</w:t>
            </w: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825.2</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575.6</w:t>
            </w: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35.4</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-5.6</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Total asset</w:t>
            </w:r>
          </w:p>
        </w:tc>
        <w:tc>
          <w:tcPr>
            <w:tcW w:w="1000" w:type="dxa"/>
            <w:vAlign w:val="bottom"/>
            <w:gridSpan w:val="3"/>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1,483.6</w:t>
            </w:r>
          </w:p>
        </w:tc>
        <w:tc>
          <w:tcPr>
            <w:tcW w:w="66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1,508.4</w:t>
            </w:r>
          </w:p>
        </w:tc>
        <w:tc>
          <w:tcPr>
            <w:tcW w:w="24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1,454.2</w:t>
            </w:r>
          </w:p>
        </w:tc>
        <w:tc>
          <w:tcPr>
            <w:tcW w:w="88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2.0</w:t>
            </w:r>
          </w:p>
        </w:tc>
        <w:tc>
          <w:tcPr>
            <w:tcW w:w="8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-1.6</w:t>
            </w:r>
          </w:p>
        </w:tc>
        <w:tc>
          <w:tcPr>
            <w:tcW w:w="66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70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tcPr>
          <w:p>
            <w:pPr>
              <w:spacing w:after="0" w:line="149" w:lineRule="exact"/>
              <w:rPr>
                <w:sz w:val="20"/>
                <w:szCs w:val="20"/>
                <w:color w:val="auto"/>
              </w:rPr>
            </w:pPr>
            <w:r>
              <w:rPr>
                <w:rFonts w:ascii="Arial" w:cs="Arial" w:eastAsia="Arial" w:hAnsi="Arial"/>
                <w:sz w:val="14"/>
                <w:szCs w:val="14"/>
                <w:color w:val="auto"/>
              </w:rPr>
              <w:t>Total deposits</w:t>
            </w:r>
          </w:p>
        </w:tc>
        <w:tc>
          <w:tcPr>
            <w:tcW w:w="100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1,220.6</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1,247.7</w:t>
            </w:r>
          </w:p>
        </w:tc>
        <w:tc>
          <w:tcPr>
            <w:tcW w:w="24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1,270.2</w:t>
            </w: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-3.9</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-2.2</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Shareholder's equity</w:t>
            </w:r>
          </w:p>
        </w:tc>
        <w:tc>
          <w:tcPr>
            <w:tcW w:w="120" w:type="dxa"/>
            <w:vAlign w:val="bottom"/>
            <w:shd w:val="clear" w:color="auto" w:fill="CCFFCC"/>
          </w:tcPr>
          <w:p>
            <w:pPr>
              <w:spacing w:after="0"/>
              <w:rPr>
                <w:sz w:val="12"/>
                <w:szCs w:val="12"/>
                <w:color w:val="auto"/>
              </w:rPr>
            </w:pPr>
          </w:p>
        </w:tc>
        <w:tc>
          <w:tcPr>
            <w:tcW w:w="66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239.8</w:t>
            </w:r>
          </w:p>
        </w:tc>
        <w:tc>
          <w:tcPr>
            <w:tcW w:w="220" w:type="dxa"/>
            <w:vAlign w:val="bottom"/>
            <w:shd w:val="clear" w:color="auto" w:fill="CCFFCC"/>
          </w:tcPr>
          <w:p>
            <w:pPr>
              <w:spacing w:after="0"/>
              <w:rPr>
                <w:sz w:val="12"/>
                <w:szCs w:val="12"/>
                <w:color w:val="auto"/>
              </w:rPr>
            </w:pPr>
          </w:p>
        </w:tc>
        <w:tc>
          <w:tcPr>
            <w:tcW w:w="90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218.6</w:t>
            </w:r>
          </w:p>
        </w:tc>
        <w:tc>
          <w:tcPr>
            <w:tcW w:w="8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115.7</w:t>
            </w:r>
          </w:p>
        </w:tc>
        <w:tc>
          <w:tcPr>
            <w:tcW w:w="88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107.2</w:t>
            </w:r>
          </w:p>
        </w:tc>
        <w:tc>
          <w:tcPr>
            <w:tcW w:w="8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9.7</w:t>
            </w:r>
          </w:p>
        </w:tc>
        <w:tc>
          <w:tcPr>
            <w:tcW w:w="66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70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2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660" w:type="dxa"/>
            <w:vAlign w:val="bottom"/>
            <w:shd w:val="clear" w:color="auto" w:fill="CCFFCC"/>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660" w:type="dxa"/>
            <w:vAlign w:val="bottom"/>
            <w:shd w:val="clear" w:color="auto" w:fill="CCFFCC"/>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700" w:type="dxa"/>
            <w:vAlign w:val="bottom"/>
            <w:shd w:val="clear" w:color="auto" w:fill="CCFFCC"/>
          </w:tcPr>
          <w:p>
            <w:pPr>
              <w:spacing w:after="0"/>
              <w:rPr>
                <w:sz w:val="2"/>
                <w:szCs w:val="2"/>
                <w:color w:val="auto"/>
              </w:rPr>
            </w:pPr>
          </w:p>
        </w:tc>
        <w:tc>
          <w:tcPr>
            <w:tcW w:w="16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020" w:type="dxa"/>
            <w:vAlign w:val="bottom"/>
          </w:tcPr>
          <w:p>
            <w:pPr>
              <w:spacing w:after="0" w:line="149" w:lineRule="exact"/>
              <w:rPr>
                <w:sz w:val="20"/>
                <w:szCs w:val="20"/>
                <w:color w:val="auto"/>
              </w:rPr>
            </w:pPr>
            <w:r>
              <w:rPr>
                <w:rFonts w:ascii="Arial" w:cs="Arial" w:eastAsia="Arial" w:hAnsi="Arial"/>
                <w:sz w:val="14"/>
                <w:szCs w:val="14"/>
                <w:color w:val="auto"/>
              </w:rPr>
              <w:t>Net interest margin</w:t>
            </w:r>
          </w:p>
        </w:tc>
        <w:tc>
          <w:tcPr>
            <w:tcW w:w="12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2.75%</w:t>
            </w: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2.12%</w:t>
            </w: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1.83%</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Efficiency ratio</w:t>
            </w:r>
          </w:p>
        </w:tc>
        <w:tc>
          <w:tcPr>
            <w:tcW w:w="1000" w:type="dxa"/>
            <w:vAlign w:val="bottom"/>
            <w:gridSpan w:val="3"/>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10.3%</w:t>
            </w:r>
          </w:p>
        </w:tc>
        <w:tc>
          <w:tcPr>
            <w:tcW w:w="9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17.7%</w:t>
            </w:r>
          </w:p>
        </w:tc>
        <w:tc>
          <w:tcPr>
            <w:tcW w:w="88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16.8%</w:t>
            </w:r>
          </w:p>
        </w:tc>
        <w:tc>
          <w:tcPr>
            <w:tcW w:w="66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70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tcPr>
          <w:p>
            <w:pPr>
              <w:spacing w:after="0" w:line="149" w:lineRule="exact"/>
              <w:rPr>
                <w:sz w:val="20"/>
                <w:szCs w:val="20"/>
                <w:color w:val="auto"/>
              </w:rPr>
            </w:pPr>
            <w:r>
              <w:rPr>
                <w:rFonts w:ascii="Arial" w:cs="Arial" w:eastAsia="Arial" w:hAnsi="Arial"/>
                <w:sz w:val="14"/>
                <w:szCs w:val="14"/>
                <w:color w:val="auto"/>
              </w:rPr>
              <w:t>Return on average equity</w:t>
            </w:r>
          </w:p>
        </w:tc>
        <w:tc>
          <w:tcPr>
            <w:tcW w:w="100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29.8%</w:t>
            </w: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17.0%</w:t>
            </w: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-160.8%</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PDL / Total loans</w:t>
            </w:r>
          </w:p>
        </w:tc>
        <w:tc>
          <w:tcPr>
            <w:tcW w:w="120" w:type="dxa"/>
            <w:vAlign w:val="bottom"/>
            <w:shd w:val="clear" w:color="auto" w:fill="CCFFCC"/>
          </w:tcPr>
          <w:p>
            <w:pPr>
              <w:spacing w:after="0"/>
              <w:rPr>
                <w:sz w:val="12"/>
                <w:szCs w:val="12"/>
                <w:color w:val="auto"/>
              </w:rPr>
            </w:pPr>
          </w:p>
        </w:tc>
        <w:tc>
          <w:tcPr>
            <w:tcW w:w="66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0.00</w:t>
            </w:r>
          </w:p>
        </w:tc>
        <w:tc>
          <w:tcPr>
            <w:tcW w:w="220" w:type="dxa"/>
            <w:vAlign w:val="bottom"/>
            <w:shd w:val="clear" w:color="auto" w:fill="CCFFCC"/>
          </w:tcPr>
          <w:p>
            <w:pPr>
              <w:spacing w:after="0"/>
              <w:rPr>
                <w:sz w:val="12"/>
                <w:szCs w:val="12"/>
                <w:color w:val="auto"/>
              </w:rPr>
            </w:pPr>
          </w:p>
        </w:tc>
        <w:tc>
          <w:tcPr>
            <w:tcW w:w="90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0.00</w:t>
            </w:r>
          </w:p>
        </w:tc>
        <w:tc>
          <w:tcPr>
            <w:tcW w:w="8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0.00</w:t>
            </w:r>
          </w:p>
        </w:tc>
        <w:tc>
          <w:tcPr>
            <w:tcW w:w="66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70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2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660" w:type="dxa"/>
            <w:vAlign w:val="bottom"/>
            <w:shd w:val="clear" w:color="auto" w:fill="CCFFCC"/>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660" w:type="dxa"/>
            <w:vAlign w:val="bottom"/>
            <w:shd w:val="clear" w:color="auto" w:fill="CCFFCC"/>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660" w:type="dxa"/>
            <w:vAlign w:val="bottom"/>
            <w:shd w:val="clear" w:color="auto" w:fill="CCFFCC"/>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660" w:type="dxa"/>
            <w:vAlign w:val="bottom"/>
            <w:shd w:val="clear" w:color="auto" w:fill="CCFFCC"/>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700" w:type="dxa"/>
            <w:vAlign w:val="bottom"/>
            <w:shd w:val="clear" w:color="auto" w:fill="CCFFCC"/>
          </w:tcPr>
          <w:p>
            <w:pPr>
              <w:spacing w:after="0"/>
              <w:rPr>
                <w:sz w:val="2"/>
                <w:szCs w:val="2"/>
                <w:color w:val="auto"/>
              </w:rPr>
            </w:pPr>
          </w:p>
        </w:tc>
        <w:tc>
          <w:tcPr>
            <w:tcW w:w="16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020" w:type="dxa"/>
            <w:vAlign w:val="bottom"/>
          </w:tcPr>
          <w:p>
            <w:pPr>
              <w:spacing w:after="0" w:line="149" w:lineRule="exact"/>
              <w:rPr>
                <w:sz w:val="20"/>
                <w:szCs w:val="20"/>
                <w:color w:val="auto"/>
              </w:rPr>
            </w:pPr>
            <w:r>
              <w:rPr>
                <w:rFonts w:ascii="Arial" w:cs="Arial" w:eastAsia="Arial" w:hAnsi="Arial"/>
                <w:sz w:val="14"/>
                <w:szCs w:val="14"/>
                <w:color w:val="auto"/>
              </w:rPr>
              <w:t>Cover ratio</w:t>
            </w:r>
          </w:p>
        </w:tc>
        <w:tc>
          <w:tcPr>
            <w:tcW w:w="12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0.8%</w:t>
            </w: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w:t>
            </w: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0.6%</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BIS ratio</w:t>
            </w:r>
          </w:p>
        </w:tc>
        <w:tc>
          <w:tcPr>
            <w:tcW w:w="12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19.62%</w:t>
            </w:r>
          </w:p>
        </w:tc>
        <w:tc>
          <w:tcPr>
            <w:tcW w:w="9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18.20%</w:t>
            </w:r>
          </w:p>
        </w:tc>
        <w:tc>
          <w:tcPr>
            <w:tcW w:w="88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14.11%</w:t>
            </w:r>
          </w:p>
        </w:tc>
        <w:tc>
          <w:tcPr>
            <w:tcW w:w="66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70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02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660" w:type="dxa"/>
            <w:vAlign w:val="bottom"/>
            <w:shd w:val="clear" w:color="auto" w:fill="CCFFCC"/>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660" w:type="dxa"/>
            <w:vAlign w:val="bottom"/>
            <w:shd w:val="clear" w:color="auto" w:fill="CCFFCC"/>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660" w:type="dxa"/>
            <w:vAlign w:val="bottom"/>
            <w:shd w:val="clear" w:color="auto" w:fill="CCFFCC"/>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660" w:type="dxa"/>
            <w:vAlign w:val="bottom"/>
            <w:shd w:val="clear" w:color="auto" w:fill="CCFFCC"/>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700" w:type="dxa"/>
            <w:vAlign w:val="bottom"/>
            <w:shd w:val="clear" w:color="auto" w:fill="CCFFCC"/>
          </w:tcPr>
          <w:p>
            <w:pPr>
              <w:spacing w:after="0"/>
              <w:rPr>
                <w:sz w:val="2"/>
                <w:szCs w:val="2"/>
                <w:color w:val="auto"/>
              </w:rPr>
            </w:pPr>
          </w:p>
        </w:tc>
        <w:tc>
          <w:tcPr>
            <w:tcW w:w="16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Atlantic Security Holding Corporation (ASHC) achieved very favorable results during 4Q09, reaching net income of US$ 17.1 million. This represents a 102.1% increase over 3Q09 results (US$8.4 million) and shows a substantial recovery that contrasts with the losses recorded in 4Q08. ASCH ’s positive performance can be explained by a significant improvement in its core business income, (net interest margin and commissions), as well as some extraordinary income from the sale of investment portfolio instruments, which was reflected in realized earnings and other income. Other income also includes a reversal of excess provisions made in 2008 due to impairment of its investment portfolio.</w:t>
      </w:r>
    </w:p>
    <w:p>
      <w:pPr>
        <w:spacing w:after="0" w:line="2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This excellent 4Q result contributed significantly to ASHC ’s all time high contribution to Credicorp for the year of US$ 29.7 million. Overall, after the strong impact of the world crisis and the asset management scandals that ASHC had to absorb in 2008, the recovery of its core business has been substantial. Although the merits of this improvement are due in first line to the market recovery, they are also largely the result of appropriate financial management that led to higher margins taking advantage of the low interest rates. In addition, better fee income in Q4 starts showing the benefits of a corporate focus on improving the group ’s investment strategies, fee structure, risk policies and many other elements of the business to achieve the best market practices for Credicorp ’s AM business.</w:t>
      </w:r>
    </w:p>
    <w:p>
      <w:pPr>
        <w:spacing w:after="0" w:line="22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Total income in 4Q09 was US$ 12.0 million, 27% higher than the US$ 9.3 million obtained in 3Q09. This growth follows higher net interest income, which has gone up due to an increase in longer term and higher rate investments as well as lower funding costs relative to deposits, in line with the falling Libor rate. Income improvement YoY is even stronger at 63% given that 4Q08 figures reflected the effects of a stagnant investment process and higher liquidity requirements.</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Income from commissions increased 58% QoQ to reach USS$ 2.5 million vs US$ 1.5 million obtained in 3Q09. Similar to the scenario seen in 3Q09, the increase observed in fee income is attributable primarily to higher placement and management commissions, which continue to grow due to an overall improvement in managed funds ’ market values and yields, as well as a better fee structure. Nevertheless, funds from time deposits continued to migrate to investment products as clients sought higher returns.</w:t>
      </w:r>
    </w:p>
    <w:p>
      <w:pPr>
        <w:spacing w:after="0" w:line="3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6"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6254750</wp:posOffset>
            </wp:positionH>
            <wp:positionV relativeFrom="page">
              <wp:posOffset>337820</wp:posOffset>
            </wp:positionV>
            <wp:extent cx="1149350" cy="3175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clrChange>
                        <a:clrFrom>
                          <a:srgbClr val="FFFFFF"/>
                        </a:clrFrom>
                        <a:clrTo>
                          <a:srgbClr val="FFFFFF">
                            <a:alpha val="0"/>
                          </a:srgbClr>
                        </a:clrTo>
                      </a:clrChange>
                      <a:extLst>
                        <a:ext uri="{28A0092B-C50C-407E-A947-70E740481C1C}"/>
                      </a:extLst>
                    </a:blip>
                    <a:srcRect/>
                    <a:stretch>
                      <a:fillRect/>
                    </a:stretch>
                  </pic:blipFill>
                  <pic:spPr bwMode="auto">
                    <a:xfrm>
                      <a:off x="0" y="0"/>
                      <a:ext cx="1149350" cy="317500"/>
                    </a:xfrm>
                    <a:prstGeom prst="rect">
                      <a:avLst/>
                    </a:prstGeom>
                    <a:noFill/>
                  </pic:spPr>
                </pic:pic>
              </a:graphicData>
            </a:graphic>
          </wp:anchor>
        </w:drawing>
        <w:t>Provisions this Q increased substantially due to specific issuers identified that had experienced deterioration in their financial situation.</w:t>
      </w:r>
    </w:p>
    <w:p>
      <w:pPr>
        <w:spacing w:after="0" w:line="25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following table shows the QoQ evolution of unrealized losses and earnings since the end of 2008 period, when US$ 46.7 million in losses were reported. The impairment levels seen in ASHC ’s results have decreased throughout 2009 due to significant improvements in the international markets. This in turn helped reverse the unrealized losses reported at the end of 2008, which became unrealized earnings for US$ 23.3 million at the end of 2009.</w:t>
      </w:r>
    </w:p>
    <w:p>
      <w:pPr>
        <w:spacing w:after="0" w:line="170" w:lineRule="exact"/>
        <w:rPr>
          <w:sz w:val="20"/>
          <w:szCs w:val="20"/>
          <w:color w:val="auto"/>
        </w:rPr>
      </w:pPr>
    </w:p>
    <w:tbl>
      <w:tblPr>
        <w:tblLayout w:type="fixed"/>
        <w:tblInd w:w="2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Unrealized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820" w:type="dxa"/>
            <w:vAlign w:val="bottom"/>
            <w:tcBorders>
              <w:bottom w:val="single" w:sz="8" w:color="auto"/>
            </w:tcBorders>
          </w:tcPr>
          <w:p>
            <w:pPr>
              <w:ind w:left="420"/>
              <w:spacing w:after="0"/>
              <w:rPr>
                <w:sz w:val="20"/>
                <w:szCs w:val="20"/>
                <w:color w:val="auto"/>
              </w:rPr>
            </w:pPr>
            <w:r>
              <w:rPr>
                <w:rFonts w:ascii="Arial" w:cs="Arial" w:eastAsia="Arial" w:hAnsi="Arial"/>
                <w:sz w:val="18"/>
                <w:szCs w:val="18"/>
                <w:b w:val="1"/>
                <w:bCs w:val="1"/>
                <w:color w:val="auto"/>
                <w:w w:val="86"/>
              </w:rPr>
              <w:t>1Q09</w:t>
            </w:r>
          </w:p>
        </w:tc>
        <w:tc>
          <w:tcPr>
            <w:tcW w:w="30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2Q09</w:t>
            </w:r>
          </w:p>
        </w:tc>
        <w:tc>
          <w:tcPr>
            <w:tcW w:w="200" w:type="dxa"/>
            <w:vAlign w:val="bottom"/>
          </w:tcPr>
          <w:p>
            <w:pPr>
              <w:spacing w:after="0"/>
              <w:rPr>
                <w:sz w:val="20"/>
                <w:szCs w:val="20"/>
                <w:color w:val="auto"/>
              </w:rPr>
            </w:pPr>
          </w:p>
        </w:tc>
        <w:tc>
          <w:tcPr>
            <w:tcW w:w="1080" w:type="dxa"/>
            <w:vAlign w:val="bottom"/>
            <w:tcBorders>
              <w:bottom w:val="single" w:sz="8" w:color="auto"/>
            </w:tcBorders>
          </w:tcPr>
          <w:p>
            <w:pPr>
              <w:ind w:left="400"/>
              <w:spacing w:after="0"/>
              <w:rPr>
                <w:sz w:val="20"/>
                <w:szCs w:val="20"/>
                <w:color w:val="auto"/>
              </w:rPr>
            </w:pPr>
            <w:r>
              <w:rPr>
                <w:rFonts w:ascii="Arial" w:cs="Arial" w:eastAsia="Arial" w:hAnsi="Arial"/>
                <w:sz w:val="18"/>
                <w:szCs w:val="18"/>
                <w:b w:val="1"/>
                <w:bCs w:val="1"/>
                <w:color w:val="auto"/>
              </w:rPr>
              <w:t>3Q09</w:t>
            </w:r>
          </w:p>
        </w:tc>
        <w:tc>
          <w:tcPr>
            <w:tcW w:w="220" w:type="dxa"/>
            <w:vAlign w:val="bottom"/>
          </w:tcPr>
          <w:p>
            <w:pPr>
              <w:spacing w:after="0"/>
              <w:rPr>
                <w:sz w:val="20"/>
                <w:szCs w:val="20"/>
                <w:color w:val="auto"/>
              </w:rPr>
            </w:pPr>
          </w:p>
        </w:tc>
        <w:tc>
          <w:tcPr>
            <w:tcW w:w="10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4Q09</w:t>
            </w:r>
          </w:p>
        </w:tc>
        <w:tc>
          <w:tcPr>
            <w:tcW w:w="220" w:type="dxa"/>
            <w:vAlign w:val="bottom"/>
          </w:tcPr>
          <w:p>
            <w:pPr>
              <w:spacing w:after="0"/>
              <w:rPr>
                <w:sz w:val="20"/>
                <w:szCs w:val="20"/>
                <w:color w:val="auto"/>
              </w:rPr>
            </w:pPr>
          </w:p>
        </w:tc>
        <w:tc>
          <w:tcPr>
            <w:tcW w:w="10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losses</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FFCC"/>
          </w:tcPr>
          <w:p>
            <w:pPr>
              <w:spacing w:after="0"/>
              <w:rPr>
                <w:sz w:val="20"/>
                <w:szCs w:val="20"/>
                <w:color w:val="auto"/>
              </w:rPr>
            </w:pPr>
            <w:r>
              <w:rPr>
                <w:rFonts w:ascii="Arial" w:cs="Arial" w:eastAsia="Arial" w:hAnsi="Arial"/>
                <w:sz w:val="18"/>
                <w:szCs w:val="18"/>
                <w:color w:val="auto"/>
              </w:rPr>
              <w:t>Opening balance</w:t>
            </w:r>
          </w:p>
        </w:tc>
        <w:tc>
          <w:tcPr>
            <w:tcW w:w="82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80" w:type="dxa"/>
            <w:vAlign w:val="bottom"/>
            <w:shd w:val="clear" w:color="auto" w:fill="CCFFCC"/>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Provisions for deterioration of portfolio</w:t>
            </w:r>
          </w:p>
        </w:tc>
        <w:tc>
          <w:tcPr>
            <w:tcW w:w="8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3.0</w:t>
            </w:r>
          </w:p>
        </w:tc>
        <w:tc>
          <w:tcPr>
            <w:tcW w:w="2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(0.3)</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(1.0)</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(5.9)</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4480" w:type="dxa"/>
            <w:vAlign w:val="bottom"/>
            <w:shd w:val="clear" w:color="auto" w:fill="CCFFCC"/>
          </w:tcPr>
          <w:p>
            <w:pPr>
              <w:spacing w:after="0"/>
              <w:rPr>
                <w:sz w:val="20"/>
                <w:szCs w:val="20"/>
                <w:color w:val="auto"/>
              </w:rPr>
            </w:pPr>
            <w:r>
              <w:rPr>
                <w:rFonts w:ascii="Arial" w:cs="Arial" w:eastAsia="Arial" w:hAnsi="Arial"/>
                <w:sz w:val="18"/>
                <w:szCs w:val="18"/>
                <w:color w:val="auto"/>
              </w:rPr>
              <w:t>Apreciation / (Devaluation) of market value</w:t>
            </w:r>
          </w:p>
        </w:tc>
        <w:tc>
          <w:tcPr>
            <w:tcW w:w="820" w:type="dxa"/>
            <w:vAlign w:val="bottom"/>
            <w:shd w:val="clear" w:color="auto" w:fill="CCFFCC"/>
          </w:tcPr>
          <w:p>
            <w:pPr>
              <w:spacing w:after="0"/>
              <w:rPr>
                <w:sz w:val="19"/>
                <w:szCs w:val="19"/>
                <w:color w:val="auto"/>
              </w:rPr>
            </w:pPr>
          </w:p>
        </w:tc>
        <w:tc>
          <w:tcPr>
            <w:tcW w:w="5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w w:val="91"/>
              </w:rPr>
              <w:t>(2.9)</w:t>
            </w:r>
          </w:p>
        </w:tc>
        <w:tc>
          <w:tcPr>
            <w:tcW w:w="13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34.4</w:t>
            </w:r>
          </w:p>
        </w:tc>
        <w:tc>
          <w:tcPr>
            <w:tcW w:w="13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32.7</w:t>
            </w: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CFFCC"/>
          </w:tcPr>
          <w:p>
            <w:pPr>
              <w:spacing w:after="0"/>
              <w:rPr>
                <w:sz w:val="19"/>
                <w:szCs w:val="19"/>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74.2</w:t>
            </w:r>
          </w:p>
        </w:tc>
        <w:tc>
          <w:tcPr>
            <w:tcW w:w="12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80" w:type="dxa"/>
            <w:vAlign w:val="bottom"/>
            <w:tcBorders>
              <w:top w:val="single" w:sz="8" w:color="CCFFCC"/>
            </w:tcBorders>
          </w:tcPr>
          <w:p>
            <w:pPr>
              <w:spacing w:after="0"/>
              <w:rPr>
                <w:sz w:val="20"/>
                <w:szCs w:val="20"/>
                <w:color w:val="auto"/>
              </w:rPr>
            </w:pPr>
            <w:r>
              <w:rPr>
                <w:rFonts w:ascii="Arial" w:cs="Arial" w:eastAsia="Arial" w:hAnsi="Arial"/>
                <w:sz w:val="18"/>
                <w:szCs w:val="18"/>
                <w:color w:val="auto"/>
              </w:rPr>
              <w:t>Closing balance</w:t>
            </w:r>
          </w:p>
        </w:tc>
        <w:tc>
          <w:tcPr>
            <w:tcW w:w="82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240" w:type="dxa"/>
            <w:vAlign w:val="bottom"/>
            <w:tcBorders>
              <w:top w:val="single" w:sz="8" w:color="CCFFCC"/>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200" w:type="dxa"/>
            <w:vAlign w:val="bottom"/>
            <w:tcBorders>
              <w:top w:val="single" w:sz="8" w:color="CCFFCC"/>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220" w:type="dxa"/>
            <w:vAlign w:val="bottom"/>
            <w:tcBorders>
              <w:top w:val="single" w:sz="8" w:color="CCFFCC"/>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220" w:type="dxa"/>
            <w:vAlign w:val="bottom"/>
            <w:tcBorders>
              <w:top w:val="single" w:sz="8" w:color="CCFFCC"/>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23.3</w:t>
            </w:r>
          </w:p>
        </w:tc>
        <w:tc>
          <w:tcPr>
            <w:tcW w:w="120" w:type="dxa"/>
            <w:vAlign w:val="bottom"/>
            <w:tcBorders>
              <w:top w:val="single" w:sz="8" w:color="CCFFCC"/>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investment portfolio is still highly concentrated in investment grade instruments (71%), which is evidence of the portfolio ’s good risk profile. This structure is in accordance with the company ’s investment strategy, which is focused on obtaining yields from interest income as opposed to making profits through trading. Nevertheless, realized earnings on securities sales were US$ 4.1 million in 4Q09, increasing 158% QoQ and 21% YoY.</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efficiency ratio improved significantly QoQ, going from 18% in 3Q09 to 10% in 4Q09. This responds to an increase in interest margins and additional income volumes stemming from US$ 4.1 million in realized earnings on instrument sales and other income for US$ 5.5 million, attributable to reversals of excessive provisions in the investment portfolio.</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Earning Assets</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Total assets reported a 1.6% QoQ decrease and a 2% YoY increase. This drop in assets can be partially explained by migration from deposits to managed products as clients begin to believe in the market correction and start to invest their funds in products that offer higher yields.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Interest earnings assets reached US$ 1,377 million in 4Q09, as shown in the following table:</w:t>
      </w:r>
    </w:p>
    <w:p>
      <w:pPr>
        <w:spacing w:after="0" w:line="248" w:lineRule="exact"/>
        <w:rPr>
          <w:sz w:val="20"/>
          <w:szCs w:val="20"/>
          <w:color w:val="auto"/>
        </w:rPr>
      </w:pPr>
    </w:p>
    <w:tbl>
      <w:tblPr>
        <w:tblLayout w:type="fixed"/>
        <w:tblInd w:w="240" w:type="dxa"/>
        <w:tblCellMar>
          <w:top w:w="0" w:type="dxa"/>
          <w:left w:w="0" w:type="dxa"/>
          <w:bottom w:w="0" w:type="dxa"/>
          <w:right w:w="0" w:type="dxa"/>
        </w:tblCellMar>
      </w:tblPr>
      <w:tr>
        <w:trPr>
          <w:trHeight w:val="241"/>
        </w:trPr>
        <w:tc>
          <w:tcPr>
            <w:tcW w:w="4300" w:type="dxa"/>
            <w:vAlign w:val="bottom"/>
            <w:gridSpan w:val="2"/>
          </w:tcPr>
          <w:p>
            <w:pPr>
              <w:spacing w:after="0"/>
              <w:rPr>
                <w:sz w:val="20"/>
                <w:szCs w:val="20"/>
                <w:color w:val="auto"/>
              </w:rPr>
            </w:pPr>
            <w:r>
              <w:rPr>
                <w:rFonts w:ascii="Arial" w:cs="Arial" w:eastAsia="Arial" w:hAnsi="Arial"/>
                <w:sz w:val="18"/>
                <w:szCs w:val="18"/>
                <w:b w:val="1"/>
                <w:bCs w:val="1"/>
                <w:color w:val="auto"/>
              </w:rPr>
              <w:t>Interest Earning Assets*</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gridSpan w:val="2"/>
          </w:tcPr>
          <w:p>
            <w:pPr>
              <w:ind w:left="220"/>
              <w:spacing w:after="0"/>
              <w:rPr>
                <w:sz w:val="20"/>
                <w:szCs w:val="20"/>
                <w:color w:val="auto"/>
              </w:rPr>
            </w:pPr>
            <w:r>
              <w:rPr>
                <w:rFonts w:ascii="Arial" w:cs="Arial" w:eastAsia="Arial" w:hAnsi="Arial"/>
                <w:sz w:val="18"/>
                <w:szCs w:val="18"/>
                <w:b w:val="1"/>
                <w:bCs w:val="1"/>
                <w:color w:val="auto"/>
              </w:rPr>
              <w:t>Quarter</w:t>
            </w: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60" w:type="dxa"/>
            <w:vAlign w:val="bottom"/>
            <w:gridSpan w:val="4"/>
          </w:tcPr>
          <w:p>
            <w:pPr>
              <w:jc w:val="right"/>
              <w:ind w:right="102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16"/>
        </w:trPr>
        <w:tc>
          <w:tcPr>
            <w:tcW w:w="430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(US$ Million)</w:t>
            </w:r>
          </w:p>
        </w:tc>
        <w:tc>
          <w:tcPr>
            <w:tcW w:w="120" w:type="dxa"/>
            <w:vAlign w:val="bottom"/>
          </w:tcPr>
          <w:p>
            <w:pPr>
              <w:spacing w:after="0"/>
              <w:rPr>
                <w:sz w:val="18"/>
                <w:szCs w:val="18"/>
                <w:color w:val="auto"/>
              </w:rPr>
            </w:pPr>
          </w:p>
        </w:tc>
        <w:tc>
          <w:tcPr>
            <w:tcW w:w="1300" w:type="dxa"/>
            <w:vAlign w:val="bottom"/>
            <w:tcBorders>
              <w:top w:val="single" w:sz="8" w:color="auto"/>
            </w:tcBorders>
            <w:gridSpan w:val="2"/>
          </w:tcPr>
          <w:p>
            <w:pPr>
              <w:ind w:left="280"/>
              <w:spacing w:after="0"/>
              <w:rPr>
                <w:sz w:val="20"/>
                <w:szCs w:val="20"/>
                <w:color w:val="auto"/>
              </w:rPr>
            </w:pPr>
            <w:r>
              <w:rPr>
                <w:rFonts w:ascii="Arial" w:cs="Arial" w:eastAsia="Arial" w:hAnsi="Arial"/>
                <w:sz w:val="18"/>
                <w:szCs w:val="18"/>
                <w:b w:val="1"/>
                <w:bCs w:val="1"/>
                <w:color w:val="auto"/>
              </w:rPr>
              <w:t>4Q 2009</w:t>
            </w:r>
          </w:p>
        </w:tc>
        <w:tc>
          <w:tcPr>
            <w:tcW w:w="1280" w:type="dxa"/>
            <w:vAlign w:val="bottom"/>
            <w:tcBorders>
              <w:top w:val="single" w:sz="8" w:color="auto"/>
            </w:tcBorders>
            <w:gridSpan w:val="2"/>
          </w:tcPr>
          <w:p>
            <w:pPr>
              <w:ind w:left="260"/>
              <w:spacing w:after="0"/>
              <w:rPr>
                <w:sz w:val="20"/>
                <w:szCs w:val="20"/>
                <w:color w:val="auto"/>
              </w:rPr>
            </w:pPr>
            <w:r>
              <w:rPr>
                <w:rFonts w:ascii="Arial" w:cs="Arial" w:eastAsia="Arial" w:hAnsi="Arial"/>
                <w:sz w:val="18"/>
                <w:szCs w:val="18"/>
                <w:b w:val="1"/>
                <w:bCs w:val="1"/>
                <w:color w:val="auto"/>
              </w:rPr>
              <w:t>3Q 2009</w:t>
            </w:r>
          </w:p>
        </w:tc>
        <w:tc>
          <w:tcPr>
            <w:tcW w:w="1080" w:type="dxa"/>
            <w:vAlign w:val="bottom"/>
            <w:tcBorders>
              <w:top w:val="single" w:sz="8" w:color="auto"/>
            </w:tcBorders>
          </w:tcPr>
          <w:p>
            <w:pPr>
              <w:ind w:left="280"/>
              <w:spacing w:after="0"/>
              <w:rPr>
                <w:sz w:val="20"/>
                <w:szCs w:val="20"/>
                <w:color w:val="auto"/>
              </w:rPr>
            </w:pPr>
            <w:r>
              <w:rPr>
                <w:rFonts w:ascii="Arial" w:cs="Arial" w:eastAsia="Arial" w:hAnsi="Arial"/>
                <w:sz w:val="18"/>
                <w:szCs w:val="18"/>
                <w:b w:val="1"/>
                <w:bCs w:val="1"/>
                <w:color w:val="auto"/>
              </w:rPr>
              <w:t>4Q 2008</w:t>
            </w:r>
          </w:p>
        </w:tc>
        <w:tc>
          <w:tcPr>
            <w:tcW w:w="220" w:type="dxa"/>
            <w:vAlign w:val="bottom"/>
          </w:tcPr>
          <w:p>
            <w:pPr>
              <w:spacing w:after="0"/>
              <w:rPr>
                <w:sz w:val="18"/>
                <w:szCs w:val="18"/>
                <w:color w:val="auto"/>
              </w:rPr>
            </w:pPr>
          </w:p>
        </w:tc>
        <w:tc>
          <w:tcPr>
            <w:tcW w:w="1380" w:type="dxa"/>
            <w:vAlign w:val="bottom"/>
            <w:tcBorders>
              <w:top w:val="single" w:sz="8" w:color="auto"/>
            </w:tcBorders>
            <w:gridSpan w:val="2"/>
          </w:tcPr>
          <w:p>
            <w:pPr>
              <w:jc w:val="right"/>
              <w:ind w:right="300"/>
              <w:spacing w:after="0"/>
              <w:rPr>
                <w:sz w:val="20"/>
                <w:szCs w:val="20"/>
                <w:color w:val="auto"/>
              </w:rPr>
            </w:pPr>
            <w:r>
              <w:rPr>
                <w:rFonts w:ascii="Arial" w:cs="Arial" w:eastAsia="Arial" w:hAnsi="Arial"/>
                <w:sz w:val="18"/>
                <w:szCs w:val="18"/>
                <w:b w:val="1"/>
                <w:bCs w:val="1"/>
                <w:color w:val="auto"/>
              </w:rPr>
              <w:t>4Q09 / 4Q08</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4Q09 / 3Q09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FFCC"/>
          </w:tcPr>
          <w:p>
            <w:pPr>
              <w:spacing w:after="0"/>
              <w:rPr>
                <w:sz w:val="20"/>
                <w:szCs w:val="20"/>
                <w:color w:val="auto"/>
              </w:rPr>
            </w:pPr>
            <w:r>
              <w:rPr>
                <w:rFonts w:ascii="Arial" w:cs="Arial" w:eastAsia="Arial" w:hAnsi="Arial"/>
                <w:sz w:val="18"/>
                <w:szCs w:val="18"/>
                <w:color w:val="auto"/>
              </w:rPr>
              <w:t>Due from banks</w:t>
            </w:r>
          </w:p>
        </w:tc>
        <w:tc>
          <w:tcPr>
            <w:tcW w:w="120" w:type="dxa"/>
            <w:vAlign w:val="bottom"/>
            <w:shd w:val="clear" w:color="auto" w:fill="CCFFCC"/>
          </w:tcPr>
          <w:p>
            <w:pPr>
              <w:spacing w:after="0"/>
              <w:rPr>
                <w:sz w:val="18"/>
                <w:szCs w:val="18"/>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483</w:t>
            </w:r>
          </w:p>
        </w:tc>
        <w:tc>
          <w:tcPr>
            <w:tcW w:w="220" w:type="dxa"/>
            <w:vAlign w:val="bottom"/>
            <w:shd w:val="clear" w:color="auto" w:fill="CCFFCC"/>
          </w:tcPr>
          <w:p>
            <w:pPr>
              <w:spacing w:after="0"/>
              <w:rPr>
                <w:sz w:val="18"/>
                <w:szCs w:val="18"/>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458</w:t>
            </w:r>
          </w:p>
        </w:tc>
        <w:tc>
          <w:tcPr>
            <w:tcW w:w="20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584</w:t>
            </w:r>
          </w:p>
        </w:tc>
        <w:tc>
          <w:tcPr>
            <w:tcW w:w="13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-17.4%</w:t>
            </w:r>
          </w:p>
        </w:tc>
        <w:tc>
          <w:tcPr>
            <w:tcW w:w="12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Loans</w:t>
            </w:r>
          </w:p>
        </w:tc>
        <w:tc>
          <w:tcPr>
            <w:tcW w:w="1420" w:type="dxa"/>
            <w:vAlign w:val="bottom"/>
            <w:gridSpan w:val="3"/>
          </w:tcPr>
          <w:p>
            <w:pPr>
              <w:jc w:val="right"/>
              <w:ind w:right="220"/>
              <w:spacing w:after="0"/>
              <w:rPr>
                <w:sz w:val="20"/>
                <w:szCs w:val="20"/>
                <w:color w:val="auto"/>
              </w:rPr>
            </w:pPr>
            <w:r>
              <w:rPr>
                <w:rFonts w:ascii="Arial" w:cs="Arial" w:eastAsia="Arial" w:hAnsi="Arial"/>
                <w:sz w:val="18"/>
                <w:szCs w:val="18"/>
                <w:color w:val="auto"/>
              </w:rPr>
              <w:t>132</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134</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201</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-34.3%</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FFCC"/>
          </w:tcPr>
          <w:p>
            <w:pPr>
              <w:spacing w:after="0"/>
              <w:rPr>
                <w:sz w:val="20"/>
                <w:szCs w:val="20"/>
                <w:color w:val="auto"/>
              </w:rPr>
            </w:pPr>
            <w:r>
              <w:rPr>
                <w:rFonts w:ascii="Arial" w:cs="Arial" w:eastAsia="Arial" w:hAnsi="Arial"/>
                <w:sz w:val="18"/>
                <w:szCs w:val="18"/>
                <w:color w:val="auto"/>
              </w:rPr>
              <w:t>Investments</w:t>
            </w:r>
          </w:p>
        </w:tc>
        <w:tc>
          <w:tcPr>
            <w:tcW w:w="120" w:type="dxa"/>
            <w:vAlign w:val="bottom"/>
            <w:shd w:val="clear" w:color="auto" w:fill="CCFFCC"/>
          </w:tcPr>
          <w:p>
            <w:pPr>
              <w:spacing w:after="0"/>
              <w:rPr>
                <w:sz w:val="18"/>
                <w:szCs w:val="18"/>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763</w:t>
            </w:r>
          </w:p>
        </w:tc>
        <w:tc>
          <w:tcPr>
            <w:tcW w:w="220" w:type="dxa"/>
            <w:vAlign w:val="bottom"/>
            <w:shd w:val="clear" w:color="auto" w:fill="CCFFCC"/>
          </w:tcPr>
          <w:p>
            <w:pPr>
              <w:spacing w:after="0"/>
              <w:rPr>
                <w:sz w:val="18"/>
                <w:szCs w:val="18"/>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807</w:t>
            </w:r>
          </w:p>
        </w:tc>
        <w:tc>
          <w:tcPr>
            <w:tcW w:w="20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546</w:t>
            </w:r>
          </w:p>
        </w:tc>
        <w:tc>
          <w:tcPr>
            <w:tcW w:w="13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39.7%</w:t>
            </w:r>
          </w:p>
        </w:tc>
        <w:tc>
          <w:tcPr>
            <w:tcW w:w="12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8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20" w:type="dxa"/>
            <w:vAlign w:val="bottom"/>
            <w:vMerge w:val="continue"/>
          </w:tcPr>
          <w:p>
            <w:pPr>
              <w:spacing w:after="0"/>
              <w:rPr>
                <w:sz w:val="20"/>
                <w:szCs w:val="20"/>
                <w:color w:val="auto"/>
              </w:rPr>
            </w:pPr>
          </w:p>
        </w:tc>
        <w:tc>
          <w:tcPr>
            <w:tcW w:w="4280" w:type="dxa"/>
            <w:vAlign w:val="bottom"/>
          </w:tcPr>
          <w:p>
            <w:pPr>
              <w:spacing w:after="0"/>
              <w:rPr>
                <w:sz w:val="20"/>
                <w:szCs w:val="20"/>
                <w:color w:val="auto"/>
              </w:rPr>
            </w:pPr>
            <w:r>
              <w:rPr>
                <w:rFonts w:ascii="Arial" w:cs="Arial" w:eastAsia="Arial" w:hAnsi="Arial"/>
                <w:sz w:val="18"/>
                <w:szCs w:val="18"/>
                <w:b w:val="1"/>
                <w:bCs w:val="1"/>
                <w:color w:val="auto"/>
              </w:rPr>
              <w:t>Total interest-earning assets</w:t>
            </w: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1,377</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1,399</w:t>
            </w:r>
          </w:p>
        </w:tc>
        <w:tc>
          <w:tcPr>
            <w:tcW w:w="20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1,332</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3.4%</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2955290</wp:posOffset>
            </wp:positionH>
            <wp:positionV relativeFrom="paragraph">
              <wp:posOffset>-10795</wp:posOffset>
            </wp:positionV>
            <wp:extent cx="403034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030345" cy="17145"/>
                    </a:xfrm>
                    <a:prstGeom prst="rect">
                      <a:avLst/>
                    </a:prstGeom>
                    <a:noFill/>
                  </pic:spPr>
                </pic:pic>
              </a:graphicData>
            </a:graphic>
          </wp:anchor>
        </w:drawing>
      </w:r>
    </w:p>
    <w:p>
      <w:pPr>
        <w:ind w:left="300"/>
        <w:spacing w:after="0"/>
        <w:rPr>
          <w:sz w:val="20"/>
          <w:szCs w:val="20"/>
          <w:color w:val="auto"/>
        </w:rPr>
      </w:pPr>
      <w:r>
        <w:rPr>
          <w:rFonts w:ascii="Arial" w:cs="Arial" w:eastAsia="Arial" w:hAnsi="Arial"/>
          <w:sz w:val="18"/>
          <w:szCs w:val="18"/>
          <w:i w:val="1"/>
          <w:iCs w:val="1"/>
          <w:color w:val="auto"/>
        </w:rPr>
        <w:t>(*) Excludes investments in equities and mutual funds.</w:t>
      </w:r>
    </w:p>
    <w:p>
      <w:pPr>
        <w:spacing w:after="0" w:line="24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Interest earnings assets dropped 1.5% QoQ while increased 3% YoY. Cash and Banks increased 5% QoQ and fell 17% YoY. This decrease in YoY cash levels is due to a process to reinvest cash balances accumulated during 2009, which is reflected in the 40% increase in investments.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Loans fell 1.5% QoQ and 34% YoY. Loans complement the company ’s overall investment strategy and remained stable throughout 2009.</w:t>
      </w: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60" w:right="239" w:bottom="1440" w:gutter="0" w:footer="0" w:header="0"/>
        </w:sectPr>
      </w:pPr>
    </w:p>
    <w:bookmarkStart w:id="24" w:name="page25"/>
    <w:bookmarkEnd w:id="2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1709420</wp:posOffset>
            </wp:positionH>
            <wp:positionV relativeFrom="page">
              <wp:posOffset>337820</wp:posOffset>
            </wp:positionV>
            <wp:extent cx="5694045" cy="19723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94045" cy="1972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Management Business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Total deposits and AuM, which includes investments such as proprietary mutual funds and financial instruments in custody, increased 4% QoQ.</w:t>
      </w:r>
    </w:p>
    <w:p>
      <w:pPr>
        <w:spacing w:after="0" w:line="252" w:lineRule="exact"/>
        <w:rPr>
          <w:sz w:val="20"/>
          <w:szCs w:val="20"/>
          <w:color w:val="auto"/>
        </w:rPr>
      </w:pPr>
    </w:p>
    <w:p>
      <w:pPr>
        <w:ind w:firstLine="40"/>
        <w:spacing w:after="0" w:line="277" w:lineRule="auto"/>
        <w:rPr>
          <w:sz w:val="20"/>
          <w:szCs w:val="20"/>
          <w:color w:val="auto"/>
        </w:rPr>
      </w:pPr>
      <w:r>
        <w:rPr>
          <w:rFonts w:ascii="Arial" w:cs="Arial" w:eastAsia="Arial" w:hAnsi="Arial"/>
          <w:sz w:val="18"/>
          <w:szCs w:val="18"/>
          <w:color w:val="auto"/>
        </w:rPr>
        <w:t>AuM grew 7% QoQ as the trend toward overall improvement in the market seen in 3Q09 continued and led to an increase in the market value of the bank ’s managed funds and securities in custody, which is in line with improvements in the proprietary portfolio ’s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2003425</wp:posOffset>
            </wp:positionH>
            <wp:positionV relativeFrom="paragraph">
              <wp:posOffset>288925</wp:posOffset>
            </wp:positionV>
            <wp:extent cx="3258820" cy="19208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258820" cy="1920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6254750</wp:posOffset>
            </wp:positionH>
            <wp:positionV relativeFrom="page">
              <wp:posOffset>337820</wp:posOffset>
            </wp:positionV>
            <wp:extent cx="1149350" cy="3175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clrChange>
                        <a:clrFrom>
                          <a:srgbClr val="FFFFFF"/>
                        </a:clrFrom>
                        <a:clrTo>
                          <a:srgbClr val="FFFFFF">
                            <a:alpha val="0"/>
                          </a:srgbClr>
                        </a:clrTo>
                      </a:clrChange>
                      <a:extLst>
                        <a:ext uri="{28A0092B-C50C-407E-A947-70E740481C1C}"/>
                      </a:extLst>
                    </a:blip>
                    <a:srcRect/>
                    <a:stretch>
                      <a:fillRect/>
                    </a:stretch>
                  </pic:blipFill>
                  <pic:spPr bwMode="auto">
                    <a:xfrm>
                      <a:off x="0" y="0"/>
                      <a:ext cx="1149350" cy="317500"/>
                    </a:xfrm>
                    <a:prstGeom prst="rect">
                      <a:avLst/>
                    </a:prstGeom>
                    <a:noFill/>
                  </pic:spPr>
                </pic:pic>
              </a:graphicData>
            </a:graphic>
          </wp:anchor>
        </w:drawing>
        <w:t>V. Prima AFP</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V.1 Market Outlook</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fourth quarter, the private pension system ’s commercial activity was stable in terms of transfers and showed a marked trend towards new affiliations. The number of affiliations in 4Q09 was slightly lower QoQ because the sales force (system wide) is less active in December. During this period, the number of transfers and affiliations was close to 11,500 and 46,800, respectively. At the end of December 2009, the number of affiliates in the private pension system was 4.5 million.</w:t>
      </w:r>
    </w:p>
    <w:p>
      <w:pPr>
        <w:spacing w:after="0" w:line="214"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In the last quarter of the year, the financial markets were stable, continuing a recovery trend that has been evident throughout the year. At the end of 4Q09, the total portfolio managed by the system was US$ 24.0 billion, which represents 3.3% growth with regard to figures at the end of 3Q09 (US$ 23.2 billion).</w:t>
      </w:r>
    </w:p>
    <w:p>
      <w:pPr>
        <w:spacing w:after="0" w:line="15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terms of financial results, the private pension system obtained revenues of US$ 67.5 million in 4Q09. This figure represented growth of 5% QoQ and 17% YoY. When comparing YoY figures, it is important to keep in mind that PRIMA increased its management fee at the beginning of 2009, which had a positive impact on the system ’s revenues. It is also important to emphasize that the slight increase in the QoQ revenues is due to the fact that one of the fund managers increased its management fees in October.</w:t>
      </w:r>
    </w:p>
    <w:p>
      <w:pPr>
        <w:spacing w:after="0" w:line="21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 4Q09, the system ’s operating expenses reached US$ 44.9 million. This figure represents a 15% increase QoQ and is primarily the result of higher payroll expenses, an increase in provisions and higher advertising costs. In 2009, expenses grew 4% YoY due primarily to an appreciation in local currency.</w:t>
      </w:r>
    </w:p>
    <w:p>
      <w:pPr>
        <w:spacing w:after="0" w:line="15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system ’s net income in 4Q09 was US$ 22.1 million, which represents a 46% decline QoQ. It is important to highlight that comparisons with 4Q08 results are not applicable given that these results were seriously affected by the losses on legal reserves due to the international crisis.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6440" w:type="dxa"/>
            <w:vAlign w:val="bottom"/>
          </w:tcPr>
          <w:p>
            <w:pPr>
              <w:ind w:left="480"/>
              <w:spacing w:after="0"/>
              <w:rPr>
                <w:sz w:val="20"/>
                <w:szCs w:val="20"/>
                <w:color w:val="auto"/>
              </w:rPr>
            </w:pPr>
            <w:r>
              <w:rPr>
                <w:rFonts w:ascii="Arial" w:cs="Arial" w:eastAsia="Arial" w:hAnsi="Arial"/>
                <w:sz w:val="18"/>
                <w:szCs w:val="18"/>
                <w:color w:val="auto"/>
              </w:rPr>
              <w:t>Private Pension Fund System: Main Indicators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460" w:type="dxa"/>
            <w:vAlign w:val="bottom"/>
            <w:gridSpan w:val="2"/>
          </w:tcPr>
          <w:p>
            <w:pPr>
              <w:spacing w:after="0"/>
              <w:rPr>
                <w:sz w:val="20"/>
                <w:szCs w:val="20"/>
                <w:color w:val="auto"/>
              </w:rPr>
            </w:pPr>
            <w:r>
              <w:rPr>
                <w:rFonts w:ascii="Arial" w:cs="Arial" w:eastAsia="Arial" w:hAnsi="Arial"/>
                <w:sz w:val="18"/>
                <w:szCs w:val="18"/>
                <w:b w:val="1"/>
                <w:bCs w:val="1"/>
                <w:color w:val="auto"/>
              </w:rPr>
              <w:t>At the end of the period:</w:t>
            </w:r>
          </w:p>
        </w:tc>
        <w:tc>
          <w:tcPr>
            <w:tcW w:w="100" w:type="dxa"/>
            <w:vAlign w:val="bottom"/>
          </w:tcPr>
          <w:p>
            <w:pPr>
              <w:spacing w:after="0"/>
              <w:rPr>
                <w:sz w:val="20"/>
                <w:szCs w:val="20"/>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4Q09</w:t>
            </w:r>
          </w:p>
        </w:tc>
        <w:tc>
          <w:tcPr>
            <w:tcW w:w="12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3Q09</w:t>
            </w:r>
          </w:p>
        </w:tc>
        <w:tc>
          <w:tcPr>
            <w:tcW w:w="11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4Q08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shd w:val="clear" w:color="auto" w:fill="CCFFCC"/>
          </w:tcPr>
          <w:p>
            <w:pPr>
              <w:spacing w:after="0"/>
              <w:rPr>
                <w:sz w:val="20"/>
                <w:szCs w:val="20"/>
                <w:color w:val="auto"/>
              </w:rPr>
            </w:pPr>
            <w:r>
              <w:rPr>
                <w:rFonts w:ascii="Arial" w:cs="Arial" w:eastAsia="Arial" w:hAnsi="Arial"/>
                <w:sz w:val="18"/>
                <w:szCs w:val="18"/>
                <w:color w:val="auto"/>
              </w:rPr>
              <w:t>Affiliates (thousands)</w:t>
            </w:r>
          </w:p>
        </w:tc>
        <w:tc>
          <w:tcPr>
            <w:tcW w:w="100" w:type="dxa"/>
            <w:vAlign w:val="bottom"/>
            <w:shd w:val="clear" w:color="auto" w:fill="CCFFCC"/>
          </w:tcPr>
          <w:p>
            <w:pPr>
              <w:spacing w:after="0"/>
              <w:rPr>
                <w:sz w:val="18"/>
                <w:szCs w:val="18"/>
                <w:color w:val="auto"/>
              </w:rPr>
            </w:pP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4,458</w:t>
            </w:r>
          </w:p>
        </w:tc>
        <w:tc>
          <w:tcPr>
            <w:tcW w:w="24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4,416</w:t>
            </w:r>
          </w:p>
        </w:tc>
        <w:tc>
          <w:tcPr>
            <w:tcW w:w="11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 Change (1)</w:t>
            </w: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shd w:val="clear" w:color="auto" w:fill="CCFFCC"/>
          </w:tcPr>
          <w:p>
            <w:pPr>
              <w:spacing w:after="0"/>
              <w:rPr>
                <w:sz w:val="20"/>
                <w:szCs w:val="20"/>
                <w:color w:val="auto"/>
              </w:rPr>
            </w:pPr>
            <w:r>
              <w:rPr>
                <w:rFonts w:ascii="Arial" w:cs="Arial" w:eastAsia="Arial" w:hAnsi="Arial"/>
                <w:sz w:val="18"/>
                <w:szCs w:val="18"/>
                <w:color w:val="auto"/>
              </w:rPr>
              <w:t>Sales force</w:t>
            </w:r>
          </w:p>
        </w:tc>
        <w:tc>
          <w:tcPr>
            <w:tcW w:w="100" w:type="dxa"/>
            <w:vAlign w:val="bottom"/>
            <w:shd w:val="clear" w:color="auto" w:fill="CCFFCC"/>
          </w:tcPr>
          <w:p>
            <w:pPr>
              <w:spacing w:after="0"/>
              <w:rPr>
                <w:sz w:val="18"/>
                <w:szCs w:val="18"/>
                <w:color w:val="auto"/>
              </w:rPr>
            </w:pP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1,128</w:t>
            </w:r>
          </w:p>
        </w:tc>
        <w:tc>
          <w:tcPr>
            <w:tcW w:w="24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1,129</w:t>
            </w:r>
          </w:p>
        </w:tc>
        <w:tc>
          <w:tcPr>
            <w:tcW w:w="11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1,763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4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Funds under management (US$ mm)</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23,967</w:t>
            </w:r>
          </w:p>
        </w:tc>
        <w:tc>
          <w:tcPr>
            <w:tcW w:w="24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23,202</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15,875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FFCC"/>
          </w:tcPr>
          <w:p>
            <w:pPr>
              <w:spacing w:after="0"/>
              <w:rPr>
                <w:sz w:val="20"/>
                <w:szCs w:val="20"/>
                <w:color w:val="auto"/>
              </w:rPr>
            </w:pPr>
            <w:r>
              <w:rPr>
                <w:rFonts w:ascii="Arial" w:cs="Arial" w:eastAsia="Arial" w:hAnsi="Arial"/>
                <w:sz w:val="18"/>
                <w:szCs w:val="18"/>
                <w:color w:val="auto"/>
              </w:rPr>
              <w:t>% Change (1)</w:t>
            </w:r>
          </w:p>
        </w:tc>
        <w:tc>
          <w:tcPr>
            <w:tcW w:w="10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3.3%</w:t>
            </w:r>
          </w:p>
        </w:tc>
        <w:tc>
          <w:tcPr>
            <w:tcW w:w="12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17.8%</w:t>
            </w:r>
          </w:p>
        </w:tc>
        <w:tc>
          <w:tcPr>
            <w:tcW w:w="11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4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Income (US$ mm)</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67.5</w:t>
            </w:r>
          </w:p>
        </w:tc>
        <w:tc>
          <w:tcPr>
            <w:tcW w:w="24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64.1</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57.4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FFCC"/>
          </w:tcPr>
          <w:p>
            <w:pPr>
              <w:spacing w:after="0"/>
              <w:rPr>
                <w:sz w:val="20"/>
                <w:szCs w:val="20"/>
                <w:color w:val="auto"/>
              </w:rPr>
            </w:pPr>
            <w:r>
              <w:rPr>
                <w:rFonts w:ascii="Arial" w:cs="Arial" w:eastAsia="Arial" w:hAnsi="Arial"/>
                <w:sz w:val="18"/>
                <w:szCs w:val="18"/>
                <w:color w:val="auto"/>
              </w:rPr>
              <w:t>Operating Expenses (US$ mm)</w:t>
            </w:r>
          </w:p>
        </w:tc>
        <w:tc>
          <w:tcPr>
            <w:tcW w:w="1360" w:type="dxa"/>
            <w:vAlign w:val="bottom"/>
            <w:gridSpan w:val="3"/>
            <w:shd w:val="clear" w:color="auto" w:fill="CCFFCC"/>
          </w:tcPr>
          <w:p>
            <w:pPr>
              <w:jc w:val="right"/>
              <w:ind w:right="240"/>
              <w:spacing w:after="0"/>
              <w:rPr>
                <w:sz w:val="20"/>
                <w:szCs w:val="20"/>
                <w:color w:val="auto"/>
              </w:rPr>
            </w:pPr>
            <w:r>
              <w:rPr>
                <w:rFonts w:ascii="Arial" w:cs="Arial" w:eastAsia="Arial" w:hAnsi="Arial"/>
                <w:sz w:val="18"/>
                <w:szCs w:val="18"/>
                <w:color w:val="auto"/>
              </w:rPr>
              <w:t>44.9</w:t>
            </w:r>
          </w:p>
        </w:tc>
        <w:tc>
          <w:tcPr>
            <w:tcW w:w="128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38.8</w:t>
            </w:r>
          </w:p>
        </w:tc>
        <w:tc>
          <w:tcPr>
            <w:tcW w:w="11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Operating income (US$ mm)</w:t>
            </w:r>
          </w:p>
        </w:tc>
        <w:tc>
          <w:tcPr>
            <w:tcW w:w="1360" w:type="dxa"/>
            <w:vAlign w:val="bottom"/>
            <w:gridSpan w:val="3"/>
          </w:tcPr>
          <w:p>
            <w:pPr>
              <w:jc w:val="right"/>
              <w:ind w:right="240"/>
              <w:spacing w:after="0"/>
              <w:rPr>
                <w:sz w:val="20"/>
                <w:szCs w:val="20"/>
                <w:color w:val="auto"/>
              </w:rPr>
            </w:pPr>
            <w:r>
              <w:rPr>
                <w:rFonts w:ascii="Arial" w:cs="Arial" w:eastAsia="Arial" w:hAnsi="Arial"/>
                <w:sz w:val="18"/>
                <w:szCs w:val="18"/>
                <w:color w:val="auto"/>
              </w:rPr>
              <w:t>22.6</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25.3</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FFCC"/>
          </w:tcPr>
          <w:p>
            <w:pPr>
              <w:spacing w:after="0"/>
              <w:rPr>
                <w:sz w:val="20"/>
                <w:szCs w:val="20"/>
                <w:color w:val="auto"/>
              </w:rPr>
            </w:pPr>
            <w:r>
              <w:rPr>
                <w:rFonts w:ascii="Arial" w:cs="Arial" w:eastAsia="Arial" w:hAnsi="Arial"/>
                <w:sz w:val="18"/>
                <w:szCs w:val="18"/>
                <w:color w:val="auto"/>
              </w:rPr>
              <w:t>Net Income (US$ mm) (2)</w:t>
            </w:r>
          </w:p>
        </w:tc>
        <w:tc>
          <w:tcPr>
            <w:tcW w:w="100" w:type="dxa"/>
            <w:vAlign w:val="bottom"/>
            <w:shd w:val="clear" w:color="auto" w:fill="CCFFCC"/>
          </w:tcPr>
          <w:p>
            <w:pPr>
              <w:spacing w:after="0"/>
              <w:rPr>
                <w:sz w:val="18"/>
                <w:szCs w:val="18"/>
                <w:color w:val="auto"/>
              </w:rPr>
            </w:pP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22.1</w:t>
            </w:r>
          </w:p>
        </w:tc>
        <w:tc>
          <w:tcPr>
            <w:tcW w:w="24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41.5</w:t>
            </w:r>
          </w:p>
        </w:tc>
        <w:tc>
          <w:tcPr>
            <w:tcW w:w="11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44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500"/>
        <w:spacing w:after="0"/>
        <w:rPr>
          <w:sz w:val="20"/>
          <w:szCs w:val="20"/>
          <w:color w:val="auto"/>
        </w:rPr>
      </w:pPr>
      <w:r>
        <w:rPr>
          <w:rFonts w:ascii="Arial" w:cs="Arial" w:eastAsia="Arial" w:hAnsi="Arial"/>
          <w:sz w:val="18"/>
          <w:szCs w:val="18"/>
          <w:i w:val="1"/>
          <w:iCs w:val="1"/>
          <w:color w:val="auto"/>
        </w:rPr>
        <w:t>Source: Conasev, Superintendecia de Banca, Seguros y AFP</w:t>
      </w:r>
    </w:p>
    <w:p>
      <w:pPr>
        <w:spacing w:after="0" w:line="9" w:lineRule="exact"/>
        <w:rPr>
          <w:sz w:val="20"/>
          <w:szCs w:val="20"/>
          <w:color w:val="auto"/>
        </w:rPr>
      </w:pPr>
    </w:p>
    <w:p>
      <w:pPr>
        <w:ind w:left="740" w:hanging="246"/>
        <w:spacing w:after="0"/>
        <w:tabs>
          <w:tab w:leader="none" w:pos="740"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Variation with respect to the last quarter</w:t>
      </w:r>
    </w:p>
    <w:p>
      <w:pPr>
        <w:spacing w:after="0" w:line="9" w:lineRule="exact"/>
        <w:rPr>
          <w:rFonts w:ascii="Arial" w:cs="Arial" w:eastAsia="Arial" w:hAnsi="Arial"/>
          <w:sz w:val="18"/>
          <w:szCs w:val="18"/>
          <w:i w:val="1"/>
          <w:iCs w:val="1"/>
          <w:color w:val="auto"/>
        </w:rPr>
      </w:pPr>
    </w:p>
    <w:p>
      <w:pPr>
        <w:ind w:left="740" w:hanging="246"/>
        <w:spacing w:after="0"/>
        <w:tabs>
          <w:tab w:leader="none" w:pos="740"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In Peruvian accounting, unlike IFRS, legal reserves are included in the income statement.</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There is no infomation for results adjusted to international financial reporting standards for the Total System.</w:t>
      </w:r>
    </w:p>
    <w:p>
      <w:pPr>
        <w:spacing w:after="0" w:line="3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6"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6254750</wp:posOffset>
            </wp:positionH>
            <wp:positionV relativeFrom="page">
              <wp:posOffset>337820</wp:posOffset>
            </wp:positionV>
            <wp:extent cx="1149350" cy="3175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clrChange>
                        <a:clrFrom>
                          <a:srgbClr val="FFFFFF"/>
                        </a:clrFrom>
                        <a:clrTo>
                          <a:srgbClr val="FFFFFF">
                            <a:alpha val="0"/>
                          </a:srgbClr>
                        </a:clrTo>
                      </a:clrChange>
                      <a:extLst>
                        <a:ext uri="{28A0092B-C50C-407E-A947-70E740481C1C}"/>
                      </a:extLst>
                    </a:blip>
                    <a:srcRect/>
                    <a:stretch>
                      <a:fillRect/>
                    </a:stretch>
                  </pic:blipFill>
                  <pic:spPr bwMode="auto">
                    <a:xfrm>
                      <a:off x="0" y="0"/>
                      <a:ext cx="1149350" cy="317500"/>
                    </a:xfrm>
                    <a:prstGeom prst="rect">
                      <a:avLst/>
                    </a:prstGeom>
                    <a:noFill/>
                  </pic:spPr>
                </pic:pic>
              </a:graphicData>
            </a:graphic>
          </wp:anchor>
        </w:drawing>
        <w:t>V.2 Prima AFP</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4Q09, similar to the scenario seen throughout the year, PRIMA ’s commercial activity reflected fewer inbound transfers and greater emphasis on recruitment. The number of transfers during this period reached levels similar to those seen in 3Q09 while the number of affiliations was slightly lower QoQ. As previously explained, this is normal during the last quarter of the year.</w:t>
      </w:r>
    </w:p>
    <w:p>
      <w:pPr>
        <w:spacing w:after="0" w:line="20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PRIMA has maintained leadership in terms of collections with a 32.2% market share, which represents an increase over the share reported in 3Q09. PRIMA continues to rank first in terms of voluntary contributions, with a 43.1% market share at the end of December 2009. It is important to emphasize that the evolution of voluntary contributions has been favorable throughout the year and is the result of a recovery in the financial markets.</w:t>
      </w:r>
    </w:p>
    <w:p>
      <w:pPr>
        <w:spacing w:after="0" w:line="189"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4120" w:type="dxa"/>
            <w:vAlign w:val="bottom"/>
            <w:gridSpan w:val="3"/>
          </w:tcPr>
          <w:p>
            <w:pPr>
              <w:jc w:val="right"/>
              <w:ind w:right="610"/>
              <w:spacing w:after="0"/>
              <w:rPr>
                <w:sz w:val="20"/>
                <w:szCs w:val="20"/>
                <w:color w:val="auto"/>
              </w:rPr>
            </w:pPr>
            <w:r>
              <w:rPr>
                <w:rFonts w:ascii="Arial" w:cs="Arial" w:eastAsia="Arial" w:hAnsi="Arial"/>
                <w:sz w:val="18"/>
                <w:szCs w:val="18"/>
                <w:b w:val="1"/>
                <w:bCs w:val="1"/>
                <w:color w:val="auto"/>
                <w:w w:val="91"/>
              </w:rPr>
              <w:t>Quarterly main indicators and market share</w:t>
            </w: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040" w:type="dxa"/>
            <w:vAlign w:val="bottom"/>
          </w:tcPr>
          <w:p>
            <w:pPr>
              <w:jc w:val="right"/>
              <w:ind w:right="130"/>
              <w:spacing w:after="0"/>
              <w:rPr>
                <w:sz w:val="20"/>
                <w:szCs w:val="20"/>
                <w:color w:val="auto"/>
              </w:rPr>
            </w:pPr>
            <w:r>
              <w:rPr>
                <w:rFonts w:ascii="Arial" w:cs="Arial" w:eastAsia="Arial" w:hAnsi="Arial"/>
                <w:sz w:val="18"/>
                <w:szCs w:val="18"/>
                <w:b w:val="1"/>
                <w:bCs w:val="1"/>
                <w:color w:val="auto"/>
              </w:rPr>
              <w:t>PRIMA</w:t>
            </w:r>
          </w:p>
        </w:tc>
        <w:tc>
          <w:tcPr>
            <w:tcW w:w="180" w:type="dxa"/>
            <w:vAlign w:val="bottom"/>
          </w:tcPr>
          <w:p>
            <w:pPr>
              <w:spacing w:after="0"/>
              <w:rPr>
                <w:sz w:val="18"/>
                <w:szCs w:val="18"/>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b w:val="1"/>
                <w:bCs w:val="1"/>
                <w:color w:val="auto"/>
              </w:rPr>
              <w:t>System</w:t>
            </w:r>
          </w:p>
        </w:tc>
        <w:tc>
          <w:tcPr>
            <w:tcW w:w="18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Share 4Q09</w:t>
            </w:r>
          </w:p>
        </w:tc>
        <w:tc>
          <w:tcPr>
            <w:tcW w:w="1000" w:type="dxa"/>
            <w:vAlign w:val="bottom"/>
          </w:tcPr>
          <w:p>
            <w:pPr>
              <w:jc w:val="right"/>
              <w:ind w:right="110"/>
              <w:spacing w:after="0"/>
              <w:rPr>
                <w:sz w:val="20"/>
                <w:szCs w:val="20"/>
                <w:color w:val="auto"/>
              </w:rPr>
            </w:pPr>
            <w:r>
              <w:rPr>
                <w:rFonts w:ascii="Arial" w:cs="Arial" w:eastAsia="Arial" w:hAnsi="Arial"/>
                <w:sz w:val="18"/>
                <w:szCs w:val="18"/>
                <w:b w:val="1"/>
                <w:bCs w:val="1"/>
                <w:color w:val="auto"/>
              </w:rPr>
              <w:t>PRIMA</w:t>
            </w:r>
          </w:p>
        </w:tc>
        <w:tc>
          <w:tcPr>
            <w:tcW w:w="200" w:type="dxa"/>
            <w:vAlign w:val="bottom"/>
          </w:tcPr>
          <w:p>
            <w:pPr>
              <w:spacing w:after="0"/>
              <w:rPr>
                <w:sz w:val="18"/>
                <w:szCs w:val="18"/>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b w:val="1"/>
                <w:bCs w:val="1"/>
                <w:color w:val="auto"/>
              </w:rPr>
              <w:t>System</w:t>
            </w:r>
          </w:p>
        </w:tc>
        <w:tc>
          <w:tcPr>
            <w:tcW w:w="200" w:type="dxa"/>
            <w:vAlign w:val="bottom"/>
          </w:tcPr>
          <w:p>
            <w:pPr>
              <w:spacing w:after="0"/>
              <w:rPr>
                <w:sz w:val="18"/>
                <w:szCs w:val="18"/>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Share 3Q09</w:t>
            </w:r>
          </w:p>
        </w:tc>
      </w:tr>
      <w:tr>
        <w:trPr>
          <w:trHeight w:val="241"/>
        </w:trPr>
        <w:tc>
          <w:tcPr>
            <w:tcW w:w="8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10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4Q09</w:t>
            </w:r>
          </w:p>
        </w:tc>
        <w:tc>
          <w:tcPr>
            <w:tcW w:w="180" w:type="dxa"/>
            <w:vAlign w:val="bottom"/>
          </w:tcPr>
          <w:p>
            <w:pPr>
              <w:spacing w:after="0"/>
              <w:rPr>
                <w:sz w:val="20"/>
                <w:szCs w:val="20"/>
                <w:color w:val="auto"/>
              </w:rPr>
            </w:pPr>
          </w:p>
        </w:tc>
        <w:tc>
          <w:tcPr>
            <w:tcW w:w="10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4Q09</w:t>
            </w:r>
          </w:p>
        </w:tc>
        <w:tc>
          <w:tcPr>
            <w:tcW w:w="180" w:type="dxa"/>
            <w:vAlign w:val="bottom"/>
          </w:tcPr>
          <w:p>
            <w:pPr>
              <w:spacing w:after="0"/>
              <w:rPr>
                <w:sz w:val="20"/>
                <w:szCs w:val="20"/>
                <w:color w:val="auto"/>
              </w:rPr>
            </w:pPr>
          </w:p>
        </w:tc>
        <w:tc>
          <w:tcPr>
            <w:tcW w:w="10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20"/>
                <w:szCs w:val="20"/>
                <w:color w:val="auto"/>
              </w:rPr>
            </w:pPr>
          </w:p>
        </w:tc>
        <w:tc>
          <w:tcPr>
            <w:tcW w:w="10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3Q09</w:t>
            </w:r>
          </w:p>
        </w:tc>
        <w:tc>
          <w:tcPr>
            <w:tcW w:w="200" w:type="dxa"/>
            <w:vAlign w:val="bottom"/>
          </w:tcPr>
          <w:p>
            <w:pPr>
              <w:spacing w:after="0"/>
              <w:rPr>
                <w:sz w:val="20"/>
                <w:szCs w:val="20"/>
                <w:color w:val="auto"/>
              </w:rPr>
            </w:pPr>
          </w:p>
        </w:tc>
        <w:tc>
          <w:tcPr>
            <w:tcW w:w="10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3Q09</w:t>
            </w:r>
          </w:p>
        </w:tc>
        <w:tc>
          <w:tcPr>
            <w:tcW w:w="200" w:type="dxa"/>
            <w:vAlign w:val="bottom"/>
          </w:tcPr>
          <w:p>
            <w:pPr>
              <w:spacing w:after="0"/>
              <w:rPr>
                <w:sz w:val="20"/>
                <w:szCs w:val="20"/>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0"/>
                <w:szCs w:val="20"/>
                <w:color w:val="auto"/>
              </w:rPr>
            </w:pPr>
          </w:p>
        </w:tc>
      </w:tr>
      <w:tr>
        <w:trPr>
          <w:trHeight w:val="216"/>
        </w:trPr>
        <w:tc>
          <w:tcPr>
            <w:tcW w:w="80" w:type="dxa"/>
            <w:vAlign w:val="bottom"/>
          </w:tcPr>
          <w:p>
            <w:pPr>
              <w:spacing w:after="0"/>
              <w:rPr>
                <w:sz w:val="18"/>
                <w:szCs w:val="18"/>
                <w:color w:val="auto"/>
              </w:rPr>
            </w:pPr>
          </w:p>
        </w:tc>
        <w:tc>
          <w:tcPr>
            <w:tcW w:w="3000" w:type="dxa"/>
            <w:vAlign w:val="bottom"/>
            <w:shd w:val="clear" w:color="auto" w:fill="CCFFCC"/>
          </w:tcPr>
          <w:p>
            <w:pPr>
              <w:spacing w:after="0"/>
              <w:rPr>
                <w:sz w:val="20"/>
                <w:szCs w:val="20"/>
                <w:color w:val="auto"/>
              </w:rPr>
            </w:pPr>
            <w:r>
              <w:rPr>
                <w:rFonts w:ascii="Arial" w:cs="Arial" w:eastAsia="Arial" w:hAnsi="Arial"/>
                <w:sz w:val="18"/>
                <w:szCs w:val="18"/>
                <w:color w:val="auto"/>
              </w:rPr>
              <w:t>Affiliates</w:t>
            </w: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1,078,317</w:t>
            </w:r>
          </w:p>
        </w:tc>
        <w:tc>
          <w:tcPr>
            <w:tcW w:w="12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4,458,045</w:t>
            </w:r>
          </w:p>
        </w:tc>
        <w:tc>
          <w:tcPr>
            <w:tcW w:w="146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24.2%</w:t>
            </w: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1,068,689</w:t>
            </w:r>
          </w:p>
        </w:tc>
        <w:tc>
          <w:tcPr>
            <w:tcW w:w="12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4,416,403</w:t>
            </w:r>
          </w:p>
        </w:tc>
        <w:tc>
          <w:tcPr>
            <w:tcW w:w="1380" w:type="dxa"/>
            <w:vAlign w:val="bottom"/>
            <w:gridSpan w:val="3"/>
            <w:shd w:val="clear" w:color="auto" w:fill="CCFFCC"/>
          </w:tcPr>
          <w:p>
            <w:pPr>
              <w:jc w:val="right"/>
              <w:ind w:right="20"/>
              <w:spacing w:after="0"/>
              <w:rPr>
                <w:sz w:val="20"/>
                <w:szCs w:val="20"/>
                <w:color w:val="auto"/>
              </w:rPr>
            </w:pPr>
            <w:r>
              <w:rPr>
                <w:rFonts w:ascii="Arial" w:cs="Arial" w:eastAsia="Arial" w:hAnsi="Arial"/>
                <w:sz w:val="18"/>
                <w:szCs w:val="18"/>
                <w:color w:val="auto"/>
              </w:rPr>
              <w:t>24.2%</w:t>
            </w:r>
          </w:p>
        </w:tc>
      </w:tr>
      <w:tr>
        <w:trPr>
          <w:trHeight w:val="216"/>
        </w:trPr>
        <w:tc>
          <w:tcPr>
            <w:tcW w:w="8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New affiliations (1)</w:t>
            </w:r>
          </w:p>
        </w:tc>
        <w:tc>
          <w:tcPr>
            <w:tcW w:w="1040" w:type="dxa"/>
            <w:vAlign w:val="bottom"/>
          </w:tcPr>
          <w:p>
            <w:pPr>
              <w:jc w:val="right"/>
              <w:spacing w:after="0"/>
              <w:rPr>
                <w:sz w:val="20"/>
                <w:szCs w:val="20"/>
                <w:color w:val="auto"/>
              </w:rPr>
            </w:pPr>
            <w:r>
              <w:rPr>
                <w:rFonts w:ascii="Arial" w:cs="Arial" w:eastAsia="Arial" w:hAnsi="Arial"/>
                <w:sz w:val="18"/>
                <w:szCs w:val="18"/>
                <w:color w:val="auto"/>
              </w:rPr>
              <w:t>10,612</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47,002</w:t>
            </w:r>
          </w:p>
        </w:tc>
        <w:tc>
          <w:tcPr>
            <w:tcW w:w="1460" w:type="dxa"/>
            <w:vAlign w:val="bottom"/>
            <w:gridSpan w:val="3"/>
          </w:tcPr>
          <w:p>
            <w:pPr>
              <w:jc w:val="right"/>
              <w:ind w:right="120"/>
              <w:spacing w:after="0"/>
              <w:rPr>
                <w:sz w:val="20"/>
                <w:szCs w:val="20"/>
                <w:color w:val="auto"/>
              </w:rPr>
            </w:pPr>
            <w:r>
              <w:rPr>
                <w:rFonts w:ascii="Arial" w:cs="Arial" w:eastAsia="Arial" w:hAnsi="Arial"/>
                <w:sz w:val="18"/>
                <w:szCs w:val="18"/>
                <w:color w:val="auto"/>
              </w:rPr>
              <w:t>22.6%</w:t>
            </w:r>
          </w:p>
        </w:tc>
        <w:tc>
          <w:tcPr>
            <w:tcW w:w="1000" w:type="dxa"/>
            <w:vAlign w:val="bottom"/>
          </w:tcPr>
          <w:p>
            <w:pPr>
              <w:jc w:val="right"/>
              <w:spacing w:after="0"/>
              <w:rPr>
                <w:sz w:val="20"/>
                <w:szCs w:val="20"/>
                <w:color w:val="auto"/>
              </w:rPr>
            </w:pPr>
            <w:r>
              <w:rPr>
                <w:rFonts w:ascii="Arial" w:cs="Arial" w:eastAsia="Arial" w:hAnsi="Arial"/>
                <w:sz w:val="18"/>
                <w:szCs w:val="18"/>
                <w:color w:val="auto"/>
              </w:rPr>
              <w:t>11,310</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51,700</w:t>
            </w:r>
          </w:p>
        </w:tc>
        <w:tc>
          <w:tcPr>
            <w:tcW w:w="1380" w:type="dxa"/>
            <w:vAlign w:val="bottom"/>
            <w:gridSpan w:val="3"/>
          </w:tcPr>
          <w:p>
            <w:pPr>
              <w:jc w:val="right"/>
              <w:ind w:right="20"/>
              <w:spacing w:after="0"/>
              <w:rPr>
                <w:sz w:val="20"/>
                <w:szCs w:val="20"/>
                <w:color w:val="auto"/>
              </w:rPr>
            </w:pPr>
            <w:r>
              <w:rPr>
                <w:rFonts w:ascii="Arial" w:cs="Arial" w:eastAsia="Arial" w:hAnsi="Arial"/>
                <w:sz w:val="18"/>
                <w:szCs w:val="18"/>
                <w:color w:val="auto"/>
              </w:rPr>
              <w:t>21.9%</w:t>
            </w:r>
          </w:p>
        </w:tc>
      </w:tr>
      <w:tr>
        <w:trPr>
          <w:trHeight w:val="216"/>
        </w:trPr>
        <w:tc>
          <w:tcPr>
            <w:tcW w:w="80" w:type="dxa"/>
            <w:vAlign w:val="bottom"/>
          </w:tcPr>
          <w:p>
            <w:pPr>
              <w:spacing w:after="0"/>
              <w:rPr>
                <w:sz w:val="18"/>
                <w:szCs w:val="18"/>
                <w:color w:val="auto"/>
              </w:rPr>
            </w:pPr>
          </w:p>
        </w:tc>
        <w:tc>
          <w:tcPr>
            <w:tcW w:w="3000" w:type="dxa"/>
            <w:vAlign w:val="bottom"/>
            <w:shd w:val="clear" w:color="auto" w:fill="CCFFCC"/>
          </w:tcPr>
          <w:p>
            <w:pPr>
              <w:spacing w:after="0"/>
              <w:rPr>
                <w:sz w:val="20"/>
                <w:szCs w:val="20"/>
                <w:color w:val="auto"/>
              </w:rPr>
            </w:pPr>
            <w:r>
              <w:rPr>
                <w:rFonts w:ascii="Arial" w:cs="Arial" w:eastAsia="Arial" w:hAnsi="Arial"/>
                <w:sz w:val="18"/>
                <w:szCs w:val="18"/>
                <w:color w:val="auto"/>
              </w:rPr>
              <w:t>Funds under management US$ mm</w:t>
            </w: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7,324</w:t>
            </w:r>
          </w:p>
        </w:tc>
        <w:tc>
          <w:tcPr>
            <w:tcW w:w="12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23,967</w:t>
            </w:r>
          </w:p>
        </w:tc>
        <w:tc>
          <w:tcPr>
            <w:tcW w:w="146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30.6%</w:t>
            </w: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7,062</w:t>
            </w:r>
          </w:p>
        </w:tc>
        <w:tc>
          <w:tcPr>
            <w:tcW w:w="12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23,202</w:t>
            </w:r>
          </w:p>
        </w:tc>
        <w:tc>
          <w:tcPr>
            <w:tcW w:w="1380" w:type="dxa"/>
            <w:vAlign w:val="bottom"/>
            <w:gridSpan w:val="3"/>
            <w:shd w:val="clear" w:color="auto" w:fill="CCFFCC"/>
          </w:tcPr>
          <w:p>
            <w:pPr>
              <w:jc w:val="right"/>
              <w:ind w:right="20"/>
              <w:spacing w:after="0"/>
              <w:rPr>
                <w:sz w:val="20"/>
                <w:szCs w:val="20"/>
                <w:color w:val="auto"/>
              </w:rPr>
            </w:pPr>
            <w:r>
              <w:rPr>
                <w:rFonts w:ascii="Arial" w:cs="Arial" w:eastAsia="Arial" w:hAnsi="Arial"/>
                <w:sz w:val="18"/>
                <w:szCs w:val="18"/>
                <w:color w:val="auto"/>
              </w:rPr>
              <w:t>30.4%</w:t>
            </w:r>
          </w:p>
        </w:tc>
      </w:tr>
      <w:tr>
        <w:trPr>
          <w:trHeight w:val="216"/>
        </w:trPr>
        <w:tc>
          <w:tcPr>
            <w:tcW w:w="8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Collections US$ mm (1)</w:t>
            </w:r>
          </w:p>
        </w:tc>
        <w:tc>
          <w:tcPr>
            <w:tcW w:w="1040" w:type="dxa"/>
            <w:vAlign w:val="bottom"/>
          </w:tcPr>
          <w:p>
            <w:pPr>
              <w:jc w:val="right"/>
              <w:spacing w:after="0"/>
              <w:rPr>
                <w:sz w:val="20"/>
                <w:szCs w:val="20"/>
                <w:color w:val="auto"/>
              </w:rPr>
            </w:pPr>
            <w:r>
              <w:rPr>
                <w:rFonts w:ascii="Arial" w:cs="Arial" w:eastAsia="Arial" w:hAnsi="Arial"/>
                <w:sz w:val="18"/>
                <w:szCs w:val="18"/>
                <w:color w:val="auto"/>
              </w:rPr>
              <w:t>132</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412</w:t>
            </w:r>
          </w:p>
        </w:tc>
        <w:tc>
          <w:tcPr>
            <w:tcW w:w="1460" w:type="dxa"/>
            <w:vAlign w:val="bottom"/>
            <w:gridSpan w:val="3"/>
          </w:tcPr>
          <w:p>
            <w:pPr>
              <w:jc w:val="right"/>
              <w:ind w:right="120"/>
              <w:spacing w:after="0"/>
              <w:rPr>
                <w:sz w:val="20"/>
                <w:szCs w:val="20"/>
                <w:color w:val="auto"/>
              </w:rPr>
            </w:pPr>
            <w:r>
              <w:rPr>
                <w:rFonts w:ascii="Arial" w:cs="Arial" w:eastAsia="Arial" w:hAnsi="Arial"/>
                <w:sz w:val="18"/>
                <w:szCs w:val="18"/>
                <w:color w:val="auto"/>
              </w:rPr>
              <w:t>32.2%</w:t>
            </w:r>
          </w:p>
        </w:tc>
        <w:tc>
          <w:tcPr>
            <w:tcW w:w="1000" w:type="dxa"/>
            <w:vAlign w:val="bottom"/>
          </w:tcPr>
          <w:p>
            <w:pPr>
              <w:jc w:val="right"/>
              <w:spacing w:after="0"/>
              <w:rPr>
                <w:sz w:val="20"/>
                <w:szCs w:val="20"/>
                <w:color w:val="auto"/>
              </w:rPr>
            </w:pPr>
            <w:r>
              <w:rPr>
                <w:rFonts w:ascii="Arial" w:cs="Arial" w:eastAsia="Arial" w:hAnsi="Arial"/>
                <w:sz w:val="18"/>
                <w:szCs w:val="18"/>
                <w:color w:val="auto"/>
              </w:rPr>
              <w:t>123</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388</w:t>
            </w:r>
          </w:p>
        </w:tc>
        <w:tc>
          <w:tcPr>
            <w:tcW w:w="1380" w:type="dxa"/>
            <w:vAlign w:val="bottom"/>
            <w:gridSpan w:val="3"/>
          </w:tcPr>
          <w:p>
            <w:pPr>
              <w:jc w:val="right"/>
              <w:ind w:right="20"/>
              <w:spacing w:after="0"/>
              <w:rPr>
                <w:sz w:val="20"/>
                <w:szCs w:val="20"/>
                <w:color w:val="auto"/>
              </w:rPr>
            </w:pPr>
            <w:r>
              <w:rPr>
                <w:rFonts w:ascii="Arial" w:cs="Arial" w:eastAsia="Arial" w:hAnsi="Arial"/>
                <w:sz w:val="18"/>
                <w:szCs w:val="18"/>
                <w:color w:val="auto"/>
              </w:rPr>
              <w:t>31.7%</w:t>
            </w:r>
          </w:p>
        </w:tc>
      </w:tr>
      <w:tr>
        <w:trPr>
          <w:trHeight w:val="216"/>
        </w:trPr>
        <w:tc>
          <w:tcPr>
            <w:tcW w:w="80" w:type="dxa"/>
            <w:vAlign w:val="bottom"/>
          </w:tcPr>
          <w:p>
            <w:pPr>
              <w:spacing w:after="0"/>
              <w:rPr>
                <w:sz w:val="18"/>
                <w:szCs w:val="18"/>
                <w:color w:val="auto"/>
              </w:rPr>
            </w:pPr>
          </w:p>
        </w:tc>
        <w:tc>
          <w:tcPr>
            <w:tcW w:w="3000" w:type="dxa"/>
            <w:vAlign w:val="bottom"/>
            <w:shd w:val="clear" w:color="auto" w:fill="CCFFCC"/>
          </w:tcPr>
          <w:p>
            <w:pPr>
              <w:spacing w:after="0"/>
              <w:rPr>
                <w:sz w:val="20"/>
                <w:szCs w:val="20"/>
                <w:color w:val="auto"/>
              </w:rPr>
            </w:pPr>
            <w:r>
              <w:rPr>
                <w:rFonts w:ascii="Arial" w:cs="Arial" w:eastAsia="Arial" w:hAnsi="Arial"/>
                <w:sz w:val="18"/>
                <w:szCs w:val="18"/>
                <w:color w:val="auto"/>
              </w:rPr>
              <w:t>Voluntary Contributions US$ mm</w:t>
            </w: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86</w:t>
            </w:r>
          </w:p>
        </w:tc>
        <w:tc>
          <w:tcPr>
            <w:tcW w:w="12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199</w:t>
            </w:r>
          </w:p>
        </w:tc>
        <w:tc>
          <w:tcPr>
            <w:tcW w:w="146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43.1%</w:t>
            </w: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84</w:t>
            </w:r>
          </w:p>
        </w:tc>
        <w:tc>
          <w:tcPr>
            <w:tcW w:w="12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191</w:t>
            </w:r>
          </w:p>
        </w:tc>
        <w:tc>
          <w:tcPr>
            <w:tcW w:w="1380" w:type="dxa"/>
            <w:vAlign w:val="bottom"/>
            <w:gridSpan w:val="3"/>
            <w:shd w:val="clear" w:color="auto" w:fill="CCFFCC"/>
          </w:tcPr>
          <w:p>
            <w:pPr>
              <w:jc w:val="right"/>
              <w:ind w:right="20"/>
              <w:spacing w:after="0"/>
              <w:rPr>
                <w:sz w:val="20"/>
                <w:szCs w:val="20"/>
                <w:color w:val="auto"/>
              </w:rPr>
            </w:pPr>
            <w:r>
              <w:rPr>
                <w:rFonts w:ascii="Arial" w:cs="Arial" w:eastAsia="Arial" w:hAnsi="Arial"/>
                <w:sz w:val="18"/>
                <w:szCs w:val="18"/>
                <w:color w:val="auto"/>
              </w:rPr>
              <w:t>43.8%</w:t>
            </w:r>
          </w:p>
        </w:tc>
      </w:tr>
      <w:tr>
        <w:trPr>
          <w:trHeight w:val="230"/>
        </w:trPr>
        <w:tc>
          <w:tcPr>
            <w:tcW w:w="80" w:type="dxa"/>
            <w:vAlign w:val="bottom"/>
          </w:tcPr>
          <w:p>
            <w:pPr>
              <w:spacing w:after="0"/>
              <w:rPr>
                <w:sz w:val="20"/>
                <w:szCs w:val="20"/>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RAM US$ mm (2)</w:t>
            </w:r>
          </w:p>
        </w:tc>
        <w:tc>
          <w:tcPr>
            <w:tcW w:w="1040" w:type="dxa"/>
            <w:vAlign w:val="bottom"/>
          </w:tcPr>
          <w:p>
            <w:pPr>
              <w:jc w:val="right"/>
              <w:spacing w:after="0"/>
              <w:rPr>
                <w:sz w:val="20"/>
                <w:szCs w:val="20"/>
                <w:color w:val="auto"/>
              </w:rPr>
            </w:pPr>
            <w:r>
              <w:rPr>
                <w:rFonts w:ascii="Arial" w:cs="Arial" w:eastAsia="Arial" w:hAnsi="Arial"/>
                <w:sz w:val="18"/>
                <w:szCs w:val="18"/>
                <w:color w:val="auto"/>
              </w:rPr>
              <w:t>374</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1,174</w:t>
            </w:r>
          </w:p>
        </w:tc>
        <w:tc>
          <w:tcPr>
            <w:tcW w:w="1460" w:type="dxa"/>
            <w:vAlign w:val="bottom"/>
            <w:gridSpan w:val="3"/>
          </w:tcPr>
          <w:p>
            <w:pPr>
              <w:jc w:val="right"/>
              <w:ind w:right="120"/>
              <w:spacing w:after="0"/>
              <w:rPr>
                <w:sz w:val="20"/>
                <w:szCs w:val="20"/>
                <w:color w:val="auto"/>
              </w:rPr>
            </w:pPr>
            <w:r>
              <w:rPr>
                <w:rFonts w:ascii="Arial" w:cs="Arial" w:eastAsia="Arial" w:hAnsi="Arial"/>
                <w:sz w:val="18"/>
                <w:szCs w:val="18"/>
                <w:color w:val="auto"/>
              </w:rPr>
              <w:t>31.8%</w:t>
            </w:r>
          </w:p>
        </w:tc>
        <w:tc>
          <w:tcPr>
            <w:tcW w:w="1000" w:type="dxa"/>
            <w:vAlign w:val="bottom"/>
          </w:tcPr>
          <w:p>
            <w:pPr>
              <w:jc w:val="right"/>
              <w:spacing w:after="0"/>
              <w:rPr>
                <w:sz w:val="20"/>
                <w:szCs w:val="20"/>
                <w:color w:val="auto"/>
              </w:rPr>
            </w:pPr>
            <w:r>
              <w:rPr>
                <w:rFonts w:ascii="Arial" w:cs="Arial" w:eastAsia="Arial" w:hAnsi="Arial"/>
                <w:sz w:val="18"/>
                <w:szCs w:val="18"/>
                <w:color w:val="auto"/>
              </w:rPr>
              <w:t>369</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1,167</w:t>
            </w:r>
          </w:p>
        </w:tc>
        <w:tc>
          <w:tcPr>
            <w:tcW w:w="1380" w:type="dxa"/>
            <w:vAlign w:val="bottom"/>
            <w:gridSpan w:val="3"/>
          </w:tcPr>
          <w:p>
            <w:pPr>
              <w:jc w:val="right"/>
              <w:ind w:right="20"/>
              <w:spacing w:after="0"/>
              <w:rPr>
                <w:sz w:val="20"/>
                <w:szCs w:val="20"/>
                <w:color w:val="auto"/>
              </w:rPr>
            </w:pPr>
            <w:r>
              <w:rPr>
                <w:rFonts w:ascii="Arial" w:cs="Arial" w:eastAsia="Arial" w:hAnsi="Arial"/>
                <w:sz w:val="18"/>
                <w:szCs w:val="18"/>
                <w:color w:val="auto"/>
              </w:rPr>
              <w:t>31.6%</w:t>
            </w:r>
          </w:p>
        </w:tc>
      </w:tr>
    </w:tbl>
    <w:p>
      <w:pPr>
        <w:spacing w:after="0" w:line="187" w:lineRule="exact"/>
        <w:rPr>
          <w:sz w:val="20"/>
          <w:szCs w:val="20"/>
          <w:color w:val="auto"/>
        </w:rPr>
      </w:pPr>
    </w:p>
    <w:p>
      <w:pPr>
        <w:ind w:left="740" w:hanging="246"/>
        <w:spacing w:after="0"/>
        <w:tabs>
          <w:tab w:leader="none" w:pos="74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Accumulated to the Quarter.</w:t>
      </w:r>
    </w:p>
    <w:p>
      <w:pPr>
        <w:spacing w:after="0" w:line="23" w:lineRule="exact"/>
        <w:rPr>
          <w:rFonts w:ascii="Arial" w:cs="Arial" w:eastAsia="Arial" w:hAnsi="Arial"/>
          <w:sz w:val="18"/>
          <w:szCs w:val="18"/>
          <w:i w:val="1"/>
          <w:iCs w:val="1"/>
          <w:color w:val="auto"/>
        </w:rPr>
      </w:pPr>
    </w:p>
    <w:p>
      <w:pPr>
        <w:ind w:left="500" w:right="340" w:hanging="6"/>
        <w:spacing w:after="0" w:line="261" w:lineRule="auto"/>
        <w:tabs>
          <w:tab w:leader="none" w:pos="755"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PRIMA AFP Forecast. Monthly remuneration of affiliates, earnings base calculation estimated by PRIMA on average earning during the last 4 months excluding double collection effect, special collections and voluntary contributions fees.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 Results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total number of affiliations and inbound transfers in the fourth quarter fell slightly in comparison with other periods, going from 14,300 to approximately 13,400. This total can be divided into 10,600 affiliations and 2,800 transfers. In terms of RAM, net movements during 4Q09 produced positive results for the company. In this context, PRIMA achieved a RAM share of 31.8%, which represents an improvement over last quarter ’s result and means that PRIMA continues to rank first in the system in terms of this indicator.</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PRIMA ’s managed portfolio at the end of December was US$ 7,324 million, which gives the company a 30.6% market share, representing a slight increase QoQ. PRIMA is currently ranked second system wide and its share is only 1% lower than its closest competitor ’s.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recovery trend in the financial markets, evident since the beginning of 2009, continued during the last quarter of the year. In this context, YoY profitability was 15.64%, 32.62% and 50.53% for funds 1, 2 y 3 respectively.</w:t>
      </w:r>
    </w:p>
    <w:p>
      <w:pPr>
        <w:spacing w:after="0" w:line="197"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Given that pension funds constitute a long-term investment, it is best to observe profitability over a longer period (which smoothes out short-term fluctuations). As such, if we look at a 3-yr. period (December 2009/December 2006), PRIMA ’s profitability was 21.70%, 31.30% and 35.66% for funds 1, 2 and 3. In terms of system results, PRIMA ranks second in funds 1 and 3 and first in fund 2. If we extend analysis even further to a period beginning with the start-up date for system operations and ending with December 2009, the private pension system recorded an annualized nominal yield of 14.22%.</w:t>
      </w:r>
    </w:p>
    <w:p>
      <w:pPr>
        <w:spacing w:after="0" w:line="33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60" w:right="2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30"/>
        </w:trPr>
        <w:tc>
          <w:tcPr>
            <w:tcW w:w="6000" w:type="dxa"/>
            <w:vAlign w:val="bottom"/>
            <w:gridSpan w:val="2"/>
          </w:tcPr>
          <w:p>
            <w:pPr>
              <w:spacing w:after="0"/>
              <w:rPr>
                <w:sz w:val="20"/>
                <w:szCs w:val="20"/>
                <w:color w:val="auto"/>
              </w:rPr>
            </w:pPr>
            <w:r>
              <w:rPr>
                <w:rFonts w:ascii="Arial" w:cs="Arial" w:eastAsia="Arial" w:hAnsi="Arial"/>
                <w:sz w:val="18"/>
                <w:szCs w:val="18"/>
                <w:color w:val="auto"/>
              </w:rPr>
              <w:t>The chart below shows the structure of PRIMA ’s managed portfolio.</w:t>
            </w: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6000" w:type="dxa"/>
            <w:vAlign w:val="bottom"/>
            <w:gridSpan w:val="2"/>
          </w:tcPr>
          <w:p>
            <w:pPr>
              <w:ind w:left="500"/>
              <w:spacing w:after="0"/>
              <w:rPr>
                <w:sz w:val="20"/>
                <w:szCs w:val="20"/>
                <w:color w:val="auto"/>
              </w:rPr>
            </w:pPr>
            <w:r>
              <w:rPr>
                <w:rFonts w:ascii="Arial" w:cs="Arial" w:eastAsia="Arial" w:hAnsi="Arial"/>
                <w:sz w:val="18"/>
                <w:szCs w:val="18"/>
                <w:b w:val="1"/>
                <w:bCs w:val="1"/>
                <w:color w:val="auto"/>
              </w:rPr>
              <w:t>Funds under management as of December 2009</w:t>
            </w:r>
          </w:p>
        </w:tc>
        <w:tc>
          <w:tcPr>
            <w:tcW w:w="102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auto"/>
              </w:rPr>
              <w:t>Dec 09</w:t>
            </w:r>
          </w:p>
        </w:tc>
        <w:tc>
          <w:tcPr>
            <w:tcW w:w="180" w:type="dxa"/>
            <w:vAlign w:val="bottom"/>
          </w:tcPr>
          <w:p>
            <w:pPr>
              <w:spacing w:after="0"/>
              <w:rPr>
                <w:sz w:val="24"/>
                <w:szCs w:val="24"/>
                <w:color w:val="auto"/>
              </w:rPr>
            </w:pPr>
          </w:p>
        </w:tc>
        <w:tc>
          <w:tcPr>
            <w:tcW w:w="1020" w:type="dxa"/>
            <w:vAlign w:val="bottom"/>
            <w:vMerge w:val="restart"/>
          </w:tcPr>
          <w:p>
            <w:pPr>
              <w:ind w:left="180"/>
              <w:spacing w:after="0"/>
              <w:rPr>
                <w:sz w:val="20"/>
                <w:szCs w:val="20"/>
                <w:color w:val="auto"/>
              </w:rPr>
            </w:pPr>
            <w:r>
              <w:rPr>
                <w:rFonts w:ascii="Arial" w:cs="Arial" w:eastAsia="Arial" w:hAnsi="Arial"/>
                <w:sz w:val="18"/>
                <w:szCs w:val="18"/>
                <w:b w:val="1"/>
                <w:bCs w:val="1"/>
                <w:color w:val="auto"/>
              </w:rPr>
              <w:t>Share %</w:t>
            </w:r>
          </w:p>
        </w:tc>
        <w:tc>
          <w:tcPr>
            <w:tcW w:w="260" w:type="dxa"/>
            <w:vAlign w:val="bottom"/>
            <w:vMerge w:val="restart"/>
          </w:tcPr>
          <w:p>
            <w:pPr>
              <w:spacing w:after="0"/>
              <w:rPr>
                <w:sz w:val="24"/>
                <w:szCs w:val="24"/>
                <w:color w:val="auto"/>
              </w:rPr>
            </w:pPr>
          </w:p>
        </w:tc>
        <w:tc>
          <w:tcPr>
            <w:tcW w:w="100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auto"/>
              </w:rPr>
              <w:t>Sep 09</w:t>
            </w:r>
          </w:p>
        </w:tc>
        <w:tc>
          <w:tcPr>
            <w:tcW w:w="200" w:type="dxa"/>
            <w:vAlign w:val="bottom"/>
          </w:tcPr>
          <w:p>
            <w:pPr>
              <w:spacing w:after="0"/>
              <w:rPr>
                <w:sz w:val="24"/>
                <w:szCs w:val="24"/>
                <w:color w:val="auto"/>
              </w:rPr>
            </w:pPr>
          </w:p>
        </w:tc>
        <w:tc>
          <w:tcPr>
            <w:tcW w:w="1020" w:type="dxa"/>
            <w:vAlign w:val="bottom"/>
            <w:vMerge w:val="restart"/>
          </w:tcPr>
          <w:p>
            <w:pPr>
              <w:ind w:left="160"/>
              <w:spacing w:after="0"/>
              <w:rPr>
                <w:sz w:val="20"/>
                <w:szCs w:val="20"/>
                <w:color w:val="auto"/>
              </w:rPr>
            </w:pPr>
            <w:r>
              <w:rPr>
                <w:rFonts w:ascii="Arial" w:cs="Arial" w:eastAsia="Arial" w:hAnsi="Arial"/>
                <w:sz w:val="18"/>
                <w:szCs w:val="18"/>
                <w:b w:val="1"/>
                <w:bCs w:val="1"/>
                <w:color w:val="auto"/>
              </w:rPr>
              <w:t>Share %</w:t>
            </w:r>
          </w:p>
        </w:tc>
        <w:tc>
          <w:tcPr>
            <w:tcW w:w="16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80" w:type="dxa"/>
            <w:vAlign w:val="bottom"/>
          </w:tcPr>
          <w:p>
            <w:pPr>
              <w:spacing w:after="0"/>
              <w:rPr>
                <w:sz w:val="19"/>
                <w:szCs w:val="19"/>
                <w:color w:val="auto"/>
              </w:rPr>
            </w:pPr>
          </w:p>
        </w:tc>
        <w:tc>
          <w:tcPr>
            <w:tcW w:w="5420" w:type="dxa"/>
            <w:vAlign w:val="bottom"/>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260" w:type="dxa"/>
            <w:vAlign w:val="bottom"/>
            <w:vMerge w:val="continue"/>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420" w:type="dxa"/>
            <w:vAlign w:val="bottom"/>
            <w:shd w:val="clear" w:color="auto" w:fill="CCFFCC"/>
          </w:tcPr>
          <w:p>
            <w:pPr>
              <w:spacing w:after="0"/>
              <w:rPr>
                <w:sz w:val="20"/>
                <w:szCs w:val="20"/>
                <w:color w:val="auto"/>
              </w:rPr>
            </w:pPr>
            <w:r>
              <w:rPr>
                <w:rFonts w:ascii="Arial" w:cs="Arial" w:eastAsia="Arial" w:hAnsi="Arial"/>
                <w:sz w:val="18"/>
                <w:szCs w:val="18"/>
                <w:color w:val="auto"/>
              </w:rPr>
              <w:t>Fund 1</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580</w:t>
            </w:r>
          </w:p>
        </w:tc>
        <w:tc>
          <w:tcPr>
            <w:tcW w:w="146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7.9%</w:t>
            </w: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575</w:t>
            </w:r>
          </w:p>
        </w:tc>
        <w:tc>
          <w:tcPr>
            <w:tcW w:w="1380" w:type="dxa"/>
            <w:vAlign w:val="bottom"/>
            <w:gridSpan w:val="3"/>
            <w:shd w:val="clear" w:color="auto" w:fill="CCFFCC"/>
          </w:tcPr>
          <w:p>
            <w:pPr>
              <w:jc w:val="right"/>
              <w:ind w:right="2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Fund 2</w:t>
            </w:r>
          </w:p>
        </w:tc>
        <w:tc>
          <w:tcPr>
            <w:tcW w:w="1020" w:type="dxa"/>
            <w:vAlign w:val="bottom"/>
          </w:tcPr>
          <w:p>
            <w:pPr>
              <w:jc w:val="right"/>
              <w:spacing w:after="0"/>
              <w:rPr>
                <w:sz w:val="20"/>
                <w:szCs w:val="20"/>
                <w:color w:val="auto"/>
              </w:rPr>
            </w:pPr>
            <w:r>
              <w:rPr>
                <w:rFonts w:ascii="Arial" w:cs="Arial" w:eastAsia="Arial" w:hAnsi="Arial"/>
                <w:sz w:val="18"/>
                <w:szCs w:val="18"/>
                <w:color w:val="auto"/>
              </w:rPr>
              <w:t>4,933</w:t>
            </w:r>
          </w:p>
        </w:tc>
        <w:tc>
          <w:tcPr>
            <w:tcW w:w="1460" w:type="dxa"/>
            <w:vAlign w:val="bottom"/>
            <w:gridSpan w:val="3"/>
          </w:tcPr>
          <w:p>
            <w:pPr>
              <w:jc w:val="right"/>
              <w:ind w:right="120"/>
              <w:spacing w:after="0"/>
              <w:rPr>
                <w:sz w:val="20"/>
                <w:szCs w:val="20"/>
                <w:color w:val="auto"/>
              </w:rPr>
            </w:pPr>
            <w:r>
              <w:rPr>
                <w:rFonts w:ascii="Arial" w:cs="Arial" w:eastAsia="Arial" w:hAnsi="Arial"/>
                <w:sz w:val="18"/>
                <w:szCs w:val="18"/>
                <w:color w:val="auto"/>
              </w:rPr>
              <w:t>67.4%</w:t>
            </w:r>
          </w:p>
        </w:tc>
        <w:tc>
          <w:tcPr>
            <w:tcW w:w="1000" w:type="dxa"/>
            <w:vAlign w:val="bottom"/>
          </w:tcPr>
          <w:p>
            <w:pPr>
              <w:jc w:val="right"/>
              <w:spacing w:after="0"/>
              <w:rPr>
                <w:sz w:val="20"/>
                <w:szCs w:val="20"/>
                <w:color w:val="auto"/>
              </w:rPr>
            </w:pPr>
            <w:r>
              <w:rPr>
                <w:rFonts w:ascii="Arial" w:cs="Arial" w:eastAsia="Arial" w:hAnsi="Arial"/>
                <w:sz w:val="18"/>
                <w:szCs w:val="18"/>
                <w:color w:val="auto"/>
              </w:rPr>
              <w:t>4,756</w:t>
            </w:r>
          </w:p>
        </w:tc>
        <w:tc>
          <w:tcPr>
            <w:tcW w:w="1380" w:type="dxa"/>
            <w:vAlign w:val="bottom"/>
            <w:gridSpan w:val="3"/>
          </w:tcPr>
          <w:p>
            <w:pPr>
              <w:jc w:val="right"/>
              <w:ind w:right="20"/>
              <w:spacing w:after="0"/>
              <w:rPr>
                <w:sz w:val="20"/>
                <w:szCs w:val="20"/>
                <w:color w:val="auto"/>
              </w:rPr>
            </w:pPr>
            <w:r>
              <w:rPr>
                <w:rFonts w:ascii="Arial" w:cs="Arial" w:eastAsia="Arial" w:hAnsi="Arial"/>
                <w:sz w:val="18"/>
                <w:szCs w:val="18"/>
                <w:color w:val="auto"/>
              </w:rPr>
              <w:t>67.4%</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420" w:type="dxa"/>
            <w:vAlign w:val="bottom"/>
            <w:shd w:val="clear" w:color="auto" w:fill="CCFFCC"/>
          </w:tcPr>
          <w:p>
            <w:pPr>
              <w:spacing w:after="0"/>
              <w:rPr>
                <w:sz w:val="20"/>
                <w:szCs w:val="20"/>
                <w:color w:val="auto"/>
              </w:rPr>
            </w:pPr>
            <w:r>
              <w:rPr>
                <w:rFonts w:ascii="Arial" w:cs="Arial" w:eastAsia="Arial" w:hAnsi="Arial"/>
                <w:sz w:val="18"/>
                <w:szCs w:val="18"/>
                <w:color w:val="auto"/>
              </w:rPr>
              <w:t>Fund 3</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1,810</w:t>
            </w:r>
          </w:p>
        </w:tc>
        <w:tc>
          <w:tcPr>
            <w:tcW w:w="18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24.7%</w:t>
            </w: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1,730</w:t>
            </w:r>
          </w:p>
        </w:tc>
        <w:tc>
          <w:tcPr>
            <w:tcW w:w="1380" w:type="dxa"/>
            <w:vAlign w:val="bottom"/>
            <w:gridSpan w:val="3"/>
            <w:shd w:val="clear" w:color="auto" w:fill="CCFFCC"/>
          </w:tcPr>
          <w:p>
            <w:pPr>
              <w:jc w:val="right"/>
              <w:ind w:right="2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7"/>
        </w:trPr>
        <w:tc>
          <w:tcPr>
            <w:tcW w:w="580" w:type="dxa"/>
            <w:vAlign w:val="bottom"/>
            <w:vMerge w:val="restart"/>
          </w:tcPr>
          <w:p>
            <w:pPr>
              <w:spacing w:after="0"/>
              <w:rPr>
                <w:sz w:val="2"/>
                <w:szCs w:val="2"/>
                <w:color w:val="auto"/>
              </w:rPr>
            </w:pPr>
          </w:p>
        </w:tc>
        <w:tc>
          <w:tcPr>
            <w:tcW w:w="5420" w:type="dxa"/>
            <w:vAlign w:val="bottom"/>
            <w:shd w:val="clear" w:color="auto" w:fill="CCFFCC"/>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6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580" w:type="dxa"/>
            <w:vAlign w:val="bottom"/>
            <w:vMerge w:val="continue"/>
          </w:tcPr>
          <w:p>
            <w:pPr>
              <w:spacing w:after="0"/>
              <w:rPr>
                <w:sz w:val="20"/>
                <w:szCs w:val="20"/>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Total US$ mm</w:t>
            </w:r>
          </w:p>
        </w:tc>
        <w:tc>
          <w:tcPr>
            <w:tcW w:w="1020" w:type="dxa"/>
            <w:vAlign w:val="bottom"/>
          </w:tcPr>
          <w:p>
            <w:pPr>
              <w:jc w:val="right"/>
              <w:spacing w:after="0"/>
              <w:rPr>
                <w:sz w:val="20"/>
                <w:szCs w:val="20"/>
                <w:color w:val="auto"/>
              </w:rPr>
            </w:pPr>
            <w:r>
              <w:rPr>
                <w:rFonts w:ascii="Arial" w:cs="Arial" w:eastAsia="Arial" w:hAnsi="Arial"/>
                <w:sz w:val="18"/>
                <w:szCs w:val="18"/>
                <w:color w:val="auto"/>
              </w:rPr>
              <w:t>7,324</w:t>
            </w:r>
          </w:p>
        </w:tc>
        <w:tc>
          <w:tcPr>
            <w:tcW w:w="180" w:type="dxa"/>
            <w:vAlign w:val="bottom"/>
          </w:tcPr>
          <w:p>
            <w:pPr>
              <w:spacing w:after="0"/>
              <w:rPr>
                <w:sz w:val="20"/>
                <w:szCs w:val="20"/>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1000" w:type="dxa"/>
            <w:vAlign w:val="bottom"/>
          </w:tcPr>
          <w:p>
            <w:pPr>
              <w:jc w:val="right"/>
              <w:spacing w:after="0"/>
              <w:rPr>
                <w:sz w:val="20"/>
                <w:szCs w:val="20"/>
                <w:color w:val="auto"/>
              </w:rPr>
            </w:pPr>
            <w:r>
              <w:rPr>
                <w:rFonts w:ascii="Arial" w:cs="Arial" w:eastAsia="Arial" w:hAnsi="Arial"/>
                <w:sz w:val="18"/>
                <w:szCs w:val="18"/>
                <w:color w:val="auto"/>
              </w:rPr>
              <w:t>7,062</w:t>
            </w:r>
          </w:p>
        </w:tc>
        <w:tc>
          <w:tcPr>
            <w:tcW w:w="1380" w:type="dxa"/>
            <w:vAlign w:val="bottom"/>
            <w:gridSpan w:val="3"/>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6254750</wp:posOffset>
            </wp:positionH>
            <wp:positionV relativeFrom="page">
              <wp:posOffset>337820</wp:posOffset>
            </wp:positionV>
            <wp:extent cx="1149350" cy="3175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clrChange>
                        <a:clrFrom>
                          <a:srgbClr val="FFFFFF"/>
                        </a:clrFrom>
                        <a:clrTo>
                          <a:srgbClr val="FFFFFF">
                            <a:alpha val="0"/>
                          </a:srgbClr>
                        </a:clrTo>
                      </a:clrChange>
                      <a:extLst>
                        <a:ext uri="{28A0092B-C50C-407E-A947-70E740481C1C}"/>
                      </a:extLst>
                    </a:blip>
                    <a:srcRect/>
                    <a:stretch>
                      <a:fillRect/>
                    </a:stretch>
                  </pic:blipFill>
                  <pic:spPr bwMode="auto">
                    <a:xfrm>
                      <a:off x="0" y="0"/>
                      <a:ext cx="1149350" cy="317500"/>
                    </a:xfrm>
                    <a:prstGeom prst="rect">
                      <a:avLst/>
                    </a:prstGeom>
                    <a:noFill/>
                  </pic:spPr>
                </pic:pic>
              </a:graphicData>
            </a:graphic>
          </wp:anchor>
        </w:drawing>
        <w:drawing>
          <wp:anchor simplePos="0" relativeHeight="251657728" behindDoc="1" locked="0" layoutInCell="0" allowOverlap="1">
            <wp:simplePos x="0" y="0"/>
            <wp:positionH relativeFrom="column">
              <wp:posOffset>3812540</wp:posOffset>
            </wp:positionH>
            <wp:positionV relativeFrom="paragraph">
              <wp:posOffset>-8255</wp:posOffset>
            </wp:positionV>
            <wp:extent cx="297561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975610" cy="17145"/>
                    </a:xfrm>
                    <a:prstGeom prst="rect">
                      <a:avLst/>
                    </a:prstGeom>
                    <a:noFill/>
                  </pic:spPr>
                </pic:pic>
              </a:graphicData>
            </a:graphic>
          </wp:anchor>
        </w:drawing>
      </w:r>
    </w:p>
    <w:p>
      <w:pPr>
        <w:ind w:left="500"/>
        <w:spacing w:after="0"/>
        <w:rPr>
          <w:sz w:val="20"/>
          <w:szCs w:val="20"/>
          <w:color w:val="auto"/>
        </w:rPr>
      </w:pPr>
      <w:r>
        <w:rPr>
          <w:rFonts w:ascii="Arial" w:cs="Arial" w:eastAsia="Arial" w:hAnsi="Arial"/>
          <w:sz w:val="18"/>
          <w:szCs w:val="18"/>
          <w:i w:val="1"/>
          <w:iCs w:val="1"/>
          <w:color w:val="auto"/>
        </w:rPr>
        <w:t>Source: Superintendencia de Banca, Seguros y AFP</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Results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4Q09, PRIMA obtained income of US$ 20.2 million, representing 4.9% growth QoQ. This result is due to both commercial management and the fact that the local currency appreciated throughout the period. Fourth quarter income registered 28% growth with regard to the US$ 15.8 million obtained during 4Q08. This result can basically be explained by the administration fee increase, which went into effect in January 2009, and the appreciation of local currency.</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the end of 2009, PRIMA maintained its leadership in the system in terms of monthly remuneration of affiliates (RAM), which is the basis of the company ’s income. The fact that PRIMA has the system ’s largest income base, which is used to calculate administration fees, has ensured that PRIMA is able to maintain its leadership in market income despite applying the lowest fee.</w:t>
      </w:r>
    </w:p>
    <w:p>
      <w:pPr>
        <w:spacing w:after="0" w:line="204"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6080" w:type="dxa"/>
            <w:vAlign w:val="bottom"/>
            <w:gridSpan w:val="2"/>
          </w:tcPr>
          <w:p>
            <w:pPr>
              <w:spacing w:after="0"/>
              <w:rPr>
                <w:sz w:val="20"/>
                <w:szCs w:val="20"/>
                <w:color w:val="auto"/>
              </w:rPr>
            </w:pPr>
            <w:r>
              <w:rPr>
                <w:rFonts w:ascii="Arial" w:cs="Arial" w:eastAsia="Arial" w:hAnsi="Arial"/>
                <w:sz w:val="18"/>
                <w:szCs w:val="18"/>
                <w:b w:val="1"/>
                <w:bCs w:val="1"/>
                <w:color w:val="auto"/>
              </w:rPr>
              <w:t>Estimate of base to calculate earnings - US$ mm</w:t>
            </w:r>
          </w:p>
        </w:tc>
        <w:tc>
          <w:tcPr>
            <w:tcW w:w="1760" w:type="dxa"/>
            <w:vAlign w:val="bottom"/>
            <w:gridSpan w:val="3"/>
            <w:vMerge w:val="restart"/>
          </w:tcPr>
          <w:p>
            <w:pPr>
              <w:jc w:val="right"/>
              <w:ind w:right="200"/>
              <w:spacing w:after="0"/>
              <w:rPr>
                <w:sz w:val="20"/>
                <w:szCs w:val="20"/>
                <w:color w:val="auto"/>
              </w:rPr>
            </w:pPr>
            <w:r>
              <w:rPr>
                <w:rFonts w:ascii="Arial" w:cs="Arial" w:eastAsia="Arial" w:hAnsi="Arial"/>
                <w:sz w:val="18"/>
                <w:szCs w:val="18"/>
                <w:b w:val="1"/>
                <w:bCs w:val="1"/>
                <w:color w:val="auto"/>
              </w:rPr>
              <w:t>PRIMA Dec 09</w:t>
            </w:r>
          </w:p>
        </w:tc>
        <w:tc>
          <w:tcPr>
            <w:tcW w:w="116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w w:val="89"/>
              </w:rPr>
              <w:t>System Dec 09</w:t>
            </w:r>
          </w:p>
        </w:tc>
        <w:tc>
          <w:tcPr>
            <w:tcW w:w="200" w:type="dxa"/>
            <w:vAlign w:val="bottom"/>
          </w:tcPr>
          <w:p>
            <w:pPr>
              <w:spacing w:after="0"/>
              <w:rPr>
                <w:sz w:val="20"/>
                <w:szCs w:val="20"/>
                <w:color w:val="auto"/>
              </w:rPr>
            </w:pPr>
          </w:p>
        </w:tc>
        <w:tc>
          <w:tcPr>
            <w:tcW w:w="1160" w:type="dxa"/>
            <w:vAlign w:val="bottom"/>
            <w:gridSpan w:val="2"/>
            <w:vMerge w:val="restart"/>
          </w:tcPr>
          <w:p>
            <w:pPr>
              <w:jc w:val="right"/>
              <w:ind w:right="340"/>
              <w:spacing w:after="0"/>
              <w:rPr>
                <w:sz w:val="20"/>
                <w:szCs w:val="20"/>
                <w:color w:val="auto"/>
              </w:rPr>
            </w:pPr>
            <w:r>
              <w:rPr>
                <w:rFonts w:ascii="Arial" w:cs="Arial" w:eastAsia="Arial" w:hAnsi="Arial"/>
                <w:sz w:val="18"/>
                <w:szCs w:val="18"/>
                <w:b w:val="1"/>
                <w:bCs w:val="1"/>
                <w:color w:val="auto"/>
              </w:rPr>
              <w:t>Share %</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6000" w:type="dxa"/>
            <w:vAlign w:val="bottom"/>
          </w:tcPr>
          <w:p>
            <w:pPr>
              <w:spacing w:after="0"/>
              <w:rPr>
                <w:sz w:val="18"/>
                <w:szCs w:val="18"/>
                <w:color w:val="auto"/>
              </w:rPr>
            </w:pPr>
          </w:p>
        </w:tc>
        <w:tc>
          <w:tcPr>
            <w:tcW w:w="1760" w:type="dxa"/>
            <w:vAlign w:val="bottom"/>
            <w:gridSpan w:val="3"/>
            <w:vMerge w:val="continue"/>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0" w:type="dxa"/>
            <w:vAlign w:val="bottom"/>
            <w:vMerge w:val="restart"/>
          </w:tcPr>
          <w:p>
            <w:pPr>
              <w:spacing w:after="0"/>
              <w:rPr>
                <w:sz w:val="2"/>
                <w:szCs w:val="2"/>
                <w:color w:val="auto"/>
              </w:rPr>
            </w:pPr>
          </w:p>
        </w:tc>
        <w:tc>
          <w:tcPr>
            <w:tcW w:w="6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0" w:type="dxa"/>
            <w:vAlign w:val="bottom"/>
            <w:vMerge w:val="continue"/>
          </w:tcPr>
          <w:p>
            <w:pPr>
              <w:spacing w:after="0"/>
              <w:rPr>
                <w:sz w:val="18"/>
                <w:szCs w:val="18"/>
                <w:color w:val="auto"/>
              </w:rPr>
            </w:pPr>
          </w:p>
        </w:tc>
        <w:tc>
          <w:tcPr>
            <w:tcW w:w="6000" w:type="dxa"/>
            <w:vAlign w:val="bottom"/>
            <w:shd w:val="clear" w:color="auto" w:fill="CCFFCC"/>
          </w:tcPr>
          <w:p>
            <w:pPr>
              <w:spacing w:after="0"/>
              <w:rPr>
                <w:sz w:val="20"/>
                <w:szCs w:val="20"/>
                <w:color w:val="auto"/>
              </w:rPr>
            </w:pPr>
            <w:r>
              <w:rPr>
                <w:rFonts w:ascii="Arial" w:cs="Arial" w:eastAsia="Arial" w:hAnsi="Arial"/>
                <w:sz w:val="18"/>
                <w:szCs w:val="18"/>
                <w:color w:val="auto"/>
              </w:rPr>
              <w:t>Income (1)</w:t>
            </w:r>
          </w:p>
        </w:tc>
        <w:tc>
          <w:tcPr>
            <w:tcW w:w="420" w:type="dxa"/>
            <w:vAlign w:val="bottom"/>
            <w:shd w:val="clear" w:color="auto" w:fill="CCFFCC"/>
          </w:tcPr>
          <w:p>
            <w:pPr>
              <w:spacing w:after="0"/>
              <w:rPr>
                <w:sz w:val="18"/>
                <w:szCs w:val="18"/>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6.5</w:t>
            </w:r>
          </w:p>
        </w:tc>
        <w:tc>
          <w:tcPr>
            <w:tcW w:w="20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22.1</w:t>
            </w:r>
          </w:p>
        </w:tc>
        <w:tc>
          <w:tcPr>
            <w:tcW w:w="20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Administrative Fees (2)</w:t>
            </w:r>
          </w:p>
        </w:tc>
        <w:tc>
          <w:tcPr>
            <w:tcW w:w="1760" w:type="dxa"/>
            <w:vAlign w:val="bottom"/>
            <w:gridSpan w:val="3"/>
          </w:tcPr>
          <w:p>
            <w:pPr>
              <w:jc w:val="right"/>
              <w:ind w:right="60"/>
              <w:spacing w:after="0"/>
              <w:rPr>
                <w:sz w:val="20"/>
                <w:szCs w:val="20"/>
                <w:color w:val="auto"/>
              </w:rPr>
            </w:pPr>
            <w:r>
              <w:rPr>
                <w:rFonts w:ascii="Arial" w:cs="Arial" w:eastAsia="Arial" w:hAnsi="Arial"/>
                <w:sz w:val="18"/>
                <w:szCs w:val="18"/>
                <w:color w:val="auto"/>
              </w:rPr>
              <w:t>1.75%</w:t>
            </w:r>
          </w:p>
        </w:tc>
        <w:tc>
          <w:tcPr>
            <w:tcW w:w="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n.a.</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6000" w:type="dxa"/>
            <w:vAlign w:val="bottom"/>
            <w:shd w:val="clear" w:color="auto" w:fill="CCFFCC"/>
          </w:tcPr>
          <w:p>
            <w:pPr>
              <w:spacing w:after="0"/>
              <w:rPr>
                <w:sz w:val="20"/>
                <w:szCs w:val="20"/>
                <w:color w:val="auto"/>
              </w:rPr>
            </w:pPr>
            <w:r>
              <w:rPr>
                <w:rFonts w:ascii="Arial" w:cs="Arial" w:eastAsia="Arial" w:hAnsi="Arial"/>
                <w:sz w:val="18"/>
                <w:szCs w:val="18"/>
                <w:color w:val="auto"/>
              </w:rPr>
              <w:t>RAM base (3)</w:t>
            </w:r>
          </w:p>
        </w:tc>
        <w:tc>
          <w:tcPr>
            <w:tcW w:w="15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374</w:t>
            </w:r>
          </w:p>
        </w:tc>
        <w:tc>
          <w:tcPr>
            <w:tcW w:w="20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1,174</w:t>
            </w:r>
          </w:p>
        </w:tc>
        <w:tc>
          <w:tcPr>
            <w:tcW w:w="1360" w:type="dxa"/>
            <w:vAlign w:val="bottom"/>
            <w:gridSpan w:val="3"/>
            <w:shd w:val="clear" w:color="auto" w:fill="CCFFCC"/>
          </w:tcPr>
          <w:p>
            <w:pPr>
              <w:jc w:val="right"/>
              <w:ind w:right="20"/>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i w:val="1"/>
                <w:iCs w:val="1"/>
                <w:color w:val="auto"/>
                <w:w w:val="97"/>
              </w:rPr>
              <w:t>PRIMA AFP estimates. In accordance to local public infomation, (CONASEV)</w:t>
            </w: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740" w:hanging="246"/>
        <w:spacing w:after="0"/>
        <w:tabs>
          <w:tab w:leader="none" w:pos="74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Average income from the last four months, excluding special collections and voluntary contribution fees</w:t>
      </w:r>
    </w:p>
    <w:p>
      <w:pPr>
        <w:spacing w:after="0" w:line="7" w:lineRule="exact"/>
        <w:rPr>
          <w:rFonts w:ascii="Arial" w:cs="Arial" w:eastAsia="Arial" w:hAnsi="Arial"/>
          <w:sz w:val="18"/>
          <w:szCs w:val="18"/>
          <w:i w:val="1"/>
          <w:iCs w:val="1"/>
          <w:color w:val="auto"/>
        </w:rPr>
      </w:pPr>
    </w:p>
    <w:p>
      <w:pPr>
        <w:ind w:left="740" w:hanging="246"/>
        <w:spacing w:after="0"/>
        <w:tabs>
          <w:tab w:leader="none" w:pos="74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Administrative fee 1.75% effective since January 2009</w:t>
      </w:r>
    </w:p>
    <w:p>
      <w:pPr>
        <w:spacing w:after="0" w:line="9" w:lineRule="exact"/>
        <w:rPr>
          <w:rFonts w:ascii="Arial" w:cs="Arial" w:eastAsia="Arial" w:hAnsi="Arial"/>
          <w:sz w:val="18"/>
          <w:szCs w:val="18"/>
          <w:i w:val="1"/>
          <w:iCs w:val="1"/>
          <w:color w:val="auto"/>
        </w:rPr>
      </w:pPr>
    </w:p>
    <w:p>
      <w:pPr>
        <w:ind w:left="740" w:hanging="246"/>
        <w:spacing w:after="0"/>
        <w:tabs>
          <w:tab w:leader="none" w:pos="74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RAM: Monthly remuneration of affiliates, base to income calculation.</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Expenditures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4Q09, PRIMA ’s operating expenses increased with regard to the previous quarter. This was due to an increase in advertising and marketing activity as well as payroll expenses.</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An 11% QoQ decline was evident in operating income this quarter. Operating income includes amortization charges on intangible assets (obtained due to the merger with Uni ón Vida) as well as depreciation and amortization on the company ’s real estate property and IT systems. In total, depreciation and amortization reached US$ 2.4 million.</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Local currency remained stable during 4Q09 with no significant effects on the currency translation account. PRIMA ’s net earnings, after excluding provisions and employee profit sharing, were US$ 4.2 million. This figure was 25.4% below 3Q09 ’s results. Although net operating income remained at a level similar to that of 3Q09, net income was lower because of 4Q09’s higher requirement in profit tax whose figure in 3Q09 included the effect of a reversal of tax provision reversals.</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At the end of December 2009, PRIMA reported assets of US$ 249.8 million, equity worth of US$ 165.2 million and liabilities for US$ 84.5 million.</w:t>
      </w:r>
    </w:p>
    <w:p>
      <w:pPr>
        <w:spacing w:after="0" w:line="200" w:lineRule="exact"/>
        <w:rPr>
          <w:sz w:val="20"/>
          <w:szCs w:val="20"/>
          <w:color w:val="auto"/>
        </w:rPr>
      </w:pPr>
    </w:p>
    <w:p>
      <w:pPr>
        <w:spacing w:after="0" w:line="2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60"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6254750</wp:posOffset>
            </wp:positionH>
            <wp:positionV relativeFrom="page">
              <wp:posOffset>183515</wp:posOffset>
            </wp:positionV>
            <wp:extent cx="1149350" cy="3175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clrChange>
                        <a:clrFrom>
                          <a:srgbClr val="FFFFFF"/>
                        </a:clrFrom>
                        <a:clrTo>
                          <a:srgbClr val="FFFFFF">
                            <a:alpha val="0"/>
                          </a:srgbClr>
                        </a:clrTo>
                      </a:clrChange>
                      <a:extLst>
                        <a:ext uri="{28A0092B-C50C-407E-A947-70E740481C1C}"/>
                      </a:extLst>
                    </a:blip>
                    <a:srcRect/>
                    <a:stretch>
                      <a:fillRect/>
                    </a:stretch>
                  </pic:blipFill>
                  <pic:spPr bwMode="auto">
                    <a:xfrm>
                      <a:off x="0" y="0"/>
                      <a:ext cx="1149350" cy="317500"/>
                    </a:xfrm>
                    <a:prstGeom prst="rect">
                      <a:avLst/>
                    </a:prstGeom>
                    <a:noFill/>
                  </pic:spPr>
                </pic:pic>
              </a:graphicData>
            </a:graphic>
          </wp:anchor>
        </w:drawing>
        <w:t>The table below contains a summary of the main financial indicators.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5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4"/>
              </w:rPr>
              <w:t>Change %</w:t>
            </w:r>
          </w:p>
        </w:tc>
        <w:tc>
          <w:tcPr>
            <w:tcW w:w="1000" w:type="dxa"/>
            <w:vAlign w:val="bottom"/>
            <w:tcBorders>
              <w:bottom w:val="single" w:sz="8" w:color="auto"/>
            </w:tcBorders>
            <w:gridSpan w:val="3"/>
          </w:tcPr>
          <w:p>
            <w:pPr>
              <w:ind w:left="620"/>
              <w:spacing w:after="0"/>
              <w:rPr>
                <w:sz w:val="20"/>
                <w:szCs w:val="20"/>
                <w:color w:val="auto"/>
              </w:rPr>
            </w:pPr>
            <w:r>
              <w:rPr>
                <w:rFonts w:ascii="Arial" w:cs="Arial" w:eastAsia="Arial" w:hAnsi="Arial"/>
                <w:sz w:val="14"/>
                <w:szCs w:val="14"/>
                <w:b w:val="1"/>
                <w:bCs w:val="1"/>
                <w:color w:val="auto"/>
              </w:rPr>
              <w:t>YTE</w:t>
            </w:r>
          </w:p>
        </w:tc>
        <w:tc>
          <w:tcPr>
            <w:tcW w:w="5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4"/>
              </w:rPr>
              <w:t>Change %</w:t>
            </w:r>
          </w:p>
        </w:tc>
        <w:tc>
          <w:tcPr>
            <w:tcW w:w="0" w:type="dxa"/>
            <w:vAlign w:val="bottom"/>
          </w:tcPr>
          <w:p>
            <w:pPr>
              <w:spacing w:after="0"/>
              <w:rPr>
                <w:sz w:val="1"/>
                <w:szCs w:val="1"/>
                <w:color w:val="auto"/>
              </w:rPr>
            </w:pPr>
          </w:p>
        </w:tc>
      </w:tr>
      <w:tr>
        <w:trPr>
          <w:trHeight w:val="149"/>
        </w:trPr>
        <w:tc>
          <w:tcPr>
            <w:tcW w:w="50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Main financial indicators (US$ thousand) (1)</w:t>
            </w:r>
          </w:p>
        </w:tc>
        <w:tc>
          <w:tcPr>
            <w:tcW w:w="120" w:type="dxa"/>
            <w:vAlign w:val="bottom"/>
          </w:tcPr>
          <w:p>
            <w:pPr>
              <w:spacing w:after="0"/>
              <w:rPr>
                <w:sz w:val="12"/>
                <w:szCs w:val="12"/>
                <w:color w:val="auto"/>
              </w:rPr>
            </w:pPr>
          </w:p>
        </w:tc>
        <w:tc>
          <w:tcPr>
            <w:tcW w:w="94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rPr>
              <w:t>4Q09</w:t>
            </w:r>
          </w:p>
        </w:tc>
        <w:tc>
          <w:tcPr>
            <w:tcW w:w="90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rPr>
              <w:t>3Q09</w:t>
            </w:r>
          </w:p>
        </w:tc>
        <w:tc>
          <w:tcPr>
            <w:tcW w:w="82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rPr>
              <w:t>4Q08</w:t>
            </w:r>
          </w:p>
        </w:tc>
        <w:tc>
          <w:tcPr>
            <w:tcW w:w="1000" w:type="dxa"/>
            <w:vAlign w:val="bottom"/>
            <w:gridSpan w:val="3"/>
          </w:tcPr>
          <w:p>
            <w:pPr>
              <w:jc w:val="right"/>
              <w:ind w:right="220"/>
              <w:spacing w:after="0" w:line="149" w:lineRule="exact"/>
              <w:rPr>
                <w:sz w:val="20"/>
                <w:szCs w:val="20"/>
                <w:color w:val="auto"/>
              </w:rPr>
            </w:pPr>
            <w:r>
              <w:rPr>
                <w:rFonts w:ascii="Arial" w:cs="Arial" w:eastAsia="Arial" w:hAnsi="Arial"/>
                <w:sz w:val="14"/>
                <w:szCs w:val="14"/>
                <w:b w:val="1"/>
                <w:bCs w:val="1"/>
                <w:color w:val="auto"/>
              </w:rPr>
              <w:t>4Q09/4Q08</w:t>
            </w:r>
          </w:p>
        </w:tc>
        <w:tc>
          <w:tcPr>
            <w:tcW w:w="660" w:type="dxa"/>
            <w:vAlign w:val="bottom"/>
          </w:tcPr>
          <w:p>
            <w:pPr>
              <w:jc w:val="right"/>
              <w:ind w:right="108"/>
              <w:spacing w:after="0" w:line="149" w:lineRule="exact"/>
              <w:rPr>
                <w:sz w:val="20"/>
                <w:szCs w:val="20"/>
                <w:color w:val="auto"/>
              </w:rPr>
            </w:pPr>
            <w:r>
              <w:rPr>
                <w:rFonts w:ascii="Arial" w:cs="Arial" w:eastAsia="Arial" w:hAnsi="Arial"/>
                <w:sz w:val="14"/>
                <w:szCs w:val="14"/>
                <w:b w:val="1"/>
                <w:bCs w:val="1"/>
                <w:color w:val="auto"/>
              </w:rPr>
              <w:t>2009</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ind w:right="128"/>
              <w:spacing w:after="0" w:line="149" w:lineRule="exact"/>
              <w:rPr>
                <w:sz w:val="20"/>
                <w:szCs w:val="20"/>
                <w:color w:val="auto"/>
              </w:rPr>
            </w:pPr>
            <w:r>
              <w:rPr>
                <w:rFonts w:ascii="Arial" w:cs="Arial" w:eastAsia="Arial" w:hAnsi="Arial"/>
                <w:sz w:val="14"/>
                <w:szCs w:val="14"/>
                <w:b w:val="1"/>
                <w:bCs w:val="1"/>
                <w:color w:val="auto"/>
              </w:rPr>
              <w:t>2008</w:t>
            </w:r>
          </w:p>
        </w:tc>
        <w:tc>
          <w:tcPr>
            <w:tcW w:w="2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3"/>
              </w:rPr>
              <w:t>2009/2008</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502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Income from commissions</w:t>
            </w:r>
          </w:p>
        </w:tc>
        <w:tc>
          <w:tcPr>
            <w:tcW w:w="120" w:type="dxa"/>
            <w:vAlign w:val="bottom"/>
            <w:shd w:val="clear" w:color="auto" w:fill="CCFFCC"/>
          </w:tcPr>
          <w:p>
            <w:pPr>
              <w:spacing w:after="0"/>
              <w:rPr>
                <w:sz w:val="12"/>
                <w:szCs w:val="12"/>
                <w:color w:val="auto"/>
              </w:rPr>
            </w:pPr>
          </w:p>
        </w:tc>
        <w:tc>
          <w:tcPr>
            <w:tcW w:w="7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19,904</w:t>
            </w:r>
          </w:p>
        </w:tc>
        <w:tc>
          <w:tcPr>
            <w:tcW w:w="240" w:type="dxa"/>
            <w:vAlign w:val="bottom"/>
            <w:shd w:val="clear" w:color="auto" w:fill="CCFFCC"/>
          </w:tcPr>
          <w:p>
            <w:pPr>
              <w:spacing w:after="0"/>
              <w:rPr>
                <w:sz w:val="12"/>
                <w:szCs w:val="12"/>
                <w:color w:val="auto"/>
              </w:rPr>
            </w:pPr>
          </w:p>
        </w:tc>
        <w:tc>
          <w:tcPr>
            <w:tcW w:w="9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18,972</w:t>
            </w:r>
          </w:p>
        </w:tc>
        <w:tc>
          <w:tcPr>
            <w:tcW w:w="8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15,538</w:t>
            </w:r>
          </w:p>
        </w:tc>
        <w:tc>
          <w:tcPr>
            <w:tcW w:w="1000" w:type="dxa"/>
            <w:vAlign w:val="bottom"/>
            <w:gridSpan w:val="3"/>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28%</w:t>
            </w:r>
          </w:p>
        </w:tc>
        <w:tc>
          <w:tcPr>
            <w:tcW w:w="8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78,791</w:t>
            </w:r>
          </w:p>
        </w:tc>
        <w:tc>
          <w:tcPr>
            <w:tcW w:w="120" w:type="dxa"/>
            <w:vAlign w:val="bottom"/>
            <w:shd w:val="clear" w:color="auto" w:fill="CCFFCC"/>
          </w:tcPr>
          <w:p>
            <w:pPr>
              <w:spacing w:after="0"/>
              <w:rPr>
                <w:sz w:val="12"/>
                <w:szCs w:val="12"/>
                <w:color w:val="auto"/>
              </w:rPr>
            </w:pPr>
          </w:p>
        </w:tc>
        <w:tc>
          <w:tcPr>
            <w:tcW w:w="7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70,720</w:t>
            </w:r>
          </w:p>
        </w:tc>
        <w:tc>
          <w:tcPr>
            <w:tcW w:w="82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11.4%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tcPr>
          <w:p>
            <w:pPr>
              <w:spacing w:after="0" w:line="149" w:lineRule="exact"/>
              <w:rPr>
                <w:sz w:val="20"/>
                <w:szCs w:val="20"/>
                <w:color w:val="auto"/>
              </w:rPr>
            </w:pPr>
            <w:r>
              <w:rPr>
                <w:rFonts w:ascii="Arial" w:cs="Arial" w:eastAsia="Arial" w:hAnsi="Arial"/>
                <w:sz w:val="14"/>
                <w:szCs w:val="14"/>
                <w:color w:val="auto"/>
              </w:rPr>
              <w:t>Administrative and sale expenses</w:t>
            </w:r>
          </w:p>
        </w:tc>
        <w:tc>
          <w:tcPr>
            <w:tcW w:w="10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(10,181)</w:t>
            </w: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(8,718)</w:t>
            </w: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(10,424)</w:t>
            </w:r>
          </w:p>
        </w:tc>
        <w:tc>
          <w:tcPr>
            <w:tcW w:w="100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-2%</w:t>
            </w: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(35,677)</w:t>
            </w:r>
          </w:p>
        </w:tc>
        <w:tc>
          <w:tcPr>
            <w:tcW w:w="120" w:type="dxa"/>
            <w:vAlign w:val="bottom"/>
          </w:tcPr>
          <w:p>
            <w:pPr>
              <w:spacing w:after="0"/>
              <w:rPr>
                <w:sz w:val="12"/>
                <w:szCs w:val="12"/>
                <w:color w:val="auto"/>
              </w:rPr>
            </w:pP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(41,818)</w:t>
            </w:r>
          </w:p>
        </w:tc>
        <w:tc>
          <w:tcPr>
            <w:tcW w:w="8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-14.7%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Depreciation and amortization</w:t>
            </w:r>
          </w:p>
        </w:tc>
        <w:tc>
          <w:tcPr>
            <w:tcW w:w="1060" w:type="dxa"/>
            <w:vAlign w:val="bottom"/>
            <w:gridSpan w:val="3"/>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(2,363)</w:t>
            </w:r>
          </w:p>
        </w:tc>
        <w:tc>
          <w:tcPr>
            <w:tcW w:w="90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(2,344)</w:t>
            </w:r>
          </w:p>
        </w:tc>
        <w:tc>
          <w:tcPr>
            <w:tcW w:w="8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(2,172)</w:t>
            </w:r>
          </w:p>
        </w:tc>
        <w:tc>
          <w:tcPr>
            <w:tcW w:w="1000" w:type="dxa"/>
            <w:vAlign w:val="bottom"/>
            <w:gridSpan w:val="3"/>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9%</w:t>
            </w:r>
          </w:p>
        </w:tc>
        <w:tc>
          <w:tcPr>
            <w:tcW w:w="88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(9,329)</w:t>
            </w:r>
          </w:p>
        </w:tc>
        <w:tc>
          <w:tcPr>
            <w:tcW w:w="120" w:type="dxa"/>
            <w:vAlign w:val="bottom"/>
            <w:shd w:val="clear" w:color="auto" w:fill="CCFFCC"/>
          </w:tcPr>
          <w:p>
            <w:pPr>
              <w:spacing w:after="0"/>
              <w:rPr>
                <w:sz w:val="12"/>
                <w:szCs w:val="12"/>
                <w:color w:val="auto"/>
              </w:rPr>
            </w:pPr>
          </w:p>
        </w:tc>
        <w:tc>
          <w:tcPr>
            <w:tcW w:w="78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(8,801)</w:t>
            </w:r>
          </w:p>
        </w:tc>
        <w:tc>
          <w:tcPr>
            <w:tcW w:w="82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tcPr>
          <w:p>
            <w:pPr>
              <w:spacing w:after="0" w:line="149" w:lineRule="exact"/>
              <w:rPr>
                <w:sz w:val="20"/>
                <w:szCs w:val="20"/>
                <w:color w:val="auto"/>
              </w:rPr>
            </w:pPr>
            <w:r>
              <w:rPr>
                <w:rFonts w:ascii="Arial" w:cs="Arial" w:eastAsia="Arial" w:hAnsi="Arial"/>
                <w:sz w:val="14"/>
                <w:szCs w:val="14"/>
                <w:b w:val="1"/>
                <w:bCs w:val="1"/>
                <w:color w:val="auto"/>
              </w:rPr>
              <w:t>Net operating income</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7,360</w:t>
            </w:r>
          </w:p>
        </w:tc>
        <w:tc>
          <w:tcPr>
            <w:tcW w:w="24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7,910</w:t>
            </w: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rPr>
              <w:t>2,942</w:t>
            </w:r>
          </w:p>
        </w:tc>
        <w:tc>
          <w:tcPr>
            <w:tcW w:w="100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150%</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33,785</w:t>
            </w:r>
          </w:p>
        </w:tc>
        <w:tc>
          <w:tcPr>
            <w:tcW w:w="120" w:type="dxa"/>
            <w:vAlign w:val="bottom"/>
          </w:tcPr>
          <w:p>
            <w:pPr>
              <w:spacing w:after="0"/>
              <w:rPr>
                <w:sz w:val="12"/>
                <w:szCs w:val="12"/>
                <w:color w:val="auto"/>
              </w:rPr>
            </w:pP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20,101</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68.1%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Other income and expenses, net</w:t>
            </w:r>
          </w:p>
        </w:tc>
        <w:tc>
          <w:tcPr>
            <w:tcW w:w="1060" w:type="dxa"/>
            <w:vAlign w:val="bottom"/>
            <w:gridSpan w:val="3"/>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(906)</w:t>
            </w:r>
          </w:p>
        </w:tc>
        <w:tc>
          <w:tcPr>
            <w:tcW w:w="90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(1,035)</w:t>
            </w:r>
          </w:p>
        </w:tc>
        <w:tc>
          <w:tcPr>
            <w:tcW w:w="8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(933)</w:t>
            </w:r>
          </w:p>
        </w:tc>
        <w:tc>
          <w:tcPr>
            <w:tcW w:w="1000" w:type="dxa"/>
            <w:vAlign w:val="bottom"/>
            <w:gridSpan w:val="3"/>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-3%</w:t>
            </w:r>
          </w:p>
        </w:tc>
        <w:tc>
          <w:tcPr>
            <w:tcW w:w="88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(3,383)</w:t>
            </w:r>
          </w:p>
        </w:tc>
        <w:tc>
          <w:tcPr>
            <w:tcW w:w="120" w:type="dxa"/>
            <w:vAlign w:val="bottom"/>
            <w:shd w:val="clear" w:color="auto" w:fill="CCFFCC"/>
          </w:tcPr>
          <w:p>
            <w:pPr>
              <w:spacing w:after="0"/>
              <w:rPr>
                <w:sz w:val="12"/>
                <w:szCs w:val="12"/>
                <w:color w:val="auto"/>
              </w:rPr>
            </w:pPr>
          </w:p>
        </w:tc>
        <w:tc>
          <w:tcPr>
            <w:tcW w:w="78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(4,155)</w:t>
            </w:r>
          </w:p>
        </w:tc>
        <w:tc>
          <w:tcPr>
            <w:tcW w:w="82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-18.6%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tcPr>
          <w:p>
            <w:pPr>
              <w:spacing w:after="0" w:line="149" w:lineRule="exact"/>
              <w:rPr>
                <w:sz w:val="20"/>
                <w:szCs w:val="20"/>
                <w:color w:val="auto"/>
              </w:rPr>
            </w:pPr>
            <w:r>
              <w:rPr>
                <w:rFonts w:ascii="Arial" w:cs="Arial" w:eastAsia="Arial" w:hAnsi="Arial"/>
                <w:sz w:val="14"/>
                <w:szCs w:val="14"/>
                <w:color w:val="auto"/>
              </w:rPr>
              <w:t>Employee profit sharing and Income tax</w:t>
            </w:r>
          </w:p>
        </w:tc>
        <w:tc>
          <w:tcPr>
            <w:tcW w:w="10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(2,150)</w:t>
            </w: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(749)</w:t>
            </w: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(245)</w:t>
            </w:r>
          </w:p>
        </w:tc>
        <w:tc>
          <w:tcPr>
            <w:tcW w:w="100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778%</w:t>
            </w: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(8,667)</w:t>
            </w:r>
          </w:p>
        </w:tc>
        <w:tc>
          <w:tcPr>
            <w:tcW w:w="120" w:type="dxa"/>
            <w:vAlign w:val="bottom"/>
          </w:tcPr>
          <w:p>
            <w:pPr>
              <w:spacing w:after="0"/>
              <w:rPr>
                <w:sz w:val="12"/>
                <w:szCs w:val="12"/>
                <w:color w:val="auto"/>
              </w:rPr>
            </w:pP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(5,080)</w:t>
            </w: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0.71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Net income before translation results</w:t>
            </w:r>
          </w:p>
        </w:tc>
        <w:tc>
          <w:tcPr>
            <w:tcW w:w="82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4,304</w:t>
            </w:r>
          </w:p>
        </w:tc>
        <w:tc>
          <w:tcPr>
            <w:tcW w:w="240" w:type="dxa"/>
            <w:vAlign w:val="bottom"/>
            <w:shd w:val="clear" w:color="auto" w:fill="CCFFCC"/>
          </w:tcPr>
          <w:p>
            <w:pPr>
              <w:spacing w:after="0"/>
              <w:rPr>
                <w:sz w:val="12"/>
                <w:szCs w:val="12"/>
                <w:color w:val="auto"/>
              </w:rPr>
            </w:pPr>
          </w:p>
        </w:tc>
        <w:tc>
          <w:tcPr>
            <w:tcW w:w="9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6,126</w:t>
            </w:r>
          </w:p>
        </w:tc>
        <w:tc>
          <w:tcPr>
            <w:tcW w:w="8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b w:val="1"/>
                <w:bCs w:val="1"/>
                <w:color w:val="auto"/>
              </w:rPr>
              <w:t>1,764</w:t>
            </w:r>
          </w:p>
        </w:tc>
        <w:tc>
          <w:tcPr>
            <w:tcW w:w="1000" w:type="dxa"/>
            <w:vAlign w:val="bottom"/>
            <w:gridSpan w:val="3"/>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144%</w:t>
            </w:r>
          </w:p>
        </w:tc>
        <w:tc>
          <w:tcPr>
            <w:tcW w:w="8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21,735</w:t>
            </w:r>
          </w:p>
        </w:tc>
        <w:tc>
          <w:tcPr>
            <w:tcW w:w="120" w:type="dxa"/>
            <w:vAlign w:val="bottom"/>
            <w:shd w:val="clear" w:color="auto" w:fill="CCFFCC"/>
          </w:tcPr>
          <w:p>
            <w:pPr>
              <w:spacing w:after="0"/>
              <w:rPr>
                <w:sz w:val="12"/>
                <w:szCs w:val="12"/>
                <w:color w:val="auto"/>
              </w:rPr>
            </w:pPr>
          </w:p>
        </w:tc>
        <w:tc>
          <w:tcPr>
            <w:tcW w:w="7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10,866</w:t>
            </w:r>
          </w:p>
        </w:tc>
        <w:tc>
          <w:tcPr>
            <w:tcW w:w="82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100.0%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tcPr>
          <w:p>
            <w:pPr>
              <w:spacing w:after="0" w:line="149" w:lineRule="exact"/>
              <w:rPr>
                <w:sz w:val="20"/>
                <w:szCs w:val="20"/>
                <w:color w:val="auto"/>
              </w:rPr>
            </w:pPr>
            <w:r>
              <w:rPr>
                <w:rFonts w:ascii="Arial" w:cs="Arial" w:eastAsia="Arial" w:hAnsi="Arial"/>
                <w:sz w:val="14"/>
                <w:szCs w:val="14"/>
                <w:color w:val="auto"/>
              </w:rPr>
              <w:t>Translations results and deferred liabilities</w:t>
            </w:r>
          </w:p>
        </w:tc>
        <w:tc>
          <w:tcPr>
            <w:tcW w:w="10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(82)</w:t>
            </w: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(462)</w:t>
            </w: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(328)</w:t>
            </w:r>
          </w:p>
        </w:tc>
        <w:tc>
          <w:tcPr>
            <w:tcW w:w="100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-75%</w:t>
            </w: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(939)</w:t>
            </w:r>
          </w:p>
        </w:tc>
        <w:tc>
          <w:tcPr>
            <w:tcW w:w="1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337</w:t>
            </w:r>
          </w:p>
        </w:tc>
        <w:tc>
          <w:tcPr>
            <w:tcW w:w="220" w:type="dxa"/>
            <w:vAlign w:val="bottom"/>
          </w:tcPr>
          <w:p>
            <w:pPr>
              <w:spacing w:after="0"/>
              <w:rPr>
                <w:sz w:val="12"/>
                <w:szCs w:val="12"/>
                <w:color w:val="auto"/>
              </w:rPr>
            </w:pPr>
          </w:p>
        </w:tc>
        <w:tc>
          <w:tcPr>
            <w:tcW w:w="8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-378.6%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Net income (losses)</w:t>
            </w:r>
          </w:p>
        </w:tc>
        <w:tc>
          <w:tcPr>
            <w:tcW w:w="120" w:type="dxa"/>
            <w:vAlign w:val="bottom"/>
            <w:shd w:val="clear" w:color="auto" w:fill="CCFFCC"/>
          </w:tcPr>
          <w:p>
            <w:pPr>
              <w:spacing w:after="0"/>
              <w:rPr>
                <w:sz w:val="12"/>
                <w:szCs w:val="12"/>
                <w:color w:val="auto"/>
              </w:rPr>
            </w:pPr>
          </w:p>
        </w:tc>
        <w:tc>
          <w:tcPr>
            <w:tcW w:w="7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4,222</w:t>
            </w:r>
          </w:p>
        </w:tc>
        <w:tc>
          <w:tcPr>
            <w:tcW w:w="240" w:type="dxa"/>
            <w:vAlign w:val="bottom"/>
            <w:shd w:val="clear" w:color="auto" w:fill="CCFFCC"/>
          </w:tcPr>
          <w:p>
            <w:pPr>
              <w:spacing w:after="0"/>
              <w:rPr>
                <w:sz w:val="12"/>
                <w:szCs w:val="12"/>
                <w:color w:val="auto"/>
              </w:rPr>
            </w:pPr>
          </w:p>
        </w:tc>
        <w:tc>
          <w:tcPr>
            <w:tcW w:w="9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5,664</w:t>
            </w:r>
          </w:p>
        </w:tc>
        <w:tc>
          <w:tcPr>
            <w:tcW w:w="8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b w:val="1"/>
                <w:bCs w:val="1"/>
                <w:color w:val="auto"/>
              </w:rPr>
              <w:t>1,437</w:t>
            </w:r>
          </w:p>
        </w:tc>
        <w:tc>
          <w:tcPr>
            <w:tcW w:w="1000" w:type="dxa"/>
            <w:vAlign w:val="bottom"/>
            <w:gridSpan w:val="3"/>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194%</w:t>
            </w:r>
          </w:p>
        </w:tc>
        <w:tc>
          <w:tcPr>
            <w:tcW w:w="8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20,796</w:t>
            </w:r>
          </w:p>
        </w:tc>
        <w:tc>
          <w:tcPr>
            <w:tcW w:w="120" w:type="dxa"/>
            <w:vAlign w:val="bottom"/>
            <w:shd w:val="clear" w:color="auto" w:fill="CCFFCC"/>
          </w:tcPr>
          <w:p>
            <w:pPr>
              <w:spacing w:after="0"/>
              <w:rPr>
                <w:sz w:val="12"/>
                <w:szCs w:val="12"/>
                <w:color w:val="auto"/>
              </w:rPr>
            </w:pPr>
          </w:p>
        </w:tc>
        <w:tc>
          <w:tcPr>
            <w:tcW w:w="7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11,203</w:t>
            </w:r>
          </w:p>
        </w:tc>
        <w:tc>
          <w:tcPr>
            <w:tcW w:w="82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85.6%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2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5020" w:type="dxa"/>
            <w:vAlign w:val="bottom"/>
          </w:tcPr>
          <w:p>
            <w:pPr>
              <w:spacing w:after="0" w:line="149" w:lineRule="exact"/>
              <w:rPr>
                <w:sz w:val="20"/>
                <w:szCs w:val="20"/>
                <w:color w:val="auto"/>
              </w:rPr>
            </w:pPr>
            <w:r>
              <w:rPr>
                <w:rFonts w:ascii="Arial" w:cs="Arial" w:eastAsia="Arial" w:hAnsi="Arial"/>
                <w:sz w:val="14"/>
                <w:szCs w:val="14"/>
                <w:color w:val="auto"/>
              </w:rPr>
              <w:t>Total assets</w:t>
            </w: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249,771</w:t>
            </w:r>
          </w:p>
        </w:tc>
        <w:tc>
          <w:tcPr>
            <w:tcW w:w="24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241,161</w:t>
            </w: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222,242</w:t>
            </w:r>
          </w:p>
        </w:tc>
        <w:tc>
          <w:tcPr>
            <w:tcW w:w="100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12%</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Total liabilities</w:t>
            </w:r>
          </w:p>
        </w:tc>
        <w:tc>
          <w:tcPr>
            <w:tcW w:w="82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84,543</w:t>
            </w:r>
          </w:p>
        </w:tc>
        <w:tc>
          <w:tcPr>
            <w:tcW w:w="240" w:type="dxa"/>
            <w:vAlign w:val="bottom"/>
            <w:shd w:val="clear" w:color="auto" w:fill="CCFFCC"/>
          </w:tcPr>
          <w:p>
            <w:pPr>
              <w:spacing w:after="0"/>
              <w:rPr>
                <w:sz w:val="12"/>
                <w:szCs w:val="12"/>
                <w:color w:val="auto"/>
              </w:rPr>
            </w:pPr>
          </w:p>
        </w:tc>
        <w:tc>
          <w:tcPr>
            <w:tcW w:w="9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86,011</w:t>
            </w:r>
          </w:p>
        </w:tc>
        <w:tc>
          <w:tcPr>
            <w:tcW w:w="8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92,975</w:t>
            </w:r>
          </w:p>
        </w:tc>
        <w:tc>
          <w:tcPr>
            <w:tcW w:w="1000" w:type="dxa"/>
            <w:vAlign w:val="bottom"/>
            <w:gridSpan w:val="3"/>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-9%</w:t>
            </w:r>
          </w:p>
        </w:tc>
        <w:tc>
          <w:tcPr>
            <w:tcW w:w="66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56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68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040" w:type="dxa"/>
            <w:vAlign w:val="bottom"/>
            <w:gridSpan w:val="2"/>
          </w:tcPr>
          <w:p>
            <w:pPr>
              <w:spacing w:after="0"/>
              <w:rPr>
                <w:sz w:val="20"/>
                <w:szCs w:val="20"/>
                <w:color w:val="auto"/>
              </w:rPr>
            </w:pPr>
            <w:r>
              <w:rPr>
                <w:rFonts w:ascii="Arial" w:cs="Arial" w:eastAsia="Arial" w:hAnsi="Arial"/>
                <w:sz w:val="14"/>
                <w:szCs w:val="14"/>
                <w:color w:val="auto"/>
              </w:rPr>
              <w:t>Equity</w:t>
            </w: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165,228</w:t>
            </w:r>
          </w:p>
        </w:tc>
        <w:tc>
          <w:tcPr>
            <w:tcW w:w="24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155,150</w:t>
            </w: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129,268</w:t>
            </w:r>
          </w:p>
        </w:tc>
        <w:tc>
          <w:tcPr>
            <w:tcW w:w="1000" w:type="dxa"/>
            <w:vAlign w:val="bottom"/>
            <w:gridSpan w:val="3"/>
          </w:tcPr>
          <w:p>
            <w:pPr>
              <w:jc w:val="right"/>
              <w:ind w:right="120"/>
              <w:spacing w:after="0"/>
              <w:rPr>
                <w:sz w:val="20"/>
                <w:szCs w:val="20"/>
                <w:color w:val="auto"/>
              </w:rPr>
            </w:pPr>
            <w:r>
              <w:rPr>
                <w:rFonts w:ascii="Arial" w:cs="Arial" w:eastAsia="Arial" w:hAnsi="Arial"/>
                <w:sz w:val="14"/>
                <w:szCs w:val="14"/>
                <w:color w:val="auto"/>
              </w:rPr>
              <w:t>28%</w:t>
            </w: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i w:val="1"/>
          <w:iCs w:val="1"/>
          <w:color w:val="auto"/>
        </w:rPr>
        <w:t>(1) IFRS</w:t>
      </w:r>
    </w:p>
    <w:p>
      <w:pPr>
        <w:spacing w:after="0" w:line="3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17"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6254750</wp:posOffset>
            </wp:positionH>
            <wp:positionV relativeFrom="page">
              <wp:posOffset>337820</wp:posOffset>
            </wp:positionV>
            <wp:extent cx="1149350" cy="3175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clrChange>
                        <a:clrFrom>
                          <a:srgbClr val="FFFFFF"/>
                        </a:clrFrom>
                        <a:clrTo>
                          <a:srgbClr val="FFFFFF">
                            <a:alpha val="0"/>
                          </a:srgbClr>
                        </a:clrTo>
                      </a:clrChange>
                      <a:extLst>
                        <a:ext uri="{28A0092B-C50C-407E-A947-70E740481C1C}"/>
                      </a:extLst>
                    </a:blip>
                    <a:srcRect/>
                    <a:stretch>
                      <a:fillRect/>
                    </a:stretch>
                  </pic:blipFill>
                  <pic:spPr bwMode="auto">
                    <a:xfrm>
                      <a:off x="0" y="0"/>
                      <a:ext cx="1149350" cy="317500"/>
                    </a:xfrm>
                    <a:prstGeom prst="rect">
                      <a:avLst/>
                    </a:prstGeom>
                    <a:noFill/>
                  </pic:spPr>
                </pic:pic>
              </a:graphicData>
            </a:graphic>
          </wp:anchor>
        </w:drawing>
        <w:t>VI. El Pacífico Peruano Suiza and Subsidiaries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VI.1 Grupo Pacifico</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Pacífico Grupo Asegurador, which is comprised of property and casualty insurance (PPS), life insurance (PV) and health insurance (EPS), obtained net earnings of US$ 16.3 million in 4Q09, topping the US $ 13.3 million recorded in 3Q09. This contributed strongly to Pacífico’s record earnings in 2009 of US$ 49.2 million, in stark contrast to the US$ 15.0 million loss reported in 2008.</w:t>
      </w:r>
    </w:p>
    <w:p>
      <w:pPr>
        <w:spacing w:after="0" w:line="20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Furthermore, the technical result, which reflects the core business performance, obtained in 2009 was US$ 79.9 million, which represented a significant improvement over last year’s result. This follows the reduction in the claims rate, which went from 84.3% in 2008 to 65.2% in 2009, and is the product of the changes and improvements that have been implemented over the last few years in terms of underwriting management and operating controls. These measures go hand-in-hand with the risk diversification and de-concentration strategy that the company has been working on since 2006. The results of these efforts have become evident in stages and are reflected in a number of internal fronts.</w:t>
      </w:r>
    </w:p>
    <w:p>
      <w:pPr>
        <w:spacing w:after="0" w:line="21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line with this evolution, the improvement in 4Q09’s technical result is attributable primarily to higher net earned premiums in general insurance (PPS) and life insurance in comparison to 3Q09. Additionally, the 35.6% claims rate recorded in the general insurance segment (PPS) was considerably lower than the 51.2% registered in 3Q09.</w:t>
      </w:r>
    </w:p>
    <w:p>
      <w:pPr>
        <w:spacing w:after="0" w:line="20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quarterly result also recorded earnings for US$ 18.9 million in financial income, which although slightly lower than the US$ 20.6 million obtained in 3Q09 were significantly higher than the US$ 4.2 million seen in 4Q08. It is important to emphasize that during 4Q08, in keeping with a conservative policy and international norms for financial reporting, the company recorded a US$11.3 million provision for impairment that affected the 2008 results. In contrast, the company registered US$ 12.1 million in earnings on securities sales during 2009 thanks to adept investment management and stock market performance.</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General expenses, which were US$ 31.4 million, increased in comparison with the US$22.9 million recorded in 3Q09, primarily due to higher provisions for Accounts Receivables-Reinsurers and an appreciation in the exchange rate given the high proportion of expenses billed in soles. Therefore, the relation of expenses to net earned premiums reached 20.8% for the year 2009, which is slightly higher than the 19.8% recorded the previous year.</w:t>
      </w:r>
    </w:p>
    <w:p>
      <w:pPr>
        <w:spacing w:after="0" w:line="19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Consequently PPS contributed US$ 12.4 million to Credicorp, which exceeded the result obtained in 3Q09 and the loss of US$ -7.4 million seen in 4Q08, and led to a record contribution for the year 2009 of US$ 37.4 million, a substantial turnaround from the losses of US$15.9 million generated in 2008.</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8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US$ thousands</w:t>
            </w:r>
          </w:p>
        </w:tc>
        <w:tc>
          <w:tcPr>
            <w:tcW w:w="120" w:type="dxa"/>
            <w:vAlign w:val="bottom"/>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4"/>
          </w:tcPr>
          <w:p>
            <w:pPr>
              <w:jc w:val="right"/>
              <w:ind w:right="420"/>
              <w:spacing w:after="0"/>
              <w:rPr>
                <w:sz w:val="20"/>
                <w:szCs w:val="20"/>
                <w:color w:val="auto"/>
              </w:rPr>
            </w:pPr>
            <w:r>
              <w:rPr>
                <w:rFonts w:ascii="Arial" w:cs="Arial" w:eastAsia="Arial" w:hAnsi="Arial"/>
                <w:sz w:val="18"/>
                <w:szCs w:val="18"/>
                <w:b w:val="1"/>
                <w:bCs w:val="1"/>
                <w:color w:val="auto"/>
              </w:rPr>
              <w:t>Net Earnings *</w:t>
            </w:r>
          </w:p>
        </w:tc>
        <w:tc>
          <w:tcPr>
            <w:tcW w:w="6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w w:val="96"/>
              </w:rPr>
              <w:t>Adjustment for</w:t>
            </w:r>
          </w:p>
        </w:tc>
        <w:tc>
          <w:tcPr>
            <w:tcW w:w="164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93"/>
              </w:rPr>
              <w:t>Total Contribution</w:t>
            </w:r>
          </w:p>
        </w:tc>
        <w:tc>
          <w:tcPr>
            <w:tcW w:w="0" w:type="dxa"/>
            <w:vAlign w:val="bottom"/>
          </w:tcPr>
          <w:p>
            <w:pPr>
              <w:spacing w:after="0"/>
              <w:rPr>
                <w:sz w:val="1"/>
                <w:szCs w:val="1"/>
                <w:color w:val="auto"/>
              </w:rPr>
            </w:pPr>
          </w:p>
        </w:tc>
      </w:tr>
      <w:tr>
        <w:trPr>
          <w:trHeight w:val="216"/>
        </w:trPr>
        <w:tc>
          <w:tcPr>
            <w:tcW w:w="4800" w:type="dxa"/>
            <w:vAlign w:val="bottom"/>
            <w:gridSpan w:val="2"/>
          </w:tcPr>
          <w:p>
            <w:pPr>
              <w:spacing w:after="0"/>
              <w:rPr>
                <w:sz w:val="20"/>
                <w:szCs w:val="20"/>
                <w:color w:val="auto"/>
              </w:rPr>
            </w:pPr>
            <w:r>
              <w:rPr>
                <w:rFonts w:ascii="Arial" w:cs="Arial" w:eastAsia="Arial" w:hAnsi="Arial"/>
                <w:sz w:val="18"/>
                <w:szCs w:val="18"/>
                <w:b w:val="1"/>
                <w:bCs w:val="1"/>
                <w:color w:val="auto"/>
              </w:rPr>
              <w:t>Period</w:t>
            </w:r>
          </w:p>
        </w:tc>
        <w:tc>
          <w:tcPr>
            <w:tcW w:w="12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PPS</w:t>
            </w:r>
          </w:p>
        </w:tc>
        <w:tc>
          <w:tcPr>
            <w:tcW w:w="900" w:type="dxa"/>
            <w:vAlign w:val="bottom"/>
            <w:gridSpan w:val="2"/>
          </w:tcPr>
          <w:p>
            <w:pPr>
              <w:ind w:left="220"/>
              <w:spacing w:after="0"/>
              <w:rPr>
                <w:sz w:val="20"/>
                <w:szCs w:val="20"/>
                <w:color w:val="auto"/>
              </w:rPr>
            </w:pPr>
            <w:r>
              <w:rPr>
                <w:rFonts w:ascii="Arial" w:cs="Arial" w:eastAsia="Arial" w:hAnsi="Arial"/>
                <w:sz w:val="18"/>
                <w:szCs w:val="18"/>
                <w:b w:val="1"/>
                <w:bCs w:val="1"/>
                <w:color w:val="auto"/>
              </w:rPr>
              <w:t>PV</w:t>
            </w:r>
          </w:p>
        </w:tc>
        <w:tc>
          <w:tcPr>
            <w:tcW w:w="8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EPS</w:t>
            </w:r>
          </w:p>
        </w:tc>
        <w:tc>
          <w:tcPr>
            <w:tcW w:w="680" w:type="dxa"/>
            <w:vAlign w:val="bottom"/>
          </w:tcPr>
          <w:p>
            <w:pPr>
              <w:jc w:val="right"/>
              <w:ind w:right="50"/>
              <w:spacing w:after="0"/>
              <w:rPr>
                <w:sz w:val="20"/>
                <w:szCs w:val="20"/>
                <w:color w:val="auto"/>
              </w:rPr>
            </w:pPr>
            <w:r>
              <w:rPr>
                <w:rFonts w:ascii="Arial" w:cs="Arial" w:eastAsia="Arial" w:hAnsi="Arial"/>
                <w:sz w:val="18"/>
                <w:szCs w:val="18"/>
                <w:b w:val="1"/>
                <w:bCs w:val="1"/>
                <w:color w:val="auto"/>
              </w:rPr>
              <w:t>PGA</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91"/>
              </w:rPr>
              <w:t>Consolidation</w:t>
            </w:r>
          </w:p>
        </w:tc>
        <w:tc>
          <w:tcPr>
            <w:tcW w:w="80" w:type="dxa"/>
            <w:vAlign w:val="bottom"/>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to BAP</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4Q08</w:t>
            </w:r>
          </w:p>
        </w:tc>
        <w:tc>
          <w:tcPr>
            <w:tcW w:w="120" w:type="dxa"/>
            <w:vAlign w:val="bottom"/>
            <w:shd w:val="clear" w:color="auto" w:fill="CCFFCC"/>
          </w:tcPr>
          <w:p>
            <w:pPr>
              <w:spacing w:after="0"/>
              <w:rPr>
                <w:sz w:val="18"/>
                <w:szCs w:val="18"/>
                <w:color w:val="auto"/>
              </w:rPr>
            </w:pPr>
          </w:p>
        </w:tc>
        <w:tc>
          <w:tcPr>
            <w:tcW w:w="8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(9,253)</w:t>
            </w:r>
          </w:p>
        </w:tc>
        <w:tc>
          <w:tcPr>
            <w:tcW w:w="9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1,156</w:t>
            </w:r>
          </w:p>
        </w:tc>
        <w:tc>
          <w:tcPr>
            <w:tcW w:w="8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(1,731)</w:t>
            </w:r>
          </w:p>
        </w:tc>
        <w:tc>
          <w:tcPr>
            <w:tcW w:w="8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(9,824)</w:t>
            </w:r>
          </w:p>
        </w:tc>
        <w:tc>
          <w:tcPr>
            <w:tcW w:w="138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2,384</w:t>
            </w:r>
          </w:p>
        </w:tc>
        <w:tc>
          <w:tcPr>
            <w:tcW w:w="1640" w:type="dxa"/>
            <w:vAlign w:val="bottom"/>
            <w:gridSpan w:val="3"/>
            <w:shd w:val="clear" w:color="auto" w:fill="CCFFCC"/>
          </w:tcPr>
          <w:p>
            <w:pPr>
              <w:jc w:val="right"/>
              <w:ind w:right="40"/>
              <w:spacing w:after="0"/>
              <w:rPr>
                <w:sz w:val="20"/>
                <w:szCs w:val="20"/>
                <w:color w:val="auto"/>
              </w:rPr>
            </w:pPr>
            <w:r>
              <w:rPr>
                <w:rFonts w:ascii="Arial" w:cs="Arial" w:eastAsia="Arial" w:hAnsi="Arial"/>
                <w:sz w:val="18"/>
                <w:szCs w:val="18"/>
                <w:color w:val="auto"/>
              </w:rPr>
              <w:t>(7,440)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b w:val="1"/>
                <w:bCs w:val="1"/>
                <w:color w:val="auto"/>
              </w:rPr>
              <w:t>1Q09</w:t>
            </w:r>
          </w:p>
        </w:tc>
        <w:tc>
          <w:tcPr>
            <w:tcW w:w="1000" w:type="dxa"/>
            <w:vAlign w:val="bottom"/>
            <w:gridSpan w:val="3"/>
          </w:tcPr>
          <w:p>
            <w:pPr>
              <w:jc w:val="right"/>
              <w:ind w:right="220"/>
              <w:spacing w:after="0"/>
              <w:rPr>
                <w:sz w:val="20"/>
                <w:szCs w:val="20"/>
                <w:color w:val="auto"/>
              </w:rPr>
            </w:pPr>
            <w:r>
              <w:rPr>
                <w:rFonts w:ascii="Arial" w:cs="Arial" w:eastAsia="Arial" w:hAnsi="Arial"/>
                <w:sz w:val="18"/>
                <w:szCs w:val="18"/>
                <w:color w:val="auto"/>
              </w:rPr>
              <w:t>1,852</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4,281</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805</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6,884</w:t>
            </w:r>
          </w:p>
        </w:tc>
        <w:tc>
          <w:tcPr>
            <w:tcW w:w="1380" w:type="dxa"/>
            <w:vAlign w:val="bottom"/>
            <w:gridSpan w:val="3"/>
          </w:tcPr>
          <w:p>
            <w:pPr>
              <w:jc w:val="right"/>
              <w:ind w:right="60"/>
              <w:spacing w:after="0"/>
              <w:rPr>
                <w:sz w:val="20"/>
                <w:szCs w:val="20"/>
                <w:color w:val="auto"/>
              </w:rPr>
            </w:pPr>
            <w:r>
              <w:rPr>
                <w:rFonts w:ascii="Arial" w:cs="Arial" w:eastAsia="Arial" w:hAnsi="Arial"/>
                <w:sz w:val="18"/>
                <w:szCs w:val="18"/>
                <w:color w:val="auto"/>
              </w:rPr>
              <w:t>(1,654)</w:t>
            </w:r>
          </w:p>
        </w:tc>
        <w:tc>
          <w:tcPr>
            <w:tcW w:w="1640" w:type="dxa"/>
            <w:vAlign w:val="bottom"/>
            <w:gridSpan w:val="3"/>
          </w:tcPr>
          <w:p>
            <w:pPr>
              <w:jc w:val="right"/>
              <w:ind w:right="100"/>
              <w:spacing w:after="0"/>
              <w:rPr>
                <w:sz w:val="20"/>
                <w:szCs w:val="20"/>
                <w:color w:val="auto"/>
              </w:rPr>
            </w:pPr>
            <w:r>
              <w:rPr>
                <w:rFonts w:ascii="Arial" w:cs="Arial" w:eastAsia="Arial" w:hAnsi="Arial"/>
                <w:sz w:val="18"/>
                <w:szCs w:val="18"/>
                <w:color w:val="auto"/>
              </w:rPr>
              <w:t>5,230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2Q09</w:t>
            </w:r>
          </w:p>
        </w:tc>
        <w:tc>
          <w:tcPr>
            <w:tcW w:w="100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5,730</w:t>
            </w:r>
          </w:p>
        </w:tc>
        <w:tc>
          <w:tcPr>
            <w:tcW w:w="9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5,347</w:t>
            </w:r>
          </w:p>
        </w:tc>
        <w:tc>
          <w:tcPr>
            <w:tcW w:w="8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1,684</w:t>
            </w:r>
          </w:p>
        </w:tc>
        <w:tc>
          <w:tcPr>
            <w:tcW w:w="8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12,748</w:t>
            </w:r>
          </w:p>
        </w:tc>
        <w:tc>
          <w:tcPr>
            <w:tcW w:w="1380" w:type="dxa"/>
            <w:vAlign w:val="bottom"/>
            <w:gridSpan w:val="3"/>
            <w:shd w:val="clear" w:color="auto" w:fill="CCFFCC"/>
          </w:tcPr>
          <w:p>
            <w:pPr>
              <w:jc w:val="right"/>
              <w:ind w:right="60"/>
              <w:spacing w:after="0"/>
              <w:rPr>
                <w:sz w:val="20"/>
                <w:szCs w:val="20"/>
                <w:color w:val="auto"/>
              </w:rPr>
            </w:pPr>
            <w:r>
              <w:rPr>
                <w:rFonts w:ascii="Arial" w:cs="Arial" w:eastAsia="Arial" w:hAnsi="Arial"/>
                <w:sz w:val="18"/>
                <w:szCs w:val="18"/>
                <w:color w:val="auto"/>
              </w:rPr>
              <w:t>(3,063)</w:t>
            </w:r>
          </w:p>
        </w:tc>
        <w:tc>
          <w:tcPr>
            <w:tcW w:w="164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9,685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b w:val="1"/>
                <w:bCs w:val="1"/>
                <w:color w:val="auto"/>
              </w:rPr>
              <w:t>3Q09</w:t>
            </w:r>
          </w:p>
        </w:tc>
        <w:tc>
          <w:tcPr>
            <w:tcW w:w="1000" w:type="dxa"/>
            <w:vAlign w:val="bottom"/>
            <w:gridSpan w:val="3"/>
          </w:tcPr>
          <w:p>
            <w:pPr>
              <w:jc w:val="right"/>
              <w:ind w:right="220"/>
              <w:spacing w:after="0"/>
              <w:rPr>
                <w:sz w:val="20"/>
                <w:szCs w:val="20"/>
                <w:color w:val="auto"/>
              </w:rPr>
            </w:pPr>
            <w:r>
              <w:rPr>
                <w:rFonts w:ascii="Arial" w:cs="Arial" w:eastAsia="Arial" w:hAnsi="Arial"/>
                <w:sz w:val="18"/>
                <w:szCs w:val="18"/>
                <w:color w:val="auto"/>
              </w:rPr>
              <w:t>9,530</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4,263</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(540)</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13,277</w:t>
            </w:r>
          </w:p>
        </w:tc>
        <w:tc>
          <w:tcPr>
            <w:tcW w:w="1380" w:type="dxa"/>
            <w:vAlign w:val="bottom"/>
            <w:gridSpan w:val="3"/>
          </w:tcPr>
          <w:p>
            <w:pPr>
              <w:jc w:val="right"/>
              <w:ind w:right="60"/>
              <w:spacing w:after="0"/>
              <w:rPr>
                <w:sz w:val="20"/>
                <w:szCs w:val="20"/>
                <w:color w:val="auto"/>
              </w:rPr>
            </w:pPr>
            <w:r>
              <w:rPr>
                <w:rFonts w:ascii="Arial" w:cs="Arial" w:eastAsia="Arial" w:hAnsi="Arial"/>
                <w:sz w:val="18"/>
                <w:szCs w:val="18"/>
                <w:color w:val="auto"/>
              </w:rPr>
              <w:t>(3,189)</w:t>
            </w:r>
          </w:p>
        </w:tc>
        <w:tc>
          <w:tcPr>
            <w:tcW w:w="1640" w:type="dxa"/>
            <w:vAlign w:val="bottom"/>
            <w:gridSpan w:val="3"/>
          </w:tcPr>
          <w:p>
            <w:pPr>
              <w:jc w:val="right"/>
              <w:ind w:right="100"/>
              <w:spacing w:after="0"/>
              <w:rPr>
                <w:sz w:val="20"/>
                <w:szCs w:val="20"/>
                <w:color w:val="auto"/>
              </w:rPr>
            </w:pPr>
            <w:r>
              <w:rPr>
                <w:rFonts w:ascii="Arial" w:cs="Arial" w:eastAsia="Arial" w:hAnsi="Arial"/>
                <w:sz w:val="18"/>
                <w:szCs w:val="18"/>
                <w:color w:val="auto"/>
              </w:rPr>
              <w:t>10,088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4Q09</w:t>
            </w:r>
          </w:p>
        </w:tc>
        <w:tc>
          <w:tcPr>
            <w:tcW w:w="100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9,093</w:t>
            </w:r>
          </w:p>
        </w:tc>
        <w:tc>
          <w:tcPr>
            <w:tcW w:w="9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6,495</w:t>
            </w:r>
          </w:p>
        </w:tc>
        <w:tc>
          <w:tcPr>
            <w:tcW w:w="8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783</w:t>
            </w:r>
          </w:p>
        </w:tc>
        <w:tc>
          <w:tcPr>
            <w:tcW w:w="8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16,283</w:t>
            </w:r>
          </w:p>
        </w:tc>
        <w:tc>
          <w:tcPr>
            <w:tcW w:w="1380" w:type="dxa"/>
            <w:vAlign w:val="bottom"/>
            <w:gridSpan w:val="3"/>
            <w:shd w:val="clear" w:color="auto" w:fill="CCFFCC"/>
          </w:tcPr>
          <w:p>
            <w:pPr>
              <w:jc w:val="right"/>
              <w:ind w:right="60"/>
              <w:spacing w:after="0"/>
              <w:rPr>
                <w:sz w:val="20"/>
                <w:szCs w:val="20"/>
                <w:color w:val="auto"/>
              </w:rPr>
            </w:pPr>
            <w:r>
              <w:rPr>
                <w:rFonts w:ascii="Arial" w:cs="Arial" w:eastAsia="Arial" w:hAnsi="Arial"/>
                <w:sz w:val="18"/>
                <w:szCs w:val="18"/>
                <w:color w:val="auto"/>
              </w:rPr>
              <w:t>(3,911)</w:t>
            </w:r>
          </w:p>
        </w:tc>
        <w:tc>
          <w:tcPr>
            <w:tcW w:w="164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12,372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b w:val="1"/>
                <w:bCs w:val="1"/>
                <w:color w:val="auto"/>
              </w:rPr>
              <w:t>Var % 4Q09 / 3Q09</w:t>
            </w:r>
          </w:p>
        </w:tc>
        <w:tc>
          <w:tcPr>
            <w:tcW w:w="1000" w:type="dxa"/>
            <w:vAlign w:val="bottom"/>
            <w:gridSpan w:val="3"/>
          </w:tcPr>
          <w:p>
            <w:pPr>
              <w:jc w:val="right"/>
              <w:ind w:right="160"/>
              <w:spacing w:after="0"/>
              <w:rPr>
                <w:sz w:val="20"/>
                <w:szCs w:val="20"/>
                <w:color w:val="auto"/>
              </w:rPr>
            </w:pPr>
            <w:r>
              <w:rPr>
                <w:rFonts w:ascii="Arial" w:cs="Arial" w:eastAsia="Arial" w:hAnsi="Arial"/>
                <w:sz w:val="18"/>
                <w:szCs w:val="18"/>
                <w:color w:val="auto"/>
              </w:rPr>
              <w:t>(0)</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n.a.</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c>
          <w:tcPr>
            <w:tcW w:w="1380" w:type="dxa"/>
            <w:vAlign w:val="bottom"/>
            <w:gridSpan w:val="3"/>
          </w:tcPr>
          <w:p>
            <w:pPr>
              <w:jc w:val="right"/>
              <w:ind w:right="120"/>
              <w:spacing w:after="0"/>
              <w:rPr>
                <w:sz w:val="20"/>
                <w:szCs w:val="20"/>
                <w:color w:val="auto"/>
              </w:rPr>
            </w:pPr>
            <w:r>
              <w:rPr>
                <w:rFonts w:ascii="Arial" w:cs="Arial" w:eastAsia="Arial" w:hAnsi="Arial"/>
                <w:sz w:val="18"/>
                <w:szCs w:val="18"/>
                <w:color w:val="auto"/>
              </w:rPr>
              <w:t>0</w:t>
            </w:r>
          </w:p>
        </w:tc>
        <w:tc>
          <w:tcPr>
            <w:tcW w:w="1640" w:type="dxa"/>
            <w:vAlign w:val="bottom"/>
            <w:gridSpan w:val="3"/>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Var % 4Q09 / 4Q08</w:t>
            </w:r>
          </w:p>
        </w:tc>
        <w:tc>
          <w:tcPr>
            <w:tcW w:w="120" w:type="dxa"/>
            <w:vAlign w:val="bottom"/>
            <w:shd w:val="clear" w:color="auto" w:fill="CCFFCC"/>
          </w:tcPr>
          <w:p>
            <w:pPr>
              <w:spacing w:after="0"/>
              <w:rPr>
                <w:sz w:val="18"/>
                <w:szCs w:val="18"/>
                <w:color w:val="auto"/>
              </w:rPr>
            </w:pPr>
          </w:p>
        </w:tc>
        <w:tc>
          <w:tcPr>
            <w:tcW w:w="880" w:type="dxa"/>
            <w:vAlign w:val="bottom"/>
            <w:gridSpan w:val="2"/>
            <w:shd w:val="clear" w:color="auto" w:fill="CCFFCC"/>
          </w:tcPr>
          <w:p>
            <w:pPr>
              <w:jc w:val="right"/>
              <w:ind w:right="420"/>
              <w:spacing w:after="0"/>
              <w:rPr>
                <w:sz w:val="20"/>
                <w:szCs w:val="20"/>
                <w:color w:val="auto"/>
              </w:rPr>
            </w:pPr>
            <w:r>
              <w:rPr>
                <w:rFonts w:ascii="Arial" w:cs="Arial" w:eastAsia="Arial" w:hAnsi="Arial"/>
                <w:sz w:val="18"/>
                <w:szCs w:val="18"/>
                <w:color w:val="auto"/>
              </w:rPr>
              <w:t>n.a.</w:t>
            </w:r>
          </w:p>
        </w:tc>
        <w:tc>
          <w:tcPr>
            <w:tcW w:w="9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w:t>
            </w:r>
          </w:p>
        </w:tc>
        <w:tc>
          <w:tcPr>
            <w:tcW w:w="880" w:type="dxa"/>
            <w:vAlign w:val="bottom"/>
            <w:gridSpan w:val="2"/>
            <w:shd w:val="clear" w:color="auto" w:fill="CCFFCC"/>
          </w:tcPr>
          <w:p>
            <w:pPr>
              <w:jc w:val="right"/>
              <w:ind w:right="420"/>
              <w:spacing w:after="0"/>
              <w:rPr>
                <w:sz w:val="20"/>
                <w:szCs w:val="20"/>
                <w:color w:val="auto"/>
              </w:rPr>
            </w:pPr>
            <w:r>
              <w:rPr>
                <w:rFonts w:ascii="Arial" w:cs="Arial" w:eastAsia="Arial" w:hAnsi="Arial"/>
                <w:sz w:val="18"/>
                <w:szCs w:val="18"/>
                <w:color w:val="auto"/>
              </w:rPr>
              <w:t>n.a.</w:t>
            </w:r>
          </w:p>
        </w:tc>
        <w:tc>
          <w:tcPr>
            <w:tcW w:w="820" w:type="dxa"/>
            <w:vAlign w:val="bottom"/>
            <w:gridSpan w:val="2"/>
            <w:shd w:val="clear" w:color="auto" w:fill="CCFFCC"/>
          </w:tcPr>
          <w:p>
            <w:pPr>
              <w:jc w:val="right"/>
              <w:ind w:right="340"/>
              <w:spacing w:after="0"/>
              <w:rPr>
                <w:sz w:val="20"/>
                <w:szCs w:val="20"/>
                <w:color w:val="auto"/>
              </w:rPr>
            </w:pPr>
            <w:r>
              <w:rPr>
                <w:rFonts w:ascii="Arial" w:cs="Arial" w:eastAsia="Arial" w:hAnsi="Arial"/>
                <w:sz w:val="18"/>
                <w:szCs w:val="18"/>
                <w:color w:val="auto"/>
              </w:rPr>
              <w:t>n.a.</w:t>
            </w:r>
          </w:p>
        </w:tc>
        <w:tc>
          <w:tcPr>
            <w:tcW w:w="1380" w:type="dxa"/>
            <w:vAlign w:val="bottom"/>
            <w:gridSpan w:val="3"/>
            <w:shd w:val="clear" w:color="auto" w:fill="CCFFCC"/>
          </w:tcPr>
          <w:p>
            <w:pPr>
              <w:jc w:val="right"/>
              <w:ind w:right="60"/>
              <w:spacing w:after="0"/>
              <w:rPr>
                <w:sz w:val="20"/>
                <w:szCs w:val="20"/>
                <w:color w:val="auto"/>
              </w:rPr>
            </w:pPr>
            <w:r>
              <w:rPr>
                <w:rFonts w:ascii="Arial" w:cs="Arial" w:eastAsia="Arial" w:hAnsi="Arial"/>
                <w:sz w:val="18"/>
                <w:szCs w:val="18"/>
                <w:color w:val="auto"/>
              </w:rPr>
              <w:t>(8)</w:t>
            </w:r>
          </w:p>
        </w:tc>
        <w:tc>
          <w:tcPr>
            <w:tcW w:w="80" w:type="dxa"/>
            <w:vAlign w:val="bottom"/>
            <w:shd w:val="clear" w:color="auto" w:fill="CCFFCC"/>
          </w:tcPr>
          <w:p>
            <w:pPr>
              <w:spacing w:after="0"/>
              <w:rPr>
                <w:sz w:val="18"/>
                <w:szCs w:val="18"/>
                <w:color w:val="auto"/>
              </w:rPr>
            </w:pPr>
          </w:p>
        </w:tc>
        <w:tc>
          <w:tcPr>
            <w:tcW w:w="1560" w:type="dxa"/>
            <w:vAlign w:val="bottom"/>
            <w:gridSpan w:val="2"/>
            <w:shd w:val="clear" w:color="auto" w:fill="CCFFCC"/>
          </w:tcPr>
          <w:p>
            <w:pPr>
              <w:jc w:val="center"/>
              <w:ind w:right="100"/>
              <w:spacing w:after="0"/>
              <w:rPr>
                <w:sz w:val="20"/>
                <w:szCs w:val="20"/>
                <w:color w:val="auto"/>
              </w:rPr>
            </w:pPr>
            <w:r>
              <w:rPr>
                <w:rFonts w:ascii="Arial" w:cs="Arial" w:eastAsia="Arial" w:hAnsi="Arial"/>
                <w:sz w:val="18"/>
                <w:szCs w:val="18"/>
                <w:color w:val="auto"/>
                <w:w w:val="86"/>
              </w:rPr>
              <w:t>n.a.</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80" w:type="dxa"/>
            <w:vAlign w:val="bottom"/>
          </w:tcPr>
          <w:p>
            <w:pPr>
              <w:spacing w:after="0"/>
              <w:rPr>
                <w:sz w:val="20"/>
                <w:szCs w:val="20"/>
                <w:color w:val="auto"/>
              </w:rPr>
            </w:pPr>
            <w:r>
              <w:rPr>
                <w:rFonts w:ascii="Arial" w:cs="Arial" w:eastAsia="Arial" w:hAnsi="Arial"/>
                <w:sz w:val="18"/>
                <w:szCs w:val="18"/>
                <w:i w:val="1"/>
                <w:iCs w:val="1"/>
                <w:color w:val="auto"/>
              </w:rPr>
              <w:t>* Including minority interest</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3"/>
        </w:trPr>
        <w:tc>
          <w:tcPr>
            <w:tcW w:w="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gridSpan w:val="3"/>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7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6" w:right="239" w:bottom="1440" w:gutter="0" w:footer="0" w:header="0"/>
        </w:sectPr>
      </w:pPr>
    </w:p>
    <w:bookmarkStart w:id="30" w:name="page31"/>
    <w:bookmarkEnd w:id="30"/>
    <w:p>
      <w:pPr>
        <w:jc w:val="both"/>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6254750</wp:posOffset>
            </wp:positionH>
            <wp:positionV relativeFrom="page">
              <wp:posOffset>337820</wp:posOffset>
            </wp:positionV>
            <wp:extent cx="1149350" cy="3175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clrChange>
                        <a:clrFrom>
                          <a:srgbClr val="FFFFFF"/>
                        </a:clrFrom>
                        <a:clrTo>
                          <a:srgbClr val="FFFFFF">
                            <a:alpha val="0"/>
                          </a:srgbClr>
                        </a:clrTo>
                      </a:clrChange>
                      <a:extLst>
                        <a:ext uri="{28A0092B-C50C-407E-A947-70E740481C1C}"/>
                      </a:extLst>
                    </a:blip>
                    <a:srcRect/>
                    <a:stretch>
                      <a:fillRect/>
                    </a:stretch>
                  </pic:blipFill>
                  <pic:spPr bwMode="auto">
                    <a:xfrm>
                      <a:off x="0" y="0"/>
                      <a:ext cx="1149350" cy="317500"/>
                    </a:xfrm>
                    <a:prstGeom prst="rect">
                      <a:avLst/>
                    </a:prstGeom>
                    <a:noFill/>
                  </pic:spPr>
                </pic:pic>
              </a:graphicData>
            </a:graphic>
          </wp:anchor>
        </w:drawing>
        <w:t>Pacífico Grupo Asegurador recorded net earnings of US$49.2 million, which represent a record that contrasts sharply with the US$ 15.0 million loss registered in 2009. This result is attributable to a significant reduction in the claims rate in Pacifico General Insurance, which dropped from 87.2% to 53.3%. The favorable performance in claims rate is the result of on-going efforts (which began in 2006) to make changes and improvements at multiple levels and also reflects the risk diversification strategy as well as the lower concentration of the portfolio.</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VI.2 Pacífico General P&amp;C Insurance (PPS)</w:t>
      </w:r>
    </w:p>
    <w:p>
      <w:pPr>
        <w:spacing w:after="0" w:line="25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PPS’s net earnings in 2009 reached US$ 26.2 million, which starkly contrasts with the US$ 19.5 million in losses recorded in 2008. This difference is primarily attributable to: i) the 53.3% claims rates in 2009, which represents a reduction of 33.9 points with regard to the 87.2% claims rate recorded in 2008 and ii) 10.2% growth in net earned premiums.</w:t>
      </w:r>
    </w:p>
    <w:p>
      <w:pPr>
        <w:spacing w:after="0" w:line="20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Net earnings in 4Q09 were US$ 9.1 million, 4.6% lower than the figure recorded in 3Q09. Nevertheless, 4Q09’s technical result was US$ 25.4 million, which represents a 40.5% increase over 3Q09’s result.</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favorable technical result is due to an increase in net earned premiums and a decline in the claims rates recorded in all business lines: Autos &amp; SOAT, Medical Assistance and RRGG.</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Technical Results by Business Unit</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1"/>
                <w:szCs w:val="11"/>
                <w:b w:val="1"/>
                <w:bCs w:val="1"/>
                <w:color w:val="auto"/>
              </w:rPr>
              <w:t>4Q09</w:t>
            </w:r>
          </w:p>
        </w:tc>
        <w:tc>
          <w:tcPr>
            <w:tcW w:w="4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gridSpan w:val="2"/>
          </w:tcPr>
          <w:p>
            <w:pPr>
              <w:ind w:left="20"/>
              <w:spacing w:after="0"/>
              <w:rPr>
                <w:sz w:val="20"/>
                <w:szCs w:val="20"/>
                <w:color w:val="auto"/>
              </w:rPr>
            </w:pPr>
            <w:r>
              <w:rPr>
                <w:rFonts w:ascii="Arial" w:cs="Arial" w:eastAsia="Arial" w:hAnsi="Arial"/>
                <w:sz w:val="11"/>
                <w:szCs w:val="11"/>
                <w:b w:val="1"/>
                <w:bCs w:val="1"/>
                <w:color w:val="auto"/>
                <w:w w:val="96"/>
              </w:rPr>
              <w:t>3Q09</w:t>
            </w:r>
          </w:p>
        </w:tc>
        <w:tc>
          <w:tcPr>
            <w:tcW w:w="3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1"/>
                <w:szCs w:val="11"/>
                <w:b w:val="1"/>
                <w:bCs w:val="1"/>
                <w:color w:val="auto"/>
              </w:rPr>
              <w:t>4Q08</w:t>
            </w:r>
          </w:p>
        </w:tc>
        <w:tc>
          <w:tcPr>
            <w:tcW w:w="4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gridSpan w:val="2"/>
          </w:tcPr>
          <w:p>
            <w:pPr>
              <w:jc w:val="right"/>
              <w:ind w:right="280"/>
              <w:spacing w:after="0" w:line="108" w:lineRule="exact"/>
              <w:rPr>
                <w:sz w:val="20"/>
                <w:szCs w:val="20"/>
                <w:color w:val="auto"/>
              </w:rPr>
            </w:pPr>
            <w:r>
              <w:rPr>
                <w:rFonts w:ascii="Arial" w:cs="Arial" w:eastAsia="Arial" w:hAnsi="Arial"/>
                <w:sz w:val="11"/>
                <w:szCs w:val="11"/>
                <w:b w:val="1"/>
                <w:bCs w:val="1"/>
                <w:color w:val="auto"/>
                <w:w w:val="89"/>
              </w:rPr>
              <w:t>Vehicles</w:t>
            </w:r>
          </w:p>
        </w:tc>
        <w:tc>
          <w:tcPr>
            <w:tcW w:w="780" w:type="dxa"/>
            <w:vAlign w:val="bottom"/>
            <w:gridSpan w:val="2"/>
          </w:tcPr>
          <w:p>
            <w:pPr>
              <w:jc w:val="right"/>
              <w:ind w:right="360"/>
              <w:spacing w:after="0" w:line="108" w:lineRule="exact"/>
              <w:rPr>
                <w:sz w:val="20"/>
                <w:szCs w:val="20"/>
                <w:color w:val="auto"/>
              </w:rPr>
            </w:pPr>
            <w:r>
              <w:rPr>
                <w:rFonts w:ascii="Arial" w:cs="Arial" w:eastAsia="Arial" w:hAnsi="Arial"/>
                <w:sz w:val="11"/>
                <w:szCs w:val="11"/>
                <w:b w:val="1"/>
                <w:bCs w:val="1"/>
                <w:color w:val="auto"/>
                <w:w w:val="99"/>
              </w:rPr>
              <w:t>Medical</w:t>
            </w: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ind w:left="40"/>
              <w:spacing w:after="0" w:line="108" w:lineRule="exact"/>
              <w:rPr>
                <w:sz w:val="20"/>
                <w:szCs w:val="20"/>
                <w:color w:val="auto"/>
              </w:rPr>
            </w:pPr>
            <w:r>
              <w:rPr>
                <w:rFonts w:ascii="Arial" w:cs="Arial" w:eastAsia="Arial" w:hAnsi="Arial"/>
                <w:sz w:val="11"/>
                <w:szCs w:val="11"/>
                <w:b w:val="1"/>
                <w:bCs w:val="1"/>
                <w:color w:val="auto"/>
              </w:rPr>
              <w:t>TOTAL</w:t>
            </w:r>
          </w:p>
        </w:tc>
        <w:tc>
          <w:tcPr>
            <w:tcW w:w="240" w:type="dxa"/>
            <w:vAlign w:val="bottom"/>
          </w:tcPr>
          <w:p>
            <w:pPr>
              <w:spacing w:after="0"/>
              <w:rPr>
                <w:sz w:val="9"/>
                <w:szCs w:val="9"/>
                <w:color w:val="auto"/>
              </w:rPr>
            </w:pPr>
          </w:p>
        </w:tc>
        <w:tc>
          <w:tcPr>
            <w:tcW w:w="700" w:type="dxa"/>
            <w:vAlign w:val="bottom"/>
            <w:gridSpan w:val="2"/>
          </w:tcPr>
          <w:p>
            <w:pPr>
              <w:jc w:val="right"/>
              <w:ind w:right="280"/>
              <w:spacing w:after="0" w:line="108" w:lineRule="exact"/>
              <w:rPr>
                <w:sz w:val="20"/>
                <w:szCs w:val="20"/>
                <w:color w:val="auto"/>
              </w:rPr>
            </w:pPr>
            <w:r>
              <w:rPr>
                <w:rFonts w:ascii="Arial" w:cs="Arial" w:eastAsia="Arial" w:hAnsi="Arial"/>
                <w:sz w:val="11"/>
                <w:szCs w:val="11"/>
                <w:b w:val="1"/>
                <w:bCs w:val="1"/>
                <w:color w:val="auto"/>
                <w:w w:val="89"/>
              </w:rPr>
              <w:t>Vehicles</w:t>
            </w:r>
          </w:p>
        </w:tc>
        <w:tc>
          <w:tcPr>
            <w:tcW w:w="740" w:type="dxa"/>
            <w:vAlign w:val="bottom"/>
            <w:gridSpan w:val="3"/>
          </w:tcPr>
          <w:p>
            <w:pPr>
              <w:jc w:val="center"/>
              <w:ind w:right="300"/>
              <w:spacing w:after="0" w:line="108" w:lineRule="exact"/>
              <w:rPr>
                <w:sz w:val="20"/>
                <w:szCs w:val="20"/>
                <w:color w:val="auto"/>
              </w:rPr>
            </w:pPr>
            <w:r>
              <w:rPr>
                <w:rFonts w:ascii="Arial" w:cs="Arial" w:eastAsia="Arial" w:hAnsi="Arial"/>
                <w:sz w:val="11"/>
                <w:szCs w:val="11"/>
                <w:b w:val="1"/>
                <w:bCs w:val="1"/>
                <w:color w:val="auto"/>
                <w:w w:val="89"/>
              </w:rPr>
              <w:t>Medical</w:t>
            </w: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gridSpan w:val="2"/>
          </w:tcPr>
          <w:p>
            <w:pPr>
              <w:ind w:left="40"/>
              <w:spacing w:after="0" w:line="108" w:lineRule="exact"/>
              <w:rPr>
                <w:sz w:val="20"/>
                <w:szCs w:val="20"/>
                <w:color w:val="auto"/>
              </w:rPr>
            </w:pPr>
            <w:r>
              <w:rPr>
                <w:rFonts w:ascii="Arial" w:cs="Arial" w:eastAsia="Arial" w:hAnsi="Arial"/>
                <w:sz w:val="11"/>
                <w:szCs w:val="11"/>
                <w:b w:val="1"/>
                <w:bCs w:val="1"/>
                <w:color w:val="auto"/>
              </w:rPr>
              <w:t>TOTAL</w:t>
            </w:r>
          </w:p>
        </w:tc>
        <w:tc>
          <w:tcPr>
            <w:tcW w:w="100" w:type="dxa"/>
            <w:vAlign w:val="bottom"/>
          </w:tcPr>
          <w:p>
            <w:pPr>
              <w:spacing w:after="0"/>
              <w:rPr>
                <w:sz w:val="9"/>
                <w:szCs w:val="9"/>
                <w:color w:val="auto"/>
              </w:rPr>
            </w:pPr>
          </w:p>
        </w:tc>
        <w:tc>
          <w:tcPr>
            <w:tcW w:w="660" w:type="dxa"/>
            <w:vAlign w:val="bottom"/>
            <w:gridSpan w:val="2"/>
          </w:tcPr>
          <w:p>
            <w:pPr>
              <w:jc w:val="right"/>
              <w:ind w:right="240"/>
              <w:spacing w:after="0" w:line="108" w:lineRule="exact"/>
              <w:rPr>
                <w:sz w:val="20"/>
                <w:szCs w:val="20"/>
                <w:color w:val="auto"/>
              </w:rPr>
            </w:pPr>
            <w:r>
              <w:rPr>
                <w:rFonts w:ascii="Arial" w:cs="Arial" w:eastAsia="Arial" w:hAnsi="Arial"/>
                <w:sz w:val="11"/>
                <w:szCs w:val="11"/>
                <w:b w:val="1"/>
                <w:bCs w:val="1"/>
                <w:color w:val="auto"/>
                <w:w w:val="89"/>
              </w:rPr>
              <w:t>Vehicles</w:t>
            </w:r>
          </w:p>
        </w:tc>
        <w:tc>
          <w:tcPr>
            <w:tcW w:w="720" w:type="dxa"/>
            <w:vAlign w:val="bottom"/>
            <w:gridSpan w:val="2"/>
          </w:tcPr>
          <w:p>
            <w:pPr>
              <w:jc w:val="right"/>
              <w:ind w:right="300"/>
              <w:spacing w:after="0" w:line="108" w:lineRule="exact"/>
              <w:rPr>
                <w:sz w:val="20"/>
                <w:szCs w:val="20"/>
                <w:color w:val="auto"/>
              </w:rPr>
            </w:pPr>
            <w:r>
              <w:rPr>
                <w:rFonts w:ascii="Arial" w:cs="Arial" w:eastAsia="Arial" w:hAnsi="Arial"/>
                <w:sz w:val="11"/>
                <w:szCs w:val="11"/>
                <w:b w:val="1"/>
                <w:bCs w:val="1"/>
                <w:color w:val="auto"/>
                <w:w w:val="99"/>
              </w:rPr>
              <w:t>Medical</w:t>
            </w: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jc w:val="right"/>
              <w:spacing w:after="0" w:line="108" w:lineRule="exact"/>
              <w:rPr>
                <w:sz w:val="20"/>
                <w:szCs w:val="20"/>
                <w:color w:val="auto"/>
              </w:rPr>
            </w:pPr>
            <w:r>
              <w:rPr>
                <w:rFonts w:ascii="Arial" w:cs="Arial" w:eastAsia="Arial" w:hAnsi="Arial"/>
                <w:sz w:val="11"/>
                <w:szCs w:val="11"/>
                <w:b w:val="1"/>
                <w:bCs w:val="1"/>
                <w:color w:val="auto"/>
              </w:rPr>
              <w:t>TOTAL</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340" w:type="dxa"/>
            <w:vAlign w:val="bottom"/>
            <w:gridSpan w:val="3"/>
          </w:tcPr>
          <w:p>
            <w:pPr>
              <w:spacing w:after="0"/>
              <w:rPr>
                <w:sz w:val="20"/>
                <w:szCs w:val="20"/>
                <w:color w:val="auto"/>
              </w:rPr>
            </w:pPr>
            <w:r>
              <w:rPr>
                <w:rFonts w:ascii="Arial" w:cs="Arial" w:eastAsia="Arial" w:hAnsi="Arial"/>
                <w:sz w:val="11"/>
                <w:szCs w:val="11"/>
                <w:b w:val="1"/>
                <w:bCs w:val="1"/>
                <w:color w:val="auto"/>
              </w:rPr>
              <w:t>US$ millon</w:t>
            </w:r>
          </w:p>
        </w:tc>
        <w:tc>
          <w:tcPr>
            <w:tcW w:w="700" w:type="dxa"/>
            <w:vAlign w:val="bottom"/>
            <w:gridSpan w:val="2"/>
          </w:tcPr>
          <w:p>
            <w:pPr>
              <w:jc w:val="right"/>
              <w:ind w:right="280"/>
              <w:spacing w:after="0"/>
              <w:rPr>
                <w:sz w:val="20"/>
                <w:szCs w:val="20"/>
                <w:color w:val="auto"/>
              </w:rPr>
            </w:pPr>
            <w:r>
              <w:rPr>
                <w:rFonts w:ascii="Arial" w:cs="Arial" w:eastAsia="Arial" w:hAnsi="Arial"/>
                <w:sz w:val="11"/>
                <w:szCs w:val="11"/>
                <w:b w:val="1"/>
                <w:bCs w:val="1"/>
                <w:color w:val="auto"/>
                <w:w w:val="96"/>
              </w:rPr>
              <w:t>&amp; SOAT</w:t>
            </w:r>
          </w:p>
        </w:tc>
        <w:tc>
          <w:tcPr>
            <w:tcW w:w="780" w:type="dxa"/>
            <w:vAlign w:val="bottom"/>
            <w:gridSpan w:val="2"/>
          </w:tcPr>
          <w:p>
            <w:pPr>
              <w:jc w:val="right"/>
              <w:ind w:right="300"/>
              <w:spacing w:after="0"/>
              <w:rPr>
                <w:sz w:val="20"/>
                <w:szCs w:val="20"/>
                <w:color w:val="auto"/>
              </w:rPr>
            </w:pPr>
            <w:r>
              <w:rPr>
                <w:rFonts w:ascii="Arial" w:cs="Arial" w:eastAsia="Arial" w:hAnsi="Arial"/>
                <w:sz w:val="11"/>
                <w:szCs w:val="11"/>
                <w:b w:val="1"/>
                <w:bCs w:val="1"/>
                <w:color w:val="auto"/>
                <w:w w:val="81"/>
              </w:rPr>
              <w:t>assistance</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P&amp;C</w:t>
            </w:r>
          </w:p>
        </w:tc>
        <w:tc>
          <w:tcPr>
            <w:tcW w:w="720" w:type="dxa"/>
            <w:vAlign w:val="bottom"/>
            <w:gridSpan w:val="2"/>
          </w:tcPr>
          <w:p>
            <w:pPr>
              <w:ind w:left="140"/>
              <w:spacing w:after="0"/>
              <w:rPr>
                <w:sz w:val="20"/>
                <w:szCs w:val="20"/>
                <w:color w:val="auto"/>
              </w:rPr>
            </w:pPr>
            <w:r>
              <w:rPr>
                <w:rFonts w:ascii="Arial" w:cs="Arial" w:eastAsia="Arial" w:hAnsi="Arial"/>
                <w:sz w:val="11"/>
                <w:szCs w:val="11"/>
                <w:b w:val="1"/>
                <w:bCs w:val="1"/>
                <w:color w:val="auto"/>
              </w:rPr>
              <w:t>PPS</w:t>
            </w:r>
          </w:p>
        </w:tc>
        <w:tc>
          <w:tcPr>
            <w:tcW w:w="700" w:type="dxa"/>
            <w:vAlign w:val="bottom"/>
            <w:gridSpan w:val="2"/>
          </w:tcPr>
          <w:p>
            <w:pPr>
              <w:jc w:val="right"/>
              <w:ind w:right="260"/>
              <w:spacing w:after="0"/>
              <w:rPr>
                <w:sz w:val="20"/>
                <w:szCs w:val="20"/>
                <w:color w:val="auto"/>
              </w:rPr>
            </w:pPr>
            <w:r>
              <w:rPr>
                <w:rFonts w:ascii="Arial" w:cs="Arial" w:eastAsia="Arial" w:hAnsi="Arial"/>
                <w:sz w:val="11"/>
                <w:szCs w:val="11"/>
                <w:b w:val="1"/>
                <w:bCs w:val="1"/>
                <w:color w:val="auto"/>
              </w:rPr>
              <w:t>&amp; SOAT</w:t>
            </w:r>
          </w:p>
        </w:tc>
        <w:tc>
          <w:tcPr>
            <w:tcW w:w="740" w:type="dxa"/>
            <w:vAlign w:val="bottom"/>
            <w:gridSpan w:val="3"/>
          </w:tcPr>
          <w:p>
            <w:pPr>
              <w:jc w:val="center"/>
              <w:ind w:right="280"/>
              <w:spacing w:after="0"/>
              <w:rPr>
                <w:sz w:val="20"/>
                <w:szCs w:val="20"/>
                <w:color w:val="auto"/>
              </w:rPr>
            </w:pPr>
            <w:r>
              <w:rPr>
                <w:rFonts w:ascii="Arial" w:cs="Arial" w:eastAsia="Arial" w:hAnsi="Arial"/>
                <w:sz w:val="11"/>
                <w:szCs w:val="11"/>
                <w:b w:val="1"/>
                <w:bCs w:val="1"/>
                <w:color w:val="auto"/>
                <w:w w:val="81"/>
              </w:rPr>
              <w:t>assistance</w:t>
            </w:r>
          </w:p>
        </w:tc>
        <w:tc>
          <w:tcPr>
            <w:tcW w:w="580" w:type="dxa"/>
            <w:vAlign w:val="bottom"/>
            <w:gridSpan w:val="2"/>
          </w:tcPr>
          <w:p>
            <w:pPr>
              <w:jc w:val="right"/>
              <w:ind w:right="320"/>
              <w:spacing w:after="0"/>
              <w:rPr>
                <w:sz w:val="20"/>
                <w:szCs w:val="20"/>
                <w:color w:val="auto"/>
              </w:rPr>
            </w:pPr>
            <w:r>
              <w:rPr>
                <w:rFonts w:ascii="Arial" w:cs="Arial" w:eastAsia="Arial" w:hAnsi="Arial"/>
                <w:sz w:val="11"/>
                <w:szCs w:val="11"/>
                <w:b w:val="1"/>
                <w:bCs w:val="1"/>
                <w:color w:val="auto"/>
              </w:rPr>
              <w:t>P&amp;C</w:t>
            </w:r>
          </w:p>
        </w:tc>
        <w:tc>
          <w:tcPr>
            <w:tcW w:w="660" w:type="dxa"/>
            <w:vAlign w:val="bottom"/>
            <w:gridSpan w:val="3"/>
          </w:tcPr>
          <w:p>
            <w:pPr>
              <w:ind w:left="120"/>
              <w:spacing w:after="0"/>
              <w:rPr>
                <w:sz w:val="20"/>
                <w:szCs w:val="20"/>
                <w:color w:val="auto"/>
              </w:rPr>
            </w:pPr>
            <w:r>
              <w:rPr>
                <w:rFonts w:ascii="Arial" w:cs="Arial" w:eastAsia="Arial" w:hAnsi="Arial"/>
                <w:sz w:val="11"/>
                <w:szCs w:val="11"/>
                <w:b w:val="1"/>
                <w:bCs w:val="1"/>
                <w:color w:val="auto"/>
              </w:rPr>
              <w:t>PPS</w:t>
            </w:r>
          </w:p>
        </w:tc>
        <w:tc>
          <w:tcPr>
            <w:tcW w:w="660" w:type="dxa"/>
            <w:vAlign w:val="bottom"/>
            <w:gridSpan w:val="2"/>
          </w:tcPr>
          <w:p>
            <w:pPr>
              <w:jc w:val="right"/>
              <w:ind w:right="240"/>
              <w:spacing w:after="0"/>
              <w:rPr>
                <w:sz w:val="20"/>
                <w:szCs w:val="20"/>
                <w:color w:val="auto"/>
              </w:rPr>
            </w:pPr>
            <w:r>
              <w:rPr>
                <w:rFonts w:ascii="Arial" w:cs="Arial" w:eastAsia="Arial" w:hAnsi="Arial"/>
                <w:sz w:val="11"/>
                <w:szCs w:val="11"/>
                <w:b w:val="1"/>
                <w:bCs w:val="1"/>
                <w:color w:val="auto"/>
                <w:w w:val="96"/>
              </w:rPr>
              <w:t>&amp; SOAT</w:t>
            </w:r>
          </w:p>
        </w:tc>
        <w:tc>
          <w:tcPr>
            <w:tcW w:w="720" w:type="dxa"/>
            <w:vAlign w:val="bottom"/>
            <w:gridSpan w:val="2"/>
          </w:tcPr>
          <w:p>
            <w:pPr>
              <w:jc w:val="right"/>
              <w:ind w:right="260"/>
              <w:spacing w:after="0"/>
              <w:rPr>
                <w:sz w:val="20"/>
                <w:szCs w:val="20"/>
                <w:color w:val="auto"/>
              </w:rPr>
            </w:pPr>
            <w:r>
              <w:rPr>
                <w:rFonts w:ascii="Arial" w:cs="Arial" w:eastAsia="Arial" w:hAnsi="Arial"/>
                <w:sz w:val="11"/>
                <w:szCs w:val="11"/>
                <w:b w:val="1"/>
                <w:bCs w:val="1"/>
                <w:color w:val="auto"/>
                <w:w w:val="78"/>
              </w:rPr>
              <w:t>assistance</w:t>
            </w:r>
          </w:p>
        </w:tc>
        <w:tc>
          <w:tcPr>
            <w:tcW w:w="600" w:type="dxa"/>
            <w:vAlign w:val="bottom"/>
            <w:gridSpan w:val="2"/>
          </w:tcPr>
          <w:p>
            <w:pPr>
              <w:jc w:val="right"/>
              <w:ind w:right="320"/>
              <w:spacing w:after="0"/>
              <w:rPr>
                <w:sz w:val="20"/>
                <w:szCs w:val="20"/>
                <w:color w:val="auto"/>
              </w:rPr>
            </w:pPr>
            <w:r>
              <w:rPr>
                <w:rFonts w:ascii="Arial" w:cs="Arial" w:eastAsia="Arial" w:hAnsi="Arial"/>
                <w:sz w:val="11"/>
                <w:szCs w:val="11"/>
                <w:b w:val="1"/>
                <w:bCs w:val="1"/>
                <w:color w:val="auto"/>
              </w:rPr>
              <w:t>P&amp;C</w:t>
            </w:r>
          </w:p>
        </w:tc>
        <w:tc>
          <w:tcPr>
            <w:tcW w:w="560" w:type="dxa"/>
            <w:vAlign w:val="bottom"/>
            <w:gridSpan w:val="2"/>
          </w:tcPr>
          <w:p>
            <w:pPr>
              <w:jc w:val="right"/>
              <w:ind w:right="240"/>
              <w:spacing w:after="0"/>
              <w:rPr>
                <w:sz w:val="20"/>
                <w:szCs w:val="20"/>
                <w:color w:val="auto"/>
              </w:rPr>
            </w:pPr>
            <w:r>
              <w:rPr>
                <w:rFonts w:ascii="Arial" w:cs="Arial" w:eastAsia="Arial" w:hAnsi="Arial"/>
                <w:sz w:val="11"/>
                <w:szCs w:val="11"/>
                <w:b w:val="1"/>
                <w:bCs w:val="1"/>
                <w:color w:val="auto"/>
              </w:rPr>
              <w:t>PPS</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1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vMerge w:val="continue"/>
          </w:tcPr>
          <w:p>
            <w:pPr>
              <w:spacing w:after="0"/>
              <w:rPr>
                <w:sz w:val="10"/>
                <w:szCs w:val="10"/>
                <w:color w:val="auto"/>
              </w:rPr>
            </w:pPr>
          </w:p>
        </w:tc>
        <w:tc>
          <w:tcPr>
            <w:tcW w:w="3180" w:type="dxa"/>
            <w:vAlign w:val="bottom"/>
            <w:shd w:val="clear" w:color="auto" w:fill="CCFFCC"/>
          </w:tcPr>
          <w:p>
            <w:pPr>
              <w:spacing w:after="0" w:line="122" w:lineRule="exact"/>
              <w:rPr>
                <w:sz w:val="20"/>
                <w:szCs w:val="20"/>
                <w:color w:val="auto"/>
              </w:rPr>
            </w:pPr>
            <w:r>
              <w:rPr>
                <w:rFonts w:ascii="Arial" w:cs="Arial" w:eastAsia="Arial" w:hAnsi="Arial"/>
                <w:sz w:val="11"/>
                <w:szCs w:val="11"/>
                <w:b w:val="1"/>
                <w:bCs w:val="1"/>
                <w:color w:val="auto"/>
              </w:rPr>
              <w:t>Net Premiums Earned</w:t>
            </w:r>
          </w:p>
        </w:tc>
        <w:tc>
          <w:tcPr>
            <w:tcW w:w="140" w:type="dxa"/>
            <w:vAlign w:val="bottom"/>
            <w:shd w:val="clear" w:color="auto" w:fill="CCFFCC"/>
          </w:tcPr>
          <w:p>
            <w:pPr>
              <w:spacing w:after="0"/>
              <w:rPr>
                <w:sz w:val="10"/>
                <w:szCs w:val="10"/>
                <w:color w:val="auto"/>
              </w:rPr>
            </w:pPr>
          </w:p>
        </w:tc>
        <w:tc>
          <w:tcPr>
            <w:tcW w:w="4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20.4</w:t>
            </w:r>
          </w:p>
        </w:tc>
        <w:tc>
          <w:tcPr>
            <w:tcW w:w="240" w:type="dxa"/>
            <w:vAlign w:val="bottom"/>
            <w:shd w:val="clear" w:color="auto" w:fill="CCFFCC"/>
          </w:tcPr>
          <w:p>
            <w:pPr>
              <w:spacing w:after="0"/>
              <w:rPr>
                <w:sz w:val="10"/>
                <w:szCs w:val="10"/>
                <w:color w:val="auto"/>
              </w:rPr>
            </w:pPr>
          </w:p>
        </w:tc>
        <w:tc>
          <w:tcPr>
            <w:tcW w:w="4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15.0</w:t>
            </w:r>
          </w:p>
        </w:tc>
        <w:tc>
          <w:tcPr>
            <w:tcW w:w="300" w:type="dxa"/>
            <w:vAlign w:val="bottom"/>
            <w:tcBorders>
              <w:right w:val="single" w:sz="8" w:color="CCFFCC"/>
            </w:tcBorders>
            <w:shd w:val="clear" w:color="auto" w:fill="CCFFCC"/>
          </w:tcPr>
          <w:p>
            <w:pPr>
              <w:spacing w:after="0"/>
              <w:rPr>
                <w:sz w:val="10"/>
                <w:szCs w:val="10"/>
                <w:color w:val="auto"/>
              </w:rPr>
            </w:pPr>
          </w:p>
        </w:tc>
        <w:tc>
          <w:tcPr>
            <w:tcW w:w="420" w:type="dxa"/>
            <w:vAlign w:val="bottom"/>
            <w:shd w:val="clear" w:color="auto" w:fill="CCFFCC"/>
          </w:tcPr>
          <w:p>
            <w:pPr>
              <w:ind w:left="220"/>
              <w:spacing w:after="0" w:line="122" w:lineRule="exact"/>
              <w:rPr>
                <w:sz w:val="20"/>
                <w:szCs w:val="20"/>
                <w:color w:val="auto"/>
              </w:rPr>
            </w:pPr>
            <w:r>
              <w:rPr>
                <w:rFonts w:ascii="Arial" w:cs="Arial" w:eastAsia="Arial" w:hAnsi="Arial"/>
                <w:sz w:val="11"/>
                <w:szCs w:val="11"/>
                <w:color w:val="auto"/>
                <w:w w:val="83"/>
              </w:rPr>
              <w:t>17.0</w:t>
            </w:r>
          </w:p>
        </w:tc>
        <w:tc>
          <w:tcPr>
            <w:tcW w:w="240" w:type="dxa"/>
            <w:vAlign w:val="bottom"/>
            <w:shd w:val="clear" w:color="auto" w:fill="CCFFCC"/>
          </w:tcPr>
          <w:p>
            <w:pPr>
              <w:spacing w:after="0"/>
              <w:rPr>
                <w:sz w:val="10"/>
                <w:szCs w:val="10"/>
                <w:color w:val="auto"/>
              </w:rPr>
            </w:pPr>
          </w:p>
        </w:tc>
        <w:tc>
          <w:tcPr>
            <w:tcW w:w="480" w:type="dxa"/>
            <w:vAlign w:val="bottom"/>
            <w:shd w:val="clear" w:color="auto" w:fill="CCFFCC"/>
          </w:tcPr>
          <w:p>
            <w:pPr>
              <w:ind w:left="280"/>
              <w:spacing w:after="0" w:line="122" w:lineRule="exact"/>
              <w:rPr>
                <w:sz w:val="20"/>
                <w:szCs w:val="20"/>
                <w:color w:val="auto"/>
              </w:rPr>
            </w:pPr>
            <w:r>
              <w:rPr>
                <w:rFonts w:ascii="Arial" w:cs="Arial" w:eastAsia="Arial" w:hAnsi="Arial"/>
                <w:sz w:val="11"/>
                <w:szCs w:val="11"/>
                <w:b w:val="1"/>
                <w:bCs w:val="1"/>
                <w:color w:val="auto"/>
                <w:w w:val="83"/>
              </w:rPr>
              <w:t>52.4</w:t>
            </w:r>
          </w:p>
        </w:tc>
        <w:tc>
          <w:tcPr>
            <w:tcW w:w="240" w:type="dxa"/>
            <w:vAlign w:val="bottom"/>
            <w:shd w:val="clear" w:color="auto" w:fill="CCFFCC"/>
          </w:tcPr>
          <w:p>
            <w:pPr>
              <w:spacing w:after="0"/>
              <w:rPr>
                <w:sz w:val="10"/>
                <w:szCs w:val="10"/>
                <w:color w:val="auto"/>
              </w:rPr>
            </w:pPr>
          </w:p>
        </w:tc>
        <w:tc>
          <w:tcPr>
            <w:tcW w:w="700" w:type="dxa"/>
            <w:vAlign w:val="bottom"/>
            <w:gridSpan w:val="2"/>
            <w:shd w:val="clear" w:color="auto" w:fill="CCFFCC"/>
          </w:tcPr>
          <w:p>
            <w:pPr>
              <w:jc w:val="right"/>
              <w:ind w:right="240"/>
              <w:spacing w:after="0" w:line="122" w:lineRule="exact"/>
              <w:rPr>
                <w:sz w:val="20"/>
                <w:szCs w:val="20"/>
                <w:color w:val="auto"/>
              </w:rPr>
            </w:pPr>
            <w:r>
              <w:rPr>
                <w:rFonts w:ascii="Arial" w:cs="Arial" w:eastAsia="Arial" w:hAnsi="Arial"/>
                <w:sz w:val="11"/>
                <w:szCs w:val="11"/>
                <w:color w:val="auto"/>
              </w:rPr>
              <w:t>20.3</w:t>
            </w:r>
          </w:p>
        </w:tc>
        <w:tc>
          <w:tcPr>
            <w:tcW w:w="660" w:type="dxa"/>
            <w:vAlign w:val="bottom"/>
            <w:gridSpan w:val="2"/>
            <w:shd w:val="clear" w:color="auto" w:fill="CCFFCC"/>
          </w:tcPr>
          <w:p>
            <w:pPr>
              <w:jc w:val="right"/>
              <w:ind w:right="166"/>
              <w:spacing w:after="0" w:line="122" w:lineRule="exact"/>
              <w:rPr>
                <w:sz w:val="20"/>
                <w:szCs w:val="20"/>
                <w:color w:val="auto"/>
              </w:rPr>
            </w:pPr>
            <w:r>
              <w:rPr>
                <w:rFonts w:ascii="Arial" w:cs="Arial" w:eastAsia="Arial" w:hAnsi="Arial"/>
                <w:sz w:val="11"/>
                <w:szCs w:val="11"/>
                <w:color w:val="auto"/>
              </w:rPr>
              <w:t>13.8</w:t>
            </w:r>
          </w:p>
        </w:tc>
        <w:tc>
          <w:tcPr>
            <w:tcW w:w="80" w:type="dxa"/>
            <w:vAlign w:val="bottom"/>
            <w:shd w:val="clear" w:color="auto" w:fill="CCFFCC"/>
          </w:tcPr>
          <w:p>
            <w:pPr>
              <w:spacing w:after="0"/>
              <w:rPr>
                <w:sz w:val="10"/>
                <w:szCs w:val="10"/>
                <w:color w:val="auto"/>
              </w:rPr>
            </w:pPr>
          </w:p>
        </w:tc>
        <w:tc>
          <w:tcPr>
            <w:tcW w:w="58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16.2</w:t>
            </w:r>
          </w:p>
        </w:tc>
        <w:tc>
          <w:tcPr>
            <w:tcW w:w="440" w:type="dxa"/>
            <w:vAlign w:val="bottom"/>
            <w:shd w:val="clear" w:color="auto" w:fill="CCFFCC"/>
          </w:tcPr>
          <w:p>
            <w:pPr>
              <w:ind w:left="260"/>
              <w:spacing w:after="0" w:line="122" w:lineRule="exact"/>
              <w:rPr>
                <w:sz w:val="20"/>
                <w:szCs w:val="20"/>
                <w:color w:val="auto"/>
              </w:rPr>
            </w:pPr>
            <w:r>
              <w:rPr>
                <w:rFonts w:ascii="Arial" w:cs="Arial" w:eastAsia="Arial" w:hAnsi="Arial"/>
                <w:sz w:val="11"/>
                <w:szCs w:val="11"/>
                <w:b w:val="1"/>
                <w:bCs w:val="1"/>
                <w:color w:val="auto"/>
                <w:w w:val="74"/>
              </w:rPr>
              <w:t>50.3</w:t>
            </w:r>
          </w:p>
        </w:tc>
        <w:tc>
          <w:tcPr>
            <w:tcW w:w="12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44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19.1</w:t>
            </w:r>
          </w:p>
        </w:tc>
        <w:tc>
          <w:tcPr>
            <w:tcW w:w="220" w:type="dxa"/>
            <w:vAlign w:val="bottom"/>
            <w:shd w:val="clear" w:color="auto" w:fill="CCFFCC"/>
          </w:tcPr>
          <w:p>
            <w:pPr>
              <w:spacing w:after="0"/>
              <w:rPr>
                <w:sz w:val="10"/>
                <w:szCs w:val="10"/>
                <w:color w:val="auto"/>
              </w:rPr>
            </w:pPr>
          </w:p>
        </w:tc>
        <w:tc>
          <w:tcPr>
            <w:tcW w:w="44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12.1</w:t>
            </w:r>
          </w:p>
        </w:tc>
        <w:tc>
          <w:tcPr>
            <w:tcW w:w="280" w:type="dxa"/>
            <w:vAlign w:val="bottom"/>
            <w:tcBorders>
              <w:right w:val="single" w:sz="8" w:color="CCFFCC"/>
            </w:tcBorders>
            <w:shd w:val="clear" w:color="auto" w:fill="CCFFCC"/>
          </w:tcPr>
          <w:p>
            <w:pPr>
              <w:spacing w:after="0"/>
              <w:rPr>
                <w:sz w:val="10"/>
                <w:szCs w:val="10"/>
                <w:color w:val="auto"/>
              </w:rPr>
            </w:pPr>
          </w:p>
        </w:tc>
        <w:tc>
          <w:tcPr>
            <w:tcW w:w="60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16.4</w:t>
            </w:r>
          </w:p>
        </w:tc>
        <w:tc>
          <w:tcPr>
            <w:tcW w:w="56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b w:val="1"/>
                <w:bCs w:val="1"/>
                <w:color w:val="auto"/>
              </w:rPr>
              <w:t>47.6</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32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Technical Results</w:t>
            </w:r>
          </w:p>
        </w:tc>
        <w:tc>
          <w:tcPr>
            <w:tcW w:w="460" w:type="dxa"/>
            <w:vAlign w:val="bottom"/>
          </w:tcPr>
          <w:p>
            <w:pPr>
              <w:jc w:val="right"/>
              <w:spacing w:after="0" w:line="122" w:lineRule="exact"/>
              <w:rPr>
                <w:sz w:val="20"/>
                <w:szCs w:val="20"/>
                <w:color w:val="auto"/>
              </w:rPr>
            </w:pPr>
            <w:r>
              <w:rPr>
                <w:rFonts w:ascii="Arial" w:cs="Arial" w:eastAsia="Arial" w:hAnsi="Arial"/>
                <w:sz w:val="11"/>
                <w:szCs w:val="11"/>
                <w:color w:val="auto"/>
              </w:rPr>
              <w:t>9.3</w:t>
            </w:r>
          </w:p>
        </w:tc>
        <w:tc>
          <w:tcPr>
            <w:tcW w:w="240" w:type="dxa"/>
            <w:vAlign w:val="bottom"/>
          </w:tcPr>
          <w:p>
            <w:pPr>
              <w:spacing w:after="0"/>
              <w:rPr>
                <w:sz w:val="10"/>
                <w:szCs w:val="10"/>
                <w:color w:val="auto"/>
              </w:rPr>
            </w:pPr>
          </w:p>
        </w:tc>
        <w:tc>
          <w:tcPr>
            <w:tcW w:w="780" w:type="dxa"/>
            <w:vAlign w:val="bottom"/>
            <w:gridSpan w:val="2"/>
          </w:tcPr>
          <w:p>
            <w:pPr>
              <w:jc w:val="right"/>
              <w:ind w:right="300"/>
              <w:spacing w:after="0" w:line="122" w:lineRule="exact"/>
              <w:rPr>
                <w:sz w:val="20"/>
                <w:szCs w:val="20"/>
                <w:color w:val="auto"/>
              </w:rPr>
            </w:pPr>
            <w:r>
              <w:rPr>
                <w:rFonts w:ascii="Arial" w:cs="Arial" w:eastAsia="Arial" w:hAnsi="Arial"/>
                <w:sz w:val="11"/>
                <w:szCs w:val="11"/>
                <w:color w:val="auto"/>
              </w:rPr>
              <w:t>4.4</w:t>
            </w:r>
          </w:p>
        </w:tc>
        <w:tc>
          <w:tcPr>
            <w:tcW w:w="660" w:type="dxa"/>
            <w:vAlign w:val="bottom"/>
            <w:gridSpan w:val="2"/>
          </w:tcPr>
          <w:p>
            <w:pPr>
              <w:ind w:left="220"/>
              <w:spacing w:after="0" w:line="122" w:lineRule="exact"/>
              <w:rPr>
                <w:sz w:val="20"/>
                <w:szCs w:val="20"/>
                <w:color w:val="auto"/>
              </w:rPr>
            </w:pPr>
            <w:r>
              <w:rPr>
                <w:rFonts w:ascii="Arial" w:cs="Arial" w:eastAsia="Arial" w:hAnsi="Arial"/>
                <w:sz w:val="11"/>
                <w:szCs w:val="11"/>
                <w:color w:val="auto"/>
              </w:rPr>
              <w:t>11.7</w:t>
            </w:r>
          </w:p>
        </w:tc>
        <w:tc>
          <w:tcPr>
            <w:tcW w:w="720" w:type="dxa"/>
            <w:vAlign w:val="bottom"/>
            <w:gridSpan w:val="2"/>
          </w:tcPr>
          <w:p>
            <w:pPr>
              <w:ind w:left="280"/>
              <w:spacing w:after="0" w:line="122" w:lineRule="exact"/>
              <w:rPr>
                <w:sz w:val="20"/>
                <w:szCs w:val="20"/>
                <w:color w:val="auto"/>
              </w:rPr>
            </w:pPr>
            <w:r>
              <w:rPr>
                <w:rFonts w:ascii="Arial" w:cs="Arial" w:eastAsia="Arial" w:hAnsi="Arial"/>
                <w:sz w:val="11"/>
                <w:szCs w:val="11"/>
                <w:b w:val="1"/>
                <w:bCs w:val="1"/>
                <w:color w:val="auto"/>
              </w:rPr>
              <w:t>25.4</w:t>
            </w:r>
          </w:p>
        </w:tc>
        <w:tc>
          <w:tcPr>
            <w:tcW w:w="700" w:type="dxa"/>
            <w:vAlign w:val="bottom"/>
            <w:gridSpan w:val="2"/>
          </w:tcPr>
          <w:p>
            <w:pPr>
              <w:jc w:val="right"/>
              <w:ind w:right="240"/>
              <w:spacing w:after="0" w:line="122" w:lineRule="exact"/>
              <w:rPr>
                <w:sz w:val="20"/>
                <w:szCs w:val="20"/>
                <w:color w:val="auto"/>
              </w:rPr>
            </w:pPr>
            <w:r>
              <w:rPr>
                <w:rFonts w:ascii="Arial" w:cs="Arial" w:eastAsia="Arial" w:hAnsi="Arial"/>
                <w:sz w:val="11"/>
                <w:szCs w:val="11"/>
                <w:color w:val="auto"/>
              </w:rPr>
              <w:t>7.3</w:t>
            </w:r>
          </w:p>
        </w:tc>
        <w:tc>
          <w:tcPr>
            <w:tcW w:w="660" w:type="dxa"/>
            <w:vAlign w:val="bottom"/>
            <w:gridSpan w:val="2"/>
          </w:tcPr>
          <w:p>
            <w:pPr>
              <w:jc w:val="right"/>
              <w:ind w:right="166"/>
              <w:spacing w:after="0" w:line="122" w:lineRule="exact"/>
              <w:rPr>
                <w:sz w:val="20"/>
                <w:szCs w:val="20"/>
                <w:color w:val="auto"/>
              </w:rPr>
            </w:pPr>
            <w:r>
              <w:rPr>
                <w:rFonts w:ascii="Arial" w:cs="Arial" w:eastAsia="Arial" w:hAnsi="Arial"/>
                <w:sz w:val="11"/>
                <w:szCs w:val="11"/>
                <w:color w:val="auto"/>
              </w:rPr>
              <w:t>1.5</w:t>
            </w:r>
          </w:p>
        </w:tc>
        <w:tc>
          <w:tcPr>
            <w:tcW w:w="80" w:type="dxa"/>
            <w:vAlign w:val="bottom"/>
          </w:tcPr>
          <w:p>
            <w:pPr>
              <w:spacing w:after="0"/>
              <w:rPr>
                <w:sz w:val="10"/>
                <w:szCs w:val="10"/>
                <w:color w:val="auto"/>
              </w:rPr>
            </w:pPr>
          </w:p>
        </w:tc>
        <w:tc>
          <w:tcPr>
            <w:tcW w:w="5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9.3</w:t>
            </w:r>
          </w:p>
        </w:tc>
        <w:tc>
          <w:tcPr>
            <w:tcW w:w="440" w:type="dxa"/>
            <w:vAlign w:val="bottom"/>
          </w:tcPr>
          <w:p>
            <w:pPr>
              <w:ind w:left="260"/>
              <w:spacing w:after="0" w:line="122" w:lineRule="exact"/>
              <w:rPr>
                <w:sz w:val="20"/>
                <w:szCs w:val="20"/>
                <w:color w:val="auto"/>
              </w:rPr>
            </w:pPr>
            <w:r>
              <w:rPr>
                <w:rFonts w:ascii="Arial" w:cs="Arial" w:eastAsia="Arial" w:hAnsi="Arial"/>
                <w:sz w:val="11"/>
                <w:szCs w:val="11"/>
                <w:b w:val="1"/>
                <w:bCs w:val="1"/>
                <w:color w:val="auto"/>
                <w:w w:val="74"/>
              </w:rPr>
              <w:t>18.1</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Arial" w:cs="Arial" w:eastAsia="Arial" w:hAnsi="Arial"/>
                <w:sz w:val="11"/>
                <w:szCs w:val="11"/>
                <w:color w:val="auto"/>
              </w:rPr>
              <w:t>0.1</w:t>
            </w:r>
          </w:p>
        </w:tc>
        <w:tc>
          <w:tcPr>
            <w:tcW w:w="220" w:type="dxa"/>
            <w:vAlign w:val="bottom"/>
          </w:tcPr>
          <w:p>
            <w:pPr>
              <w:spacing w:after="0"/>
              <w:rPr>
                <w:sz w:val="10"/>
                <w:szCs w:val="10"/>
                <w:color w:val="auto"/>
              </w:rPr>
            </w:pPr>
          </w:p>
        </w:tc>
        <w:tc>
          <w:tcPr>
            <w:tcW w:w="720" w:type="dxa"/>
            <w:vAlign w:val="bottom"/>
            <w:gridSpan w:val="2"/>
          </w:tcPr>
          <w:p>
            <w:pPr>
              <w:jc w:val="right"/>
              <w:ind w:right="240"/>
              <w:spacing w:after="0" w:line="122" w:lineRule="exact"/>
              <w:rPr>
                <w:sz w:val="20"/>
                <w:szCs w:val="20"/>
                <w:color w:val="auto"/>
              </w:rPr>
            </w:pPr>
            <w:r>
              <w:rPr>
                <w:rFonts w:ascii="Arial" w:cs="Arial" w:eastAsia="Arial" w:hAnsi="Arial"/>
                <w:sz w:val="11"/>
                <w:szCs w:val="11"/>
                <w:color w:val="auto"/>
              </w:rPr>
              <w:t>(1.3)</w:t>
            </w:r>
          </w:p>
        </w:tc>
        <w:tc>
          <w:tcPr>
            <w:tcW w:w="60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3.5</w:t>
            </w:r>
          </w:p>
        </w:tc>
        <w:tc>
          <w:tcPr>
            <w:tcW w:w="560" w:type="dxa"/>
            <w:vAlign w:val="bottom"/>
            <w:gridSpan w:val="2"/>
          </w:tcPr>
          <w:p>
            <w:pPr>
              <w:jc w:val="right"/>
              <w:ind w:right="100"/>
              <w:spacing w:after="0" w:line="122" w:lineRule="exact"/>
              <w:rPr>
                <w:sz w:val="20"/>
                <w:szCs w:val="20"/>
                <w:color w:val="auto"/>
              </w:rPr>
            </w:pPr>
            <w:r>
              <w:rPr>
                <w:rFonts w:ascii="Arial" w:cs="Arial" w:eastAsia="Arial" w:hAnsi="Arial"/>
                <w:sz w:val="11"/>
                <w:szCs w:val="11"/>
                <w:b w:val="1"/>
                <w:bCs w:val="1"/>
                <w:color w:val="auto"/>
              </w:rPr>
              <w:t>2.3</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320" w:type="dxa"/>
            <w:vAlign w:val="bottom"/>
            <w:gridSpan w:val="2"/>
            <w:shd w:val="clear" w:color="auto" w:fill="CCFFCC"/>
          </w:tcPr>
          <w:p>
            <w:pPr>
              <w:spacing w:after="0" w:line="122" w:lineRule="exact"/>
              <w:rPr>
                <w:sz w:val="20"/>
                <w:szCs w:val="20"/>
                <w:color w:val="auto"/>
              </w:rPr>
            </w:pPr>
            <w:r>
              <w:rPr>
                <w:rFonts w:ascii="Arial" w:cs="Arial" w:eastAsia="Arial" w:hAnsi="Arial"/>
                <w:sz w:val="11"/>
                <w:szCs w:val="11"/>
                <w:b w:val="1"/>
                <w:bCs w:val="1"/>
                <w:color w:val="auto"/>
              </w:rPr>
              <w:t>Net claims / Earned Net Premiums</w:t>
            </w:r>
          </w:p>
        </w:tc>
        <w:tc>
          <w:tcPr>
            <w:tcW w:w="700" w:type="dxa"/>
            <w:vAlign w:val="bottom"/>
            <w:gridSpan w:val="2"/>
            <w:shd w:val="clear" w:color="auto" w:fill="CCFFCC"/>
          </w:tcPr>
          <w:p>
            <w:pPr>
              <w:jc w:val="right"/>
              <w:ind w:right="140"/>
              <w:spacing w:after="0" w:line="122" w:lineRule="exact"/>
              <w:rPr>
                <w:sz w:val="20"/>
                <w:szCs w:val="20"/>
                <w:color w:val="auto"/>
              </w:rPr>
            </w:pPr>
            <w:r>
              <w:rPr>
                <w:rFonts w:ascii="Arial" w:cs="Arial" w:eastAsia="Arial" w:hAnsi="Arial"/>
                <w:sz w:val="11"/>
                <w:szCs w:val="11"/>
                <w:color w:val="auto"/>
              </w:rPr>
              <w:t>31.3%</w:t>
            </w:r>
          </w:p>
        </w:tc>
        <w:tc>
          <w:tcPr>
            <w:tcW w:w="780" w:type="dxa"/>
            <w:vAlign w:val="bottom"/>
            <w:tcBorders>
              <w:right w:val="single" w:sz="8" w:color="CCFFCC"/>
            </w:tcBorders>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62.2%</w:t>
            </w:r>
          </w:p>
        </w:tc>
        <w:tc>
          <w:tcPr>
            <w:tcW w:w="660" w:type="dxa"/>
            <w:vAlign w:val="bottom"/>
            <w:gridSpan w:val="2"/>
            <w:shd w:val="clear" w:color="auto" w:fill="CCFFCC"/>
          </w:tcPr>
          <w:p>
            <w:pPr>
              <w:ind w:left="220"/>
              <w:spacing w:after="0" w:line="122" w:lineRule="exact"/>
              <w:rPr>
                <w:sz w:val="20"/>
                <w:szCs w:val="20"/>
                <w:color w:val="auto"/>
              </w:rPr>
            </w:pPr>
            <w:r>
              <w:rPr>
                <w:rFonts w:ascii="Arial" w:cs="Arial" w:eastAsia="Arial" w:hAnsi="Arial"/>
                <w:sz w:val="11"/>
                <w:szCs w:val="11"/>
                <w:color w:val="auto"/>
              </w:rPr>
              <w:t>17.4%</w:t>
            </w:r>
          </w:p>
        </w:tc>
        <w:tc>
          <w:tcPr>
            <w:tcW w:w="720" w:type="dxa"/>
            <w:vAlign w:val="bottom"/>
            <w:gridSpan w:val="2"/>
            <w:shd w:val="clear" w:color="auto" w:fill="CCFFCC"/>
          </w:tcPr>
          <w:p>
            <w:pPr>
              <w:ind w:left="280"/>
              <w:spacing w:after="0" w:line="122" w:lineRule="exact"/>
              <w:rPr>
                <w:sz w:val="20"/>
                <w:szCs w:val="20"/>
                <w:color w:val="auto"/>
              </w:rPr>
            </w:pPr>
            <w:r>
              <w:rPr>
                <w:rFonts w:ascii="Arial" w:cs="Arial" w:eastAsia="Arial" w:hAnsi="Arial"/>
                <w:sz w:val="11"/>
                <w:szCs w:val="11"/>
                <w:b w:val="1"/>
                <w:bCs w:val="1"/>
                <w:color w:val="auto"/>
              </w:rPr>
              <w:t>35.6%</w:t>
            </w:r>
          </w:p>
        </w:tc>
        <w:tc>
          <w:tcPr>
            <w:tcW w:w="700" w:type="dxa"/>
            <w:vAlign w:val="bottom"/>
            <w:gridSpan w:val="2"/>
            <w:shd w:val="clear" w:color="auto" w:fill="CCFFCC"/>
          </w:tcPr>
          <w:p>
            <w:pPr>
              <w:jc w:val="right"/>
              <w:ind w:right="140"/>
              <w:spacing w:after="0" w:line="122" w:lineRule="exact"/>
              <w:rPr>
                <w:sz w:val="20"/>
                <w:szCs w:val="20"/>
                <w:color w:val="auto"/>
              </w:rPr>
            </w:pPr>
            <w:r>
              <w:rPr>
                <w:rFonts w:ascii="Arial" w:cs="Arial" w:eastAsia="Arial" w:hAnsi="Arial"/>
                <w:sz w:val="11"/>
                <w:szCs w:val="11"/>
                <w:color w:val="auto"/>
              </w:rPr>
              <w:t>45.5%</w:t>
            </w:r>
          </w:p>
        </w:tc>
        <w:tc>
          <w:tcPr>
            <w:tcW w:w="660" w:type="dxa"/>
            <w:vAlign w:val="bottom"/>
            <w:gridSpan w:val="2"/>
            <w:shd w:val="clear" w:color="auto" w:fill="CCFFCC"/>
          </w:tcPr>
          <w:p>
            <w:pPr>
              <w:jc w:val="right"/>
              <w:ind w:right="66"/>
              <w:spacing w:after="0" w:line="122" w:lineRule="exact"/>
              <w:rPr>
                <w:sz w:val="20"/>
                <w:szCs w:val="20"/>
                <w:color w:val="auto"/>
              </w:rPr>
            </w:pPr>
            <w:r>
              <w:rPr>
                <w:rFonts w:ascii="Arial" w:cs="Arial" w:eastAsia="Arial" w:hAnsi="Arial"/>
                <w:sz w:val="11"/>
                <w:szCs w:val="11"/>
                <w:color w:val="auto"/>
              </w:rPr>
              <w:t>81.2%</w:t>
            </w:r>
          </w:p>
        </w:tc>
        <w:tc>
          <w:tcPr>
            <w:tcW w:w="80" w:type="dxa"/>
            <w:vAlign w:val="bottom"/>
            <w:shd w:val="clear" w:color="auto" w:fill="CCFFCC"/>
          </w:tcPr>
          <w:p>
            <w:pPr>
              <w:spacing w:after="0"/>
              <w:rPr>
                <w:sz w:val="10"/>
                <w:szCs w:val="10"/>
                <w:color w:val="auto"/>
              </w:rPr>
            </w:pPr>
          </w:p>
        </w:tc>
        <w:tc>
          <w:tcPr>
            <w:tcW w:w="58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32.9%</w:t>
            </w:r>
          </w:p>
        </w:tc>
        <w:tc>
          <w:tcPr>
            <w:tcW w:w="660" w:type="dxa"/>
            <w:vAlign w:val="bottom"/>
            <w:gridSpan w:val="3"/>
            <w:shd w:val="clear" w:color="auto" w:fill="CCFFCC"/>
          </w:tcPr>
          <w:p>
            <w:pPr>
              <w:ind w:left="260"/>
              <w:spacing w:after="0" w:line="122" w:lineRule="exact"/>
              <w:rPr>
                <w:sz w:val="20"/>
                <w:szCs w:val="20"/>
                <w:color w:val="auto"/>
              </w:rPr>
            </w:pPr>
            <w:r>
              <w:rPr>
                <w:rFonts w:ascii="Arial" w:cs="Arial" w:eastAsia="Arial" w:hAnsi="Arial"/>
                <w:sz w:val="11"/>
                <w:szCs w:val="11"/>
                <w:b w:val="1"/>
                <w:bCs w:val="1"/>
                <w:color w:val="auto"/>
              </w:rPr>
              <w:t>51.2%</w:t>
            </w:r>
          </w:p>
        </w:tc>
        <w:tc>
          <w:tcPr>
            <w:tcW w:w="66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77.1%</w:t>
            </w:r>
          </w:p>
        </w:tc>
        <w:tc>
          <w:tcPr>
            <w:tcW w:w="720" w:type="dxa"/>
            <w:vAlign w:val="bottom"/>
            <w:tcBorders>
              <w:right w:val="single" w:sz="8" w:color="CCFFCC"/>
            </w:tcBorders>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100.2%</w:t>
            </w:r>
          </w:p>
        </w:tc>
        <w:tc>
          <w:tcPr>
            <w:tcW w:w="60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60.3%</w:t>
            </w:r>
          </w:p>
        </w:tc>
        <w:tc>
          <w:tcPr>
            <w:tcW w:w="56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b w:val="1"/>
                <w:bCs w:val="1"/>
                <w:color w:val="auto"/>
              </w:rPr>
              <w:t>77.2%</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320" w:type="dxa"/>
            <w:vAlign w:val="bottom"/>
            <w:gridSpan w:val="2"/>
          </w:tcPr>
          <w:p>
            <w:pPr>
              <w:spacing w:after="0"/>
              <w:rPr>
                <w:sz w:val="20"/>
                <w:szCs w:val="20"/>
                <w:color w:val="auto"/>
              </w:rPr>
            </w:pPr>
            <w:r>
              <w:rPr>
                <w:rFonts w:ascii="Arial" w:cs="Arial" w:eastAsia="Arial" w:hAnsi="Arial"/>
                <w:sz w:val="11"/>
                <w:szCs w:val="11"/>
                <w:b w:val="1"/>
                <w:bCs w:val="1"/>
                <w:color w:val="auto"/>
              </w:rPr>
              <w:t>Technical Results / Earned net Premiums</w:t>
            </w: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45.7%</w:t>
            </w: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29.3%</w:t>
            </w:r>
          </w:p>
        </w:tc>
        <w:tc>
          <w:tcPr>
            <w:tcW w:w="660" w:type="dxa"/>
            <w:vAlign w:val="bottom"/>
            <w:gridSpan w:val="2"/>
          </w:tcPr>
          <w:p>
            <w:pPr>
              <w:ind w:left="220"/>
              <w:spacing w:after="0"/>
              <w:rPr>
                <w:sz w:val="20"/>
                <w:szCs w:val="20"/>
                <w:color w:val="auto"/>
              </w:rPr>
            </w:pPr>
            <w:r>
              <w:rPr>
                <w:rFonts w:ascii="Arial" w:cs="Arial" w:eastAsia="Arial" w:hAnsi="Arial"/>
                <w:sz w:val="11"/>
                <w:szCs w:val="11"/>
                <w:color w:val="auto"/>
              </w:rPr>
              <w:t>68.7%</w:t>
            </w:r>
          </w:p>
        </w:tc>
        <w:tc>
          <w:tcPr>
            <w:tcW w:w="720" w:type="dxa"/>
            <w:vAlign w:val="bottom"/>
            <w:gridSpan w:val="2"/>
          </w:tcPr>
          <w:p>
            <w:pPr>
              <w:ind w:left="280"/>
              <w:spacing w:after="0"/>
              <w:rPr>
                <w:sz w:val="20"/>
                <w:szCs w:val="20"/>
                <w:color w:val="auto"/>
              </w:rPr>
            </w:pPr>
            <w:r>
              <w:rPr>
                <w:rFonts w:ascii="Arial" w:cs="Arial" w:eastAsia="Arial" w:hAnsi="Arial"/>
                <w:sz w:val="11"/>
                <w:szCs w:val="11"/>
                <w:b w:val="1"/>
                <w:bCs w:val="1"/>
                <w:color w:val="auto"/>
              </w:rPr>
              <w:t>48.5%</w:t>
            </w: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36.2%</w:t>
            </w:r>
          </w:p>
        </w:tc>
        <w:tc>
          <w:tcPr>
            <w:tcW w:w="660" w:type="dxa"/>
            <w:vAlign w:val="bottom"/>
            <w:gridSpan w:val="2"/>
          </w:tcPr>
          <w:p>
            <w:pPr>
              <w:jc w:val="right"/>
              <w:ind w:right="66"/>
              <w:spacing w:after="0"/>
              <w:rPr>
                <w:sz w:val="20"/>
                <w:szCs w:val="20"/>
                <w:color w:val="auto"/>
              </w:rPr>
            </w:pPr>
            <w:r>
              <w:rPr>
                <w:rFonts w:ascii="Arial" w:cs="Arial" w:eastAsia="Arial" w:hAnsi="Arial"/>
                <w:sz w:val="11"/>
                <w:szCs w:val="11"/>
                <w:color w:val="auto"/>
              </w:rPr>
              <w:t>10.7%</w:t>
            </w:r>
          </w:p>
        </w:tc>
        <w:tc>
          <w:tcPr>
            <w:tcW w:w="80" w:type="dxa"/>
            <w:vAlign w:val="bottom"/>
          </w:tcPr>
          <w:p>
            <w:pPr>
              <w:spacing w:after="0"/>
              <w:rPr>
                <w:sz w:val="12"/>
                <w:szCs w:val="12"/>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1"/>
                <w:szCs w:val="11"/>
                <w:color w:val="auto"/>
              </w:rPr>
              <w:t>57.1%</w:t>
            </w:r>
          </w:p>
        </w:tc>
        <w:tc>
          <w:tcPr>
            <w:tcW w:w="660" w:type="dxa"/>
            <w:vAlign w:val="bottom"/>
            <w:gridSpan w:val="3"/>
          </w:tcPr>
          <w:p>
            <w:pPr>
              <w:ind w:left="260"/>
              <w:spacing w:after="0"/>
              <w:rPr>
                <w:sz w:val="20"/>
                <w:szCs w:val="20"/>
                <w:color w:val="auto"/>
              </w:rPr>
            </w:pPr>
            <w:r>
              <w:rPr>
                <w:rFonts w:ascii="Arial" w:cs="Arial" w:eastAsia="Arial" w:hAnsi="Arial"/>
                <w:sz w:val="11"/>
                <w:szCs w:val="11"/>
                <w:b w:val="1"/>
                <w:bCs w:val="1"/>
                <w:color w:val="auto"/>
              </w:rPr>
              <w:t>36.0%</w:t>
            </w: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auto"/>
              </w:rPr>
              <w:t>0.5%</w:t>
            </w:r>
          </w:p>
        </w:tc>
        <w:tc>
          <w:tcPr>
            <w:tcW w:w="720" w:type="dxa"/>
            <w:vAlign w:val="bottom"/>
            <w:gridSpan w:val="2"/>
          </w:tcPr>
          <w:p>
            <w:pPr>
              <w:jc w:val="right"/>
              <w:ind w:right="180"/>
              <w:spacing w:after="0"/>
              <w:rPr>
                <w:sz w:val="20"/>
                <w:szCs w:val="20"/>
                <w:color w:val="auto"/>
              </w:rPr>
            </w:pPr>
            <w:r>
              <w:rPr>
                <w:rFonts w:ascii="Arial" w:cs="Arial" w:eastAsia="Arial" w:hAnsi="Arial"/>
                <w:sz w:val="11"/>
                <w:szCs w:val="11"/>
                <w:color w:val="auto"/>
              </w:rPr>
              <w:t>-10.8%</w:t>
            </w: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rPr>
              <w:t>21.6%</w:t>
            </w:r>
          </w:p>
        </w:tc>
        <w:tc>
          <w:tcPr>
            <w:tcW w:w="560" w:type="dxa"/>
            <w:vAlign w:val="bottom"/>
            <w:gridSpan w:val="2"/>
          </w:tcPr>
          <w:p>
            <w:pPr>
              <w:jc w:val="right"/>
              <w:spacing w:after="0"/>
              <w:rPr>
                <w:sz w:val="20"/>
                <w:szCs w:val="20"/>
                <w:color w:val="auto"/>
              </w:rPr>
            </w:pPr>
            <w:r>
              <w:rPr>
                <w:rFonts w:ascii="Arial" w:cs="Arial" w:eastAsia="Arial" w:hAnsi="Arial"/>
                <w:sz w:val="11"/>
                <w:szCs w:val="11"/>
                <w:b w:val="1"/>
                <w:bCs w:val="1"/>
                <w:color w:val="auto"/>
              </w:rPr>
              <w:t>4.9%</w:t>
            </w:r>
          </w:p>
        </w:tc>
        <w:tc>
          <w:tcPr>
            <w:tcW w:w="0" w:type="dxa"/>
            <w:vAlign w:val="bottom"/>
          </w:tcPr>
          <w:p>
            <w:pPr>
              <w:spacing w:after="0"/>
              <w:rPr>
                <w:sz w:val="1"/>
                <w:szCs w:val="1"/>
                <w:color w:val="auto"/>
              </w:rPr>
            </w:pPr>
          </w:p>
        </w:tc>
      </w:tr>
    </w:tbl>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The technical result in Cars and Mandatory Cars was US$ 9.3 million in 4Q09, demonstrating 27% growth over the US$ 7.3 million obtained in 3Q09.</w:t>
      </w:r>
    </w:p>
    <w:p>
      <w:pPr>
        <w:spacing w:after="0" w:line="26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technical result for the Car line was US$ 7.4 million in 4Q09. This figure, which represents an improvement over 3Q09’s result, is primarily attributable to an increase in direct premiums that made 4Q09 the most productive quarter of the year for Cars. During this period, the claims rate fell to 36.0%, down from 44.1% in 3Q09. This decline is for the most part due to: a) a decrease in theft in 4Q09, b) an increase in the number of vehicles recovered, which rose to 47% in 4Q09 vs. 35% in 3Q09 and, c) adjustments in the underwriting policy, which increased deductibles and co-insurance on aggravated risks.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Mandatory Cars line (SOAT) obtained a technical result of US$ 1.9 million in 4Q09, which is an improvement over the US$ 0.8 million in earnings observed in 3Q09. This line’s result is attributable to a significant improvement in the claims rate due to a reduction in provisions for old claims as well as a trend towards a decline in claims frequency due to improvements in the underwriting policy and lower average costs.</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Medical Assistance line achieved a technical result of US$ 4.4 million in 4Q09, which is higher than the US$ 1.5 million registered in 3Q09 and largely exceeds the US$ -1.3 million recorded in 4Q08. This is primarily due to a progressive adjustment in premiums and new conditions for contracts and product combinations, which generate a positive effect on direct premiums, and a significant reduction in the effects of the AH1N1 flu on claims in this portfolio, which fell from 81.2% in 3Q09 to 62.2% in 4Q09.</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General Insurance (RRGG), the technical result reached US$ 11.7 million in 4Q09, representing a significant increase over the US$ 9.3 million recorded in 3Q09 and the US$ 3.5 million recorded in 4Q08. The main lines that contributed to RRGG’s technical result this quarter were Technical Lines with US$ 3.6 million, Transportation, with US$ 3.3 million, and Fire, with US$ 1.8 million.</w:t>
      </w:r>
    </w:p>
    <w:p>
      <w:pPr>
        <w:spacing w:after="0" w:line="35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60" w:right="239" w:bottom="1440" w:gutter="0" w:footer="0" w:header="0"/>
        </w:sectPr>
      </w:pPr>
    </w:p>
    <w:bookmarkStart w:id="31" w:name="page32"/>
    <w:bookmarkEnd w:id="31"/>
    <w:p>
      <w:pPr>
        <w:jc w:val="both"/>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6254750</wp:posOffset>
            </wp:positionH>
            <wp:positionV relativeFrom="page">
              <wp:posOffset>337820</wp:posOffset>
            </wp:positionV>
            <wp:extent cx="1149350" cy="3175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clrChange>
                        <a:clrFrom>
                          <a:srgbClr val="FFFFFF"/>
                        </a:clrFrom>
                        <a:clrTo>
                          <a:srgbClr val="FFFFFF">
                            <a:alpha val="0"/>
                          </a:srgbClr>
                        </a:clrTo>
                      </a:clrChange>
                      <a:extLst>
                        <a:ext uri="{28A0092B-C50C-407E-A947-70E740481C1C}"/>
                      </a:extLst>
                    </a:blip>
                    <a:srcRect/>
                    <a:stretch>
                      <a:fillRect/>
                    </a:stretch>
                  </pic:blipFill>
                  <pic:spPr bwMode="auto">
                    <a:xfrm>
                      <a:off x="0" y="0"/>
                      <a:ext cx="1149350" cy="317500"/>
                    </a:xfrm>
                    <a:prstGeom prst="rect">
                      <a:avLst/>
                    </a:prstGeom>
                    <a:noFill/>
                  </pic:spPr>
                </pic:pic>
              </a:graphicData>
            </a:graphic>
          </wp:anchor>
        </w:drawing>
        <w:t>The difference in results between 4Q09 and the previous quarter is primarily attributable to a considerable decrease in claims, which dropped to 17.4% in 4Q09 vs. 32.9% in 3Q09. It is important to mention that a reduction in claims is basically due to the fact that provisions for claims from prior quarters were released in the Technical and Transportation lines. Additionally, direct premiums in 4Q09 were for US$ 55.2 million, which represents a 21% increase over the US$ 45.5 million recorded in 4Q08.</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PPS’s net financial income registered earnings for US$6.7 million in 4Q09, which is similar to last quarter’s result.</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summary, among the favorable results recorded in 4Q09 in the general segment (PPS), the following stand out: (i) income for net insurance premiums totaled 52.4 million while (ii) total operating costs were US$ 47.5 million. These results led to (iii) a combined ratio of 90.6% this quarter, of which 35.6 points correspond to costs or expenses for net claims (claims rate), 15.9 points are attributable to business acquisition costs and the remaining 39.1 points stem from general or administrative expenses.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VI.3 Pacífico Vida</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Pacifico Vida obtained earnings before minority interests of US$ 10.5 million in 4Q09, which is significantly higher than the US$ 6.9 million recorded in 3Q09. This quarter’s increase in earnings can be explained primarily by a reversal of income tax provisions as a result of tax effects produced by tax deductible FX related losses generated on currency indexed instruments that generate tax free interest income, situation that was clarified by the tax regulator in 4Q09.</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technical result in 4Q09 was US$ 0.7 million lower than the US$ 2.9 million obtained in 3Q09, due primarily to higher claims in the fourth quarter of the year, which increased from 62.9% in 3Q09 to 69.6% in 4Q09</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20" w:type="dxa"/>
            <w:vAlign w:val="bottom"/>
            <w:gridSpan w:val="5"/>
          </w:tcPr>
          <w:p>
            <w:pPr>
              <w:jc w:val="center"/>
              <w:ind w:right="260"/>
              <w:spacing w:after="0"/>
              <w:rPr>
                <w:sz w:val="20"/>
                <w:szCs w:val="20"/>
                <w:color w:val="auto"/>
              </w:rPr>
            </w:pPr>
            <w:r>
              <w:rPr>
                <w:rFonts w:ascii="Arial" w:cs="Arial" w:eastAsia="Arial" w:hAnsi="Arial"/>
                <w:sz w:val="18"/>
                <w:szCs w:val="18"/>
                <w:b w:val="1"/>
                <w:bCs w:val="1"/>
                <w:color w:val="auto"/>
                <w:w w:val="90"/>
              </w:rPr>
              <w:t>Pacífico Vida</w:t>
            </w: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20" w:type="dxa"/>
            <w:vAlign w:val="bottom"/>
            <w:gridSpan w:val="5"/>
          </w:tcPr>
          <w:p>
            <w:pPr>
              <w:jc w:val="center"/>
              <w:ind w:right="260"/>
              <w:spacing w:after="0"/>
              <w:rPr>
                <w:sz w:val="20"/>
                <w:szCs w:val="20"/>
                <w:color w:val="auto"/>
              </w:rPr>
            </w:pPr>
            <w:r>
              <w:rPr>
                <w:rFonts w:ascii="Arial" w:cs="Arial" w:eastAsia="Arial" w:hAnsi="Arial"/>
                <w:sz w:val="18"/>
                <w:szCs w:val="18"/>
                <w:b w:val="1"/>
                <w:bCs w:val="1"/>
                <w:color w:val="auto"/>
                <w:w w:val="99"/>
              </w:rPr>
              <w:t>(US$ MM)</w:t>
            </w: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740" w:type="dxa"/>
            <w:vAlign w:val="bottom"/>
            <w:gridSpan w:val="3"/>
          </w:tcPr>
          <w:p>
            <w:pPr>
              <w:spacing w:after="0"/>
              <w:rPr>
                <w:sz w:val="20"/>
                <w:szCs w:val="20"/>
                <w:color w:val="auto"/>
              </w:rPr>
            </w:pPr>
            <w:r>
              <w:rPr>
                <w:rFonts w:ascii="Arial" w:cs="Arial" w:eastAsia="Arial" w:hAnsi="Arial"/>
                <w:sz w:val="18"/>
                <w:szCs w:val="18"/>
                <w:b w:val="1"/>
                <w:bCs w:val="1"/>
                <w:color w:val="auto"/>
              </w:rPr>
              <w:t>Products</w:t>
            </w:r>
          </w:p>
        </w:tc>
        <w:tc>
          <w:tcPr>
            <w:tcW w:w="2220" w:type="dxa"/>
            <w:vAlign w:val="bottom"/>
            <w:gridSpan w:val="5"/>
          </w:tcPr>
          <w:p>
            <w:pPr>
              <w:jc w:val="center"/>
              <w:ind w:left="670"/>
              <w:spacing w:after="0"/>
              <w:rPr>
                <w:sz w:val="20"/>
                <w:szCs w:val="20"/>
                <w:color w:val="auto"/>
              </w:rPr>
            </w:pPr>
            <w:r>
              <w:rPr>
                <w:rFonts w:ascii="Arial" w:cs="Arial" w:eastAsia="Arial" w:hAnsi="Arial"/>
                <w:sz w:val="18"/>
                <w:szCs w:val="18"/>
                <w:b w:val="1"/>
                <w:bCs w:val="1"/>
                <w:color w:val="auto"/>
                <w:w w:val="90"/>
              </w:rPr>
              <w:t>Total Premiums</w:t>
            </w: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40" w:type="dxa"/>
            <w:vAlign w:val="bottom"/>
            <w:gridSpan w:val="4"/>
          </w:tcPr>
          <w:p>
            <w:pPr>
              <w:jc w:val="right"/>
              <w:ind w:right="820"/>
              <w:spacing w:after="0"/>
              <w:rPr>
                <w:sz w:val="20"/>
                <w:szCs w:val="20"/>
                <w:color w:val="auto"/>
              </w:rPr>
            </w:pPr>
            <w:r>
              <w:rPr>
                <w:rFonts w:ascii="Arial" w:cs="Arial" w:eastAsia="Arial" w:hAnsi="Arial"/>
                <w:sz w:val="18"/>
                <w:szCs w:val="18"/>
                <w:b w:val="1"/>
                <w:bCs w:val="1"/>
                <w:color w:val="auto"/>
              </w:rPr>
              <w:t>Change %</w:t>
            </w:r>
          </w:p>
        </w:tc>
        <w:tc>
          <w:tcPr>
            <w:tcW w:w="0" w:type="dxa"/>
            <w:vAlign w:val="bottom"/>
          </w:tcPr>
          <w:p>
            <w:pPr>
              <w:spacing w:after="0"/>
              <w:rPr>
                <w:sz w:val="1"/>
                <w:szCs w:val="1"/>
                <w:color w:val="auto"/>
              </w:rPr>
            </w:pPr>
          </w:p>
        </w:tc>
      </w:tr>
      <w:tr>
        <w:trPr>
          <w:trHeight w:val="216"/>
        </w:trPr>
        <w:tc>
          <w:tcPr>
            <w:tcW w:w="3740" w:type="dxa"/>
            <w:vAlign w:val="bottom"/>
            <w:gridSpan w:val="3"/>
          </w:tcPr>
          <w:p>
            <w:pPr>
              <w:spacing w:after="0"/>
              <w:rPr>
                <w:sz w:val="20"/>
                <w:szCs w:val="20"/>
                <w:color w:val="auto"/>
              </w:rPr>
            </w:pPr>
            <w:r>
              <w:rPr>
                <w:rFonts w:ascii="Arial" w:cs="Arial" w:eastAsia="Arial" w:hAnsi="Arial"/>
                <w:sz w:val="18"/>
                <w:szCs w:val="18"/>
                <w:b w:val="1"/>
                <w:bCs w:val="1"/>
                <w:color w:val="auto"/>
              </w:rPr>
              <w:t>(US$ millions)</w:t>
            </w:r>
          </w:p>
        </w:tc>
        <w:tc>
          <w:tcPr>
            <w:tcW w:w="1040" w:type="dxa"/>
            <w:vAlign w:val="bottom"/>
            <w:tcBorders>
              <w:top w:val="single" w:sz="8" w:color="auto"/>
            </w:tcBorders>
            <w:gridSpan w:val="2"/>
          </w:tcPr>
          <w:p>
            <w:pPr>
              <w:jc w:val="right"/>
              <w:ind w:right="400"/>
              <w:spacing w:after="0"/>
              <w:rPr>
                <w:sz w:val="20"/>
                <w:szCs w:val="20"/>
                <w:color w:val="auto"/>
              </w:rPr>
            </w:pPr>
            <w:r>
              <w:rPr>
                <w:rFonts w:ascii="Arial" w:cs="Arial" w:eastAsia="Arial" w:hAnsi="Arial"/>
                <w:sz w:val="18"/>
                <w:szCs w:val="18"/>
                <w:b w:val="1"/>
                <w:bCs w:val="1"/>
                <w:color w:val="auto"/>
              </w:rPr>
              <w:t>4Q09</w:t>
            </w:r>
          </w:p>
        </w:tc>
        <w:tc>
          <w:tcPr>
            <w:tcW w:w="1180" w:type="dxa"/>
            <w:vAlign w:val="bottom"/>
            <w:tcBorders>
              <w:top w:val="single" w:sz="8" w:color="auto"/>
            </w:tcBorders>
            <w:gridSpan w:val="3"/>
          </w:tcPr>
          <w:p>
            <w:pPr>
              <w:jc w:val="center"/>
              <w:ind w:right="280"/>
              <w:spacing w:after="0"/>
              <w:rPr>
                <w:sz w:val="20"/>
                <w:szCs w:val="20"/>
                <w:color w:val="auto"/>
              </w:rPr>
            </w:pPr>
            <w:r>
              <w:rPr>
                <w:rFonts w:ascii="Arial" w:cs="Arial" w:eastAsia="Arial" w:hAnsi="Arial"/>
                <w:sz w:val="18"/>
                <w:szCs w:val="18"/>
                <w:b w:val="1"/>
                <w:bCs w:val="1"/>
                <w:color w:val="auto"/>
                <w:w w:val="95"/>
              </w:rPr>
              <w:t>3Q09</w:t>
            </w:r>
          </w:p>
        </w:tc>
        <w:tc>
          <w:tcPr>
            <w:tcW w:w="78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4Q08</w:t>
            </w:r>
          </w:p>
        </w:tc>
        <w:tc>
          <w:tcPr>
            <w:tcW w:w="160" w:type="dxa"/>
            <w:vAlign w:val="bottom"/>
          </w:tcPr>
          <w:p>
            <w:pPr>
              <w:spacing w:after="0"/>
              <w:rPr>
                <w:sz w:val="18"/>
                <w:szCs w:val="18"/>
                <w:color w:val="auto"/>
              </w:rPr>
            </w:pPr>
          </w:p>
        </w:tc>
        <w:tc>
          <w:tcPr>
            <w:tcW w:w="1160" w:type="dxa"/>
            <w:vAlign w:val="bottom"/>
            <w:tcBorders>
              <w:top w:val="single" w:sz="8" w:color="auto"/>
            </w:tcBorders>
            <w:gridSpan w:val="2"/>
          </w:tcPr>
          <w:p>
            <w:pPr>
              <w:jc w:val="right"/>
              <w:ind w:right="520"/>
              <w:spacing w:after="0"/>
              <w:rPr>
                <w:sz w:val="20"/>
                <w:szCs w:val="20"/>
                <w:color w:val="auto"/>
              </w:rPr>
            </w:pPr>
            <w:r>
              <w:rPr>
                <w:rFonts w:ascii="Arial" w:cs="Arial" w:eastAsia="Arial" w:hAnsi="Arial"/>
                <w:sz w:val="18"/>
                <w:szCs w:val="18"/>
                <w:b w:val="1"/>
                <w:bCs w:val="1"/>
                <w:color w:val="auto"/>
              </w:rPr>
              <w:t>3Q09</w:t>
            </w:r>
          </w:p>
        </w:tc>
        <w:tc>
          <w:tcPr>
            <w:tcW w:w="88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4Q08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CCFFCC"/>
          </w:tcPr>
          <w:p>
            <w:pPr>
              <w:spacing w:after="0"/>
              <w:rPr>
                <w:sz w:val="20"/>
                <w:szCs w:val="20"/>
                <w:color w:val="auto"/>
              </w:rPr>
            </w:pPr>
            <w:r>
              <w:rPr>
                <w:rFonts w:ascii="Arial" w:cs="Arial" w:eastAsia="Arial" w:hAnsi="Arial"/>
                <w:sz w:val="18"/>
                <w:szCs w:val="18"/>
                <w:color w:val="auto"/>
              </w:rPr>
              <w:t>Individual life</w:t>
            </w:r>
          </w:p>
        </w:tc>
        <w:tc>
          <w:tcPr>
            <w:tcW w:w="8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13.2</w:t>
            </w:r>
          </w:p>
        </w:tc>
        <w:tc>
          <w:tcPr>
            <w:tcW w:w="10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12.7</w:t>
            </w:r>
          </w:p>
        </w:tc>
        <w:tc>
          <w:tcPr>
            <w:tcW w:w="120" w:type="dxa"/>
            <w:vAlign w:val="bottom"/>
            <w:shd w:val="clear" w:color="auto" w:fill="CCFFCC"/>
          </w:tcPr>
          <w:p>
            <w:pPr>
              <w:spacing w:after="0"/>
              <w:rPr>
                <w:sz w:val="18"/>
                <w:szCs w:val="18"/>
                <w:color w:val="auto"/>
              </w:rPr>
            </w:pPr>
          </w:p>
        </w:tc>
        <w:tc>
          <w:tcPr>
            <w:tcW w:w="7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11.6</w:t>
            </w:r>
          </w:p>
        </w:tc>
        <w:tc>
          <w:tcPr>
            <w:tcW w:w="16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4.5%</w:t>
            </w:r>
          </w:p>
        </w:tc>
        <w:tc>
          <w:tcPr>
            <w:tcW w:w="10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Individual annuity</w:t>
            </w:r>
          </w:p>
        </w:tc>
        <w:tc>
          <w:tcPr>
            <w:tcW w:w="880" w:type="dxa"/>
            <w:vAlign w:val="bottom"/>
          </w:tcPr>
          <w:p>
            <w:pPr>
              <w:jc w:val="right"/>
              <w:spacing w:after="0"/>
              <w:rPr>
                <w:sz w:val="20"/>
                <w:szCs w:val="20"/>
                <w:color w:val="auto"/>
              </w:rPr>
            </w:pPr>
            <w:r>
              <w:rPr>
                <w:rFonts w:ascii="Arial" w:cs="Arial" w:eastAsia="Arial" w:hAnsi="Arial"/>
                <w:sz w:val="18"/>
                <w:szCs w:val="18"/>
                <w:color w:val="auto"/>
              </w:rPr>
              <w:t>9.9</w:t>
            </w:r>
          </w:p>
        </w:tc>
        <w:tc>
          <w:tcPr>
            <w:tcW w:w="1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8.0</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-3.9%</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Disability &amp; survivor (Pension)</w:t>
            </w: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8.8</w:t>
            </w:r>
          </w:p>
        </w:tc>
        <w:tc>
          <w:tcPr>
            <w:tcW w:w="16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8.2</w:t>
            </w:r>
          </w:p>
        </w:tc>
        <w:tc>
          <w:tcPr>
            <w:tcW w:w="12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9.0</w:t>
            </w: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7.7%</w:t>
            </w:r>
          </w:p>
        </w:tc>
        <w:tc>
          <w:tcPr>
            <w:tcW w:w="10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Credit Life</w:t>
            </w:r>
          </w:p>
        </w:tc>
        <w:tc>
          <w:tcPr>
            <w:tcW w:w="880" w:type="dxa"/>
            <w:vAlign w:val="bottom"/>
          </w:tcPr>
          <w:p>
            <w:pPr>
              <w:jc w:val="right"/>
              <w:spacing w:after="0"/>
              <w:rPr>
                <w:sz w:val="20"/>
                <w:szCs w:val="20"/>
                <w:color w:val="auto"/>
              </w:rPr>
            </w:pPr>
            <w:r>
              <w:rPr>
                <w:rFonts w:ascii="Arial" w:cs="Arial" w:eastAsia="Arial" w:hAnsi="Arial"/>
                <w:sz w:val="18"/>
                <w:szCs w:val="18"/>
                <w:color w:val="auto"/>
              </w:rPr>
              <w:t>6.5</w:t>
            </w:r>
          </w:p>
        </w:tc>
        <w:tc>
          <w:tcPr>
            <w:tcW w:w="1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5.7</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11.3%</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Personal accidents</w:t>
            </w: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2.8</w:t>
            </w:r>
          </w:p>
        </w:tc>
        <w:tc>
          <w:tcPr>
            <w:tcW w:w="16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2.6</w:t>
            </w: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2.9%</w:t>
            </w:r>
          </w:p>
        </w:tc>
        <w:tc>
          <w:tcPr>
            <w:tcW w:w="10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Group life (Law)</w:t>
            </w:r>
          </w:p>
        </w:tc>
        <w:tc>
          <w:tcPr>
            <w:tcW w:w="880" w:type="dxa"/>
            <w:vAlign w:val="bottom"/>
          </w:tcPr>
          <w:p>
            <w:pPr>
              <w:jc w:val="right"/>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1.9</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-0.8%</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Group life</w:t>
            </w: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3.6</w:t>
            </w:r>
          </w:p>
        </w:tc>
        <w:tc>
          <w:tcPr>
            <w:tcW w:w="16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2.9</w:t>
            </w: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15.5%</w:t>
            </w:r>
          </w:p>
        </w:tc>
        <w:tc>
          <w:tcPr>
            <w:tcW w:w="10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Limited workers compensation</w:t>
            </w:r>
          </w:p>
        </w:tc>
        <w:tc>
          <w:tcPr>
            <w:tcW w:w="880" w:type="dxa"/>
            <w:vAlign w:val="bottom"/>
          </w:tcPr>
          <w:p>
            <w:pPr>
              <w:jc w:val="right"/>
              <w:spacing w:after="0"/>
              <w:rPr>
                <w:sz w:val="20"/>
                <w:szCs w:val="20"/>
                <w:color w:val="auto"/>
              </w:rPr>
            </w:pPr>
            <w:r>
              <w:rPr>
                <w:rFonts w:ascii="Arial" w:cs="Arial" w:eastAsia="Arial" w:hAnsi="Arial"/>
                <w:sz w:val="18"/>
                <w:szCs w:val="18"/>
                <w:color w:val="auto"/>
              </w:rPr>
              <w:t>2.4</w:t>
            </w:r>
          </w:p>
        </w:tc>
        <w:tc>
          <w:tcPr>
            <w:tcW w:w="1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2.2</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-15.8%</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3720" w:type="dxa"/>
            <w:vAlign w:val="bottom"/>
            <w:gridSpan w:val="2"/>
            <w:shd w:val="clear" w:color="auto" w:fill="CCFFCC"/>
          </w:tcPr>
          <w:p>
            <w:pPr>
              <w:spacing w:after="0"/>
              <w:rPr>
                <w:sz w:val="20"/>
                <w:szCs w:val="20"/>
                <w:color w:val="auto"/>
              </w:rPr>
            </w:pPr>
            <w:r>
              <w:rPr>
                <w:rFonts w:ascii="Arial" w:cs="Arial" w:eastAsia="Arial" w:hAnsi="Arial"/>
                <w:sz w:val="18"/>
                <w:szCs w:val="18"/>
                <w:b w:val="1"/>
                <w:bCs w:val="1"/>
                <w:color w:val="auto"/>
              </w:rPr>
              <w:t>TOTAL</w:t>
            </w:r>
          </w:p>
        </w:tc>
        <w:tc>
          <w:tcPr>
            <w:tcW w:w="10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b w:val="1"/>
                <w:bCs w:val="1"/>
                <w:color w:val="auto"/>
              </w:rPr>
              <w:t>49.3</w:t>
            </w:r>
          </w:p>
        </w:tc>
        <w:tc>
          <w:tcPr>
            <w:tcW w:w="10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b w:val="1"/>
                <w:bCs w:val="1"/>
                <w:color w:val="auto"/>
              </w:rPr>
              <w:t>47.8</w:t>
            </w:r>
          </w:p>
        </w:tc>
        <w:tc>
          <w:tcPr>
            <w:tcW w:w="120" w:type="dxa"/>
            <w:vAlign w:val="bottom"/>
            <w:shd w:val="clear" w:color="auto" w:fill="CCFFCC"/>
          </w:tcPr>
          <w:p>
            <w:pPr>
              <w:spacing w:after="0"/>
              <w:rPr>
                <w:sz w:val="20"/>
                <w:szCs w:val="20"/>
                <w:color w:val="auto"/>
              </w:rPr>
            </w:pPr>
          </w:p>
        </w:tc>
        <w:tc>
          <w:tcPr>
            <w:tcW w:w="9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b w:val="1"/>
                <w:bCs w:val="1"/>
                <w:color w:val="auto"/>
              </w:rPr>
              <w:t>44.0</w:t>
            </w: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3.3%</w:t>
            </w:r>
          </w:p>
        </w:tc>
        <w:tc>
          <w:tcPr>
            <w:tcW w:w="10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FFCC"/>
            </w:tcBorders>
            <w:shd w:val="clear" w:color="auto" w:fill="CCFFCC"/>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Lower financial income in Q4, which fell to US$ 12.1 million from US$ 13.8 million in 3Q09, can be explained primarily by higher provisions on the valuation of liquid assets. The general expenses in 4Q09 increased 12.4% with regard to 3Q09, totaling US$8.2 million.</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After excluding minority interest for US$ 4.0 million, which corresponds to Alico, net earnings for the life segment reached US$ 6.5 million in 4Q09.</w:t>
      </w:r>
    </w:p>
    <w:p>
      <w:pPr>
        <w:spacing w:after="0" w:line="200" w:lineRule="exact"/>
        <w:rPr>
          <w:sz w:val="20"/>
          <w:szCs w:val="20"/>
          <w:color w:val="auto"/>
        </w:rPr>
      </w:pPr>
    </w:p>
    <w:p>
      <w:pPr>
        <w:spacing w:after="0" w:line="2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60"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6254750</wp:posOffset>
            </wp:positionH>
            <wp:positionV relativeFrom="page">
              <wp:posOffset>337820</wp:posOffset>
            </wp:positionV>
            <wp:extent cx="1149350" cy="3175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clrChange>
                        <a:clrFrom>
                          <a:srgbClr val="FFFFFF"/>
                        </a:clrFrom>
                        <a:clrTo>
                          <a:srgbClr val="FFFFFF">
                            <a:alpha val="0"/>
                          </a:srgbClr>
                        </a:clrTo>
                      </a:clrChange>
                      <a:extLst>
                        <a:ext uri="{28A0092B-C50C-407E-A947-70E740481C1C}"/>
                      </a:extLst>
                    </a:blip>
                    <a:srcRect/>
                    <a:stretch>
                      <a:fillRect/>
                    </a:stretch>
                  </pic:blipFill>
                  <pic:spPr bwMode="auto">
                    <a:xfrm>
                      <a:off x="0" y="0"/>
                      <a:ext cx="1149350" cy="317500"/>
                    </a:xfrm>
                    <a:prstGeom prst="rect">
                      <a:avLst/>
                    </a:prstGeom>
                    <a:noFill/>
                  </pic:spPr>
                </pic:pic>
              </a:graphicData>
            </a:graphic>
          </wp:anchor>
        </w:drawing>
        <w:t>VI.4 Pacífico Health (EPS)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health line reported earnings of US$ 0.8 million in 4Q09, compared to a US$ 0.5 million loss recorded in 3Q09.</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EPS’s technical result increased to reach US$ 3.0 million in 4Q09, recording an improvement over the US$ 1.7 million obtained in 3Q09. The technical result’s favorable evolution is due to i) a lower claims rate of 84.5% in 4Q09, compared with 88.1% in 3Q09; this reduction is primarily due to a lower incidence of cases of AH1N1 influenza as well as ii) an increase in direct premiums, which went from US$32 million in 3Q09 to US$ 33.4 million in 4Q09; this increase is basically attributable to adjustments in premiums and deductibles for managed accounts.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Finally, quarterly earnings were also affected by a translation result of US$ 0.1 million (in comparison to the US$0.4 million obtained in 2Q09).</w:t>
      </w: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60"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6254750</wp:posOffset>
            </wp:positionH>
            <wp:positionV relativeFrom="page">
              <wp:posOffset>337820</wp:posOffset>
            </wp:positionV>
            <wp:extent cx="1149350" cy="3175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clrChange>
                        <a:clrFrom>
                          <a:srgbClr val="FFFFFF"/>
                        </a:clrFrom>
                        <a:clrTo>
                          <a:srgbClr val="FFFFFF">
                            <a:alpha val="0"/>
                          </a:srgbClr>
                        </a:clrTo>
                      </a:clrChange>
                      <a:extLst>
                        <a:ext uri="{28A0092B-C50C-407E-A947-70E740481C1C}"/>
                      </a:extLst>
                    </a:blip>
                    <a:srcRect/>
                    <a:stretch>
                      <a:fillRect/>
                    </a:stretch>
                  </pic:blipFill>
                  <pic:spPr bwMode="auto">
                    <a:xfrm>
                      <a:off x="0" y="0"/>
                      <a:ext cx="1149350" cy="317500"/>
                    </a:xfrm>
                    <a:prstGeom prst="rect">
                      <a:avLst/>
                    </a:prstGeom>
                    <a:noFill/>
                  </pic:spPr>
                </pic:pic>
              </a:graphicData>
            </a:graphic>
          </wp:anchor>
        </w:drawing>
        <w:t>VII. Economic Outlook</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Economic Activity</w:t>
      </w:r>
    </w:p>
    <w:p>
      <w:pPr>
        <w:spacing w:after="0" w:line="252"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During 4Q09, the economy grew at an annual rate of 3.3%, the highest growth recorded in 2009. If we extract the seasonal effect, economic activity continued recovering and by the end-of-year results indicates that the economy grew 7% with regard to the minimum growth registered during the crisis.</w:t>
      </w:r>
    </w:p>
    <w:p>
      <w:pPr>
        <w:spacing w:after="0" w:line="15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Nevertheless, recovery is not homogenous across sectors. While activity in the services and manufacturing sectors exceeded the maximum levels recorded prior to the crisis by 5.8 and 5.1% respectively, activity in the manufacturing and fishing sectors fell below their pre-crisis records, registering declines of 8.25% and 3.1%. The commercial sector has also been negatively affected given that the extent of the decline in imports was higher than predicted.</w:t>
      </w:r>
    </w:p>
    <w:p>
      <w:pPr>
        <w:spacing w:after="0" w:line="17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4Q09, public investment and public consumption have been the most dynamic components of spending while private investment and exports continued to fall but at lower annualized rates than in previous quarters. In 2009, the Peruvian economy grew 0.9% while private investment fell for the first time since 2001.</w:t>
      </w:r>
    </w:p>
    <w:p>
      <w:pPr>
        <w:spacing w:after="0" w:line="20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2010, although the private consumption and private investment will recover some of their dynamism, the public sector will continue to play a starring role in driving growth, particularly considering that regional and local elections will be held this year and presidential elections are scheduled for 2011.</w:t>
      </w:r>
    </w:p>
    <w:p>
      <w:pPr>
        <w:spacing w:after="0" w:line="1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Private investment will continue to grow, particularly in the mining and hydrocarbon sectors, while construction will expand more rapidly due mostly to increased activity in the country ’s interior, where large commercial chains have stepped up expansion efforts. The Central Bank estimates that the investment flows (expressed in dollars) of the main investment projects will increase more than 32% from US$ 7,850 million in 2009 to US$ 10,400 million this year.</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Construction, driven by public and private infrastructure projects, continues to be the most dynamic productive sector. Manufacturing experienced a turnaround in 2009 thanks to global recovery. In this scenario, the Peruvian economy is expected to grow 4.9% in 2010.</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Gross Domestic Product and Internal Demand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(Annualized percentage variation)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2578100</wp:posOffset>
            </wp:positionH>
            <wp:positionV relativeFrom="paragraph">
              <wp:posOffset>160020</wp:posOffset>
            </wp:positionV>
            <wp:extent cx="2109470" cy="13722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109470" cy="1372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3080"/>
        <w:spacing w:after="0"/>
        <w:rPr>
          <w:sz w:val="20"/>
          <w:szCs w:val="20"/>
          <w:color w:val="auto"/>
        </w:rPr>
      </w:pPr>
      <w:r>
        <w:rPr>
          <w:rFonts w:ascii="Arial" w:cs="Arial" w:eastAsia="Arial" w:hAnsi="Arial"/>
          <w:sz w:val="18"/>
          <w:szCs w:val="18"/>
          <w:i w:val="1"/>
          <w:iCs w:val="1"/>
          <w:color w:val="auto"/>
        </w:rPr>
        <w:t>Source: INEI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External Sector</w:t>
      </w:r>
    </w:p>
    <w:p>
      <w:pPr>
        <w:spacing w:after="0" w:line="25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Export prices have recovered more rapidly than import prices. As such, the trade balance maintained a surplus throughout the majority of the year despite the fact that in annual terms, exports only grew from October on. In this scenario, exports in 4Q09 grew 16.6%, led by the evolution of traditional products given that non-traditional products have been the most affected by the international recession (which hit hard in the destination countries for Peruvian exports). Imports in 4Q09 fell 12.4% despite the fact that higher prices for petroleum and certain food stuffs increased the value of intermediate goods imports.</w:t>
      </w:r>
    </w:p>
    <w:p>
      <w:pPr>
        <w:spacing w:after="0" w:line="33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6" w:right="239" w:bottom="1440" w:gutter="0" w:footer="0" w:header="0"/>
        </w:sectPr>
      </w:pPr>
    </w:p>
    <w:bookmarkStart w:id="34" w:name="page35"/>
    <w:bookmarkEnd w:id="34"/>
    <w:p>
      <w:pPr>
        <w:jc w:val="both"/>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6254750</wp:posOffset>
            </wp:positionH>
            <wp:positionV relativeFrom="page">
              <wp:posOffset>337820</wp:posOffset>
            </wp:positionV>
            <wp:extent cx="1149350" cy="3175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clrChange>
                        <a:clrFrom>
                          <a:srgbClr val="FFFFFF"/>
                        </a:clrFrom>
                        <a:clrTo>
                          <a:srgbClr val="FFFFFF">
                            <a:alpha val="0"/>
                          </a:srgbClr>
                        </a:clrTo>
                      </a:clrChange>
                      <a:extLst>
                        <a:ext uri="{28A0092B-C50C-407E-A947-70E740481C1C}"/>
                      </a:extLst>
                    </a:blip>
                    <a:srcRect/>
                    <a:stretch>
                      <a:fillRect/>
                    </a:stretch>
                  </pic:blipFill>
                  <pic:spPr bwMode="auto">
                    <a:xfrm>
                      <a:off x="0" y="0"/>
                      <a:ext cx="1149350" cy="317500"/>
                    </a:xfrm>
                    <a:prstGeom prst="rect">
                      <a:avLst/>
                    </a:prstGeom>
                    <a:noFill/>
                  </pic:spPr>
                </pic:pic>
              </a:graphicData>
            </a:graphic>
          </wp:anchor>
        </w:drawing>
        <w:t>Additionally, despite the fact that a recovery in mineral export prices means increased outflows from the factor income account, which tends to increase the current account deficit, a contraction in imports offset this effect. Additionally, following a strong currency outflow in the first months of the year, financial flows increased sustainably, which translated into an increase in international reserves of US$ 1,005 million during 4Q09 and US$ 1,939 million throughout the year. As of December 31, 2009, international reserves were US$ 33,135 MM. As of January 19th reserves continued to demonstrate growth, reaching US$ 34,777 million.</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2010, to the extent that the world economy consolidates its recovery, Peru will continue to receive positive net currency flows due to the fact that it is perceived as one of the emerging countries with the best macroeconomic fundamentals in the region.</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Exports and Imports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(Annualized percentage variation)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2526665</wp:posOffset>
            </wp:positionH>
            <wp:positionV relativeFrom="paragraph">
              <wp:posOffset>160020</wp:posOffset>
            </wp:positionV>
            <wp:extent cx="2204085" cy="13804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204085" cy="1380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3080"/>
        <w:spacing w:after="0"/>
        <w:rPr>
          <w:sz w:val="20"/>
          <w:szCs w:val="20"/>
          <w:color w:val="auto"/>
        </w:rPr>
      </w:pPr>
      <w:r>
        <w:rPr>
          <w:rFonts w:ascii="Arial" w:cs="Arial" w:eastAsia="Arial" w:hAnsi="Arial"/>
          <w:sz w:val="18"/>
          <w:szCs w:val="18"/>
          <w:i w:val="1"/>
          <w:iCs w:val="1"/>
          <w:color w:val="auto"/>
        </w:rPr>
        <w:t>Source: BCRP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Prices and Exchange Rate</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the end of 2009, annual inflation was 0.25%, reflecting a trend toward a marked decline that had been seen throughout the year (inflation in 2008 had been 6.65%). This is consistent with an outlook in which wholesale prices, particularly for imported products, demonstrated significant declines while the slow pace of domestic demand ’s recovery limited producers ’ ability to raise prices.</w:t>
      </w:r>
    </w:p>
    <w:p>
      <w:pPr>
        <w:spacing w:after="0" w:line="20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Underlying inflation has been falling since last February and closed at 2.3% in 2009. This is the lowest level seen since October 2007 and is in line with BCR ’s inflation goal. Given these developments, it is highly probable that inflation will be very close to BCR ’s target range (2.0% +/- 1%).</w:t>
      </w:r>
    </w:p>
    <w:p>
      <w:pPr>
        <w:spacing w:after="0" w:line="17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It is important to emphasize that the US dollar remains weak throughout the world, which has pushed exchange rates down not only in Peru but in emerging economies in general, which are thought to have a better macroeconomic outlook than developed countries. In this context, the exchange rate at the end of 2009 was S/. 2.89 and demonstrated an annual appreciation of 8.0%.</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Thus far this year, downward pressures on the exchange rate have accentuated given that the evolution of the Peruvian economy appears to indicate that the current expansive monetary policy, which has led to an exchange rate of S/. 2.85 (with the BCR ’s active intervention to control appreciation), will soon be reversed. As such, in the first twenty days of 2010, BCR acquired US$ 1,384.5 million, which far exceeds the total amount purchased in 2009 (US$ 1,256 million).</w:t>
      </w:r>
    </w:p>
    <w:p>
      <w:pPr>
        <w:spacing w:after="0" w:line="3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60" w:right="239" w:bottom="1440" w:gutter="0" w:footer="0" w:header="0"/>
        </w:sectPr>
      </w:pPr>
    </w:p>
    <w:bookmarkStart w:id="35" w:name="page36"/>
    <w:bookmarkEnd w:id="35"/>
    <w:p>
      <w:pPr>
        <w:jc w:val="both"/>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6254750</wp:posOffset>
            </wp:positionH>
            <wp:positionV relativeFrom="page">
              <wp:posOffset>337820</wp:posOffset>
            </wp:positionV>
            <wp:extent cx="1149350" cy="3175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clrChange>
                        <a:clrFrom>
                          <a:srgbClr val="FFFFFF"/>
                        </a:clrFrom>
                        <a:clrTo>
                          <a:srgbClr val="FFFFFF">
                            <a:alpha val="0"/>
                          </a:srgbClr>
                        </a:clrTo>
                      </a:clrChange>
                      <a:extLst>
                        <a:ext uri="{28A0092B-C50C-407E-A947-70E740481C1C}"/>
                      </a:extLst>
                    </a:blip>
                    <a:srcRect/>
                    <a:stretch>
                      <a:fillRect/>
                    </a:stretch>
                  </pic:blipFill>
                  <pic:spPr bwMode="auto">
                    <a:xfrm>
                      <a:off x="0" y="0"/>
                      <a:ext cx="1149350" cy="317500"/>
                    </a:xfrm>
                    <a:prstGeom prst="rect">
                      <a:avLst/>
                    </a:prstGeom>
                    <a:noFill/>
                  </pic:spPr>
                </pic:pic>
              </a:graphicData>
            </a:graphic>
          </wp:anchor>
        </w:drawing>
        <w:t>It is important to emphasize that BCR ’s interventions are effective in moderating exchange rate volatility. As such, these interventions may continue for a prolonged period, particularly in view of the fact that the exchange rate ’s evolution will be conditioned by uncertainty regarding global recovery; the strength or weakness of the dollar; the evolution of capital flows; inflation expectations; and economic agents ’ perceptions regarding when the current expansive monetary policy will be overturned.</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Consumer Price Index</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Exchange Rate Volatility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(Annual percentage variation)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(STD/last 30 days average)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160020</wp:posOffset>
            </wp:positionV>
            <wp:extent cx="5814695" cy="13462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814695" cy="1346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Sector</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the month of November, central government tax income increased 2.6% YoY, representing the first increase since December 2008. This result was influenced by recoveries in income tax and VAT collections although a contraction is still evident if we compare the 12-month period ended in November 2009 with the 12 months that preceded it.</w:t>
      </w:r>
    </w:p>
    <w:p>
      <w:pPr>
        <w:spacing w:after="0" w:line="20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 context characterized by lower fiscal income and a significant increase in spending (both in terms of consumption and public investment) after three years of a fiscal surplus, the deficit in 2009 was equivalent to approximately 1.6% of GDP. Despite the fact that income is expected to increase this year due to improvements in production and domestic demand as well as a gradual recovery in the main export product prices, these improvements will be offset by increased spending by regional and local governments due to the election year. As such, we expect a deficit (expressed as a percentage of GDP) that is similar to last year ’s.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Fiscal Income of the Central Government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(Annual percentage variation)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2603500</wp:posOffset>
            </wp:positionH>
            <wp:positionV relativeFrom="paragraph">
              <wp:posOffset>160020</wp:posOffset>
            </wp:positionV>
            <wp:extent cx="2058035" cy="14922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058035" cy="1492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60"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6254750</wp:posOffset>
            </wp:positionH>
            <wp:positionV relativeFrom="page">
              <wp:posOffset>337820</wp:posOffset>
            </wp:positionV>
            <wp:extent cx="1149350" cy="3175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clrChange>
                        <a:clrFrom>
                          <a:srgbClr val="FFFFFF"/>
                        </a:clrFrom>
                        <a:clrTo>
                          <a:srgbClr val="FFFFFF">
                            <a:alpha val="0"/>
                          </a:srgbClr>
                        </a:clrTo>
                      </a:clrChange>
                      <a:extLst>
                        <a:ext uri="{28A0092B-C50C-407E-A947-70E740481C1C}"/>
                      </a:extLst>
                    </a:blip>
                    <a:srcRect/>
                    <a:stretch>
                      <a:fillRect/>
                    </a:stretch>
                  </pic:blipFill>
                  <pic:spPr bwMode="auto">
                    <a:xfrm>
                      <a:off x="0" y="0"/>
                      <a:ext cx="1149350" cy="317500"/>
                    </a:xfrm>
                    <a:prstGeom prst="rect">
                      <a:avLst/>
                    </a:prstGeom>
                    <a:noFill/>
                  </pic:spPr>
                </pic:pic>
              </a:graphicData>
            </a:graphic>
          </wp:anchor>
        </w:drawing>
        <w:t>Banking System</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According to BCR ’s information to December 15, the loan portfolio of banking institutions, expressed in dollars, grew 10.7% in annual terms (26.6% at the end of 2008). It is important to emphasize that the annual loan growth rate to November showed evidence of deceleration, corresponding to a lag in economic activity. Nevertheless, some segments remained dynamic, particularly the mortgage loans whose annual growth to November was 29.6%, followed by SME portfolio (9.1%) and commercial loans (5.7%). Consumption, in contrast, grew a mere 1.0% due to portfolio transfer from the Banco de Trabajo to Crediscotia.</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To November, deposits showed 10.5% annual growth expressed in dollars, led by demand deposits (+25.7%), and followed by savings accounts (+20.1%).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Time deposits fell slightly in the same period (-0.3%).</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Loan dollarization in the banking system reached 50.4% in December 2009 (55.5% at the end of 2008) while liquidity dollarization closed the year at 43.5% (47.0% at the end of 2008).</w:t>
      </w:r>
    </w:p>
    <w:p>
      <w:pPr>
        <w:spacing w:after="0" w:line="19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Finally, interest rates have shown a downward trend that has accentuated over the last few months. This is in line with a worldwide trend towards lower interest rates and a significant reduction in BCR ’s reference rate, which was meant to encourage credit growth and help reactivate the economy. In this context, the TAMN (active rate in national currency) closed the year at 19.9% (23.0% at the end of 2008 and 20.2% at the end of 3Q09), while the TAMEX (active rate in foreign currency) was 8.6% at the end of 2009 (10.5% at the end of 2008 and 9.0% at the end of 3Q09).The TIPMEX (passive interest rate in foreign currency) went from 1.2% in 3Q09 to 0.9% during 4Q09 (1.9% at the end of 2008) while the TIPMN ( passive interest rate in national currency) fell 2.1% in 3Q09 to 1.6% during 4Q09 (3.8% at the end of 2008).</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Main Financial Indicators</w:t>
      </w:r>
    </w:p>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700" w:type="dxa"/>
            <w:vAlign w:val="bottom"/>
          </w:tcPr>
          <w:p>
            <w:pPr>
              <w:jc w:val="right"/>
              <w:ind w:right="148"/>
              <w:spacing w:after="0" w:line="153" w:lineRule="exact"/>
              <w:rPr>
                <w:sz w:val="20"/>
                <w:szCs w:val="20"/>
                <w:color w:val="auto"/>
              </w:rPr>
            </w:pPr>
            <w:r>
              <w:rPr>
                <w:rFonts w:ascii="Arial" w:cs="Arial" w:eastAsia="Arial" w:hAnsi="Arial"/>
                <w:sz w:val="14"/>
                <w:szCs w:val="14"/>
                <w:b w:val="1"/>
                <w:bCs w:val="1"/>
                <w:color w:val="auto"/>
              </w:rPr>
              <w:t>2007</w:t>
            </w:r>
          </w:p>
        </w:tc>
        <w:tc>
          <w:tcPr>
            <w:tcW w:w="240" w:type="dxa"/>
            <w:vAlign w:val="bottom"/>
          </w:tcPr>
          <w:p>
            <w:pPr>
              <w:spacing w:after="0"/>
              <w:rPr>
                <w:sz w:val="13"/>
                <w:szCs w:val="13"/>
                <w:color w:val="auto"/>
              </w:rPr>
            </w:pPr>
          </w:p>
        </w:tc>
        <w:tc>
          <w:tcPr>
            <w:tcW w:w="70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IQ</w:t>
            </w:r>
          </w:p>
        </w:tc>
        <w:tc>
          <w:tcPr>
            <w:tcW w:w="240" w:type="dxa"/>
            <w:vAlign w:val="bottom"/>
            <w:vMerge w:val="restart"/>
          </w:tcPr>
          <w:p>
            <w:pPr>
              <w:spacing w:after="0"/>
              <w:rPr>
                <w:sz w:val="13"/>
                <w:szCs w:val="13"/>
                <w:color w:val="auto"/>
              </w:rPr>
            </w:pPr>
          </w:p>
        </w:tc>
        <w:tc>
          <w:tcPr>
            <w:tcW w:w="70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IIQ</w:t>
            </w:r>
          </w:p>
        </w:tc>
        <w:tc>
          <w:tcPr>
            <w:tcW w:w="240" w:type="dxa"/>
            <w:vAlign w:val="bottom"/>
            <w:vMerge w:val="restart"/>
          </w:tcPr>
          <w:p>
            <w:pPr>
              <w:spacing w:after="0"/>
              <w:rPr>
                <w:sz w:val="13"/>
                <w:szCs w:val="13"/>
                <w:color w:val="auto"/>
              </w:rPr>
            </w:pPr>
          </w:p>
        </w:tc>
        <w:tc>
          <w:tcPr>
            <w:tcW w:w="700" w:type="dxa"/>
            <w:vAlign w:val="bottom"/>
          </w:tcPr>
          <w:p>
            <w:pPr>
              <w:jc w:val="right"/>
              <w:ind w:right="188"/>
              <w:spacing w:after="0" w:line="153" w:lineRule="exact"/>
              <w:rPr>
                <w:sz w:val="20"/>
                <w:szCs w:val="20"/>
                <w:color w:val="auto"/>
              </w:rPr>
            </w:pPr>
            <w:r>
              <w:rPr>
                <w:rFonts w:ascii="Arial" w:cs="Arial" w:eastAsia="Arial" w:hAnsi="Arial"/>
                <w:sz w:val="14"/>
                <w:szCs w:val="14"/>
                <w:b w:val="1"/>
                <w:bCs w:val="1"/>
                <w:color w:val="auto"/>
              </w:rPr>
              <w:t>2008</w:t>
            </w:r>
          </w:p>
        </w:tc>
        <w:tc>
          <w:tcPr>
            <w:tcW w:w="220" w:type="dxa"/>
            <w:vAlign w:val="bottom"/>
          </w:tcPr>
          <w:p>
            <w:pPr>
              <w:spacing w:after="0"/>
              <w:rPr>
                <w:sz w:val="13"/>
                <w:szCs w:val="13"/>
                <w:color w:val="auto"/>
              </w:rPr>
            </w:pPr>
          </w:p>
        </w:tc>
        <w:tc>
          <w:tcPr>
            <w:tcW w:w="66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IVQ</w:t>
            </w:r>
          </w:p>
        </w:tc>
        <w:tc>
          <w:tcPr>
            <w:tcW w:w="220" w:type="dxa"/>
            <w:vAlign w:val="bottom"/>
            <w:vMerge w:val="restart"/>
          </w:tcPr>
          <w:p>
            <w:pPr>
              <w:spacing w:after="0"/>
              <w:rPr>
                <w:sz w:val="13"/>
                <w:szCs w:val="13"/>
                <w:color w:val="auto"/>
              </w:rPr>
            </w:pPr>
          </w:p>
        </w:tc>
        <w:tc>
          <w:tcPr>
            <w:tcW w:w="68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Year</w:t>
            </w:r>
          </w:p>
        </w:tc>
        <w:tc>
          <w:tcPr>
            <w:tcW w:w="220" w:type="dxa"/>
            <w:vAlign w:val="bottom"/>
            <w:vMerge w:val="restart"/>
          </w:tcPr>
          <w:p>
            <w:pPr>
              <w:spacing w:after="0"/>
              <w:rPr>
                <w:sz w:val="13"/>
                <w:szCs w:val="13"/>
                <w:color w:val="auto"/>
              </w:rPr>
            </w:pPr>
          </w:p>
        </w:tc>
        <w:tc>
          <w:tcPr>
            <w:tcW w:w="66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IQ</w:t>
            </w:r>
          </w:p>
        </w:tc>
        <w:tc>
          <w:tcPr>
            <w:tcW w:w="220" w:type="dxa"/>
            <w:vAlign w:val="bottom"/>
            <w:vMerge w:val="restart"/>
          </w:tcPr>
          <w:p>
            <w:pPr>
              <w:spacing w:after="0"/>
              <w:rPr>
                <w:sz w:val="13"/>
                <w:szCs w:val="13"/>
                <w:color w:val="auto"/>
              </w:rPr>
            </w:pPr>
          </w:p>
        </w:tc>
        <w:tc>
          <w:tcPr>
            <w:tcW w:w="680" w:type="dxa"/>
            <w:vAlign w:val="bottom"/>
          </w:tcPr>
          <w:p>
            <w:pPr>
              <w:jc w:val="right"/>
              <w:ind w:right="128"/>
              <w:spacing w:after="0" w:line="153" w:lineRule="exact"/>
              <w:rPr>
                <w:sz w:val="20"/>
                <w:szCs w:val="20"/>
                <w:color w:val="auto"/>
              </w:rPr>
            </w:pPr>
            <w:r>
              <w:rPr>
                <w:rFonts w:ascii="Arial" w:cs="Arial" w:eastAsia="Arial" w:hAnsi="Arial"/>
                <w:sz w:val="14"/>
                <w:szCs w:val="14"/>
                <w:b w:val="1"/>
                <w:bCs w:val="1"/>
                <w:color w:val="auto"/>
              </w:rPr>
              <w:t>2009</w:t>
            </w:r>
          </w:p>
        </w:tc>
        <w:tc>
          <w:tcPr>
            <w:tcW w:w="220" w:type="dxa"/>
            <w:vAlign w:val="bottom"/>
          </w:tcPr>
          <w:p>
            <w:pPr>
              <w:spacing w:after="0"/>
              <w:rPr>
                <w:sz w:val="13"/>
                <w:szCs w:val="13"/>
                <w:color w:val="auto"/>
              </w:rPr>
            </w:pPr>
          </w:p>
        </w:tc>
        <w:tc>
          <w:tcPr>
            <w:tcW w:w="68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IIQ</w:t>
            </w:r>
          </w:p>
        </w:tc>
        <w:tc>
          <w:tcPr>
            <w:tcW w:w="10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7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Year</w:t>
            </w:r>
          </w:p>
        </w:tc>
        <w:tc>
          <w:tcPr>
            <w:tcW w:w="240" w:type="dxa"/>
            <w:vAlign w:val="bottom"/>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7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IIIQ</w:t>
            </w:r>
          </w:p>
        </w:tc>
        <w:tc>
          <w:tcPr>
            <w:tcW w:w="220" w:type="dxa"/>
            <w:vAlign w:val="bottom"/>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IIQ</w:t>
            </w:r>
          </w:p>
        </w:tc>
        <w:tc>
          <w:tcPr>
            <w:tcW w:w="220" w:type="dxa"/>
            <w:vAlign w:val="bottom"/>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GDP (US$ MM)</w:t>
            </w:r>
          </w:p>
        </w:tc>
        <w:tc>
          <w:tcPr>
            <w:tcW w:w="9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107,504</w:t>
            </w:r>
          </w:p>
        </w:tc>
        <w:tc>
          <w:tcPr>
            <w:tcW w:w="9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30,296</w:t>
            </w:r>
          </w:p>
        </w:tc>
        <w:tc>
          <w:tcPr>
            <w:tcW w:w="9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34,825</w:t>
            </w:r>
          </w:p>
        </w:tc>
        <w:tc>
          <w:tcPr>
            <w:tcW w:w="9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32,558</w:t>
            </w:r>
          </w:p>
        </w:tc>
        <w:tc>
          <w:tcPr>
            <w:tcW w:w="8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30,027</w:t>
            </w:r>
          </w:p>
        </w:tc>
        <w:tc>
          <w:tcPr>
            <w:tcW w:w="9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127,707</w:t>
            </w:r>
          </w:p>
        </w:tc>
        <w:tc>
          <w:tcPr>
            <w:tcW w:w="8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27,995</w:t>
            </w:r>
          </w:p>
        </w:tc>
        <w:tc>
          <w:tcPr>
            <w:tcW w:w="9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32,096</w:t>
            </w:r>
          </w:p>
        </w:tc>
        <w:tc>
          <w:tcPr>
            <w:tcW w:w="78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32,004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line="149" w:lineRule="exact"/>
              <w:rPr>
                <w:sz w:val="20"/>
                <w:szCs w:val="20"/>
                <w:color w:val="auto"/>
              </w:rPr>
            </w:pPr>
            <w:r>
              <w:rPr>
                <w:rFonts w:ascii="Arial" w:cs="Arial" w:eastAsia="Arial" w:hAnsi="Arial"/>
                <w:sz w:val="14"/>
                <w:szCs w:val="14"/>
                <w:color w:val="auto"/>
              </w:rPr>
              <w:t>Real GDP (var. %)</w:t>
            </w: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8.9</w:t>
            </w: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10.3</w:t>
            </w: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11.8</w:t>
            </w: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10.9</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6.5</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9.8</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2.0</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-1.1</w:t>
            </w: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GDP per-capita (US$)</w:t>
            </w:r>
          </w:p>
        </w:tc>
        <w:tc>
          <w:tcPr>
            <w:tcW w:w="9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3,873</w:t>
            </w:r>
          </w:p>
        </w:tc>
        <w:tc>
          <w:tcPr>
            <w:tcW w:w="9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4,334</w:t>
            </w:r>
          </w:p>
        </w:tc>
        <w:tc>
          <w:tcPr>
            <w:tcW w:w="9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4,967</w:t>
            </w:r>
          </w:p>
        </w:tc>
        <w:tc>
          <w:tcPr>
            <w:tcW w:w="9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4,616</w:t>
            </w:r>
          </w:p>
        </w:tc>
        <w:tc>
          <w:tcPr>
            <w:tcW w:w="8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4,219</w:t>
            </w:r>
          </w:p>
        </w:tc>
        <w:tc>
          <w:tcPr>
            <w:tcW w:w="9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4,534</w:t>
            </w:r>
          </w:p>
        </w:tc>
        <w:tc>
          <w:tcPr>
            <w:tcW w:w="8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3,899</w:t>
            </w:r>
          </w:p>
        </w:tc>
        <w:tc>
          <w:tcPr>
            <w:tcW w:w="9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4,430</w:t>
            </w:r>
          </w:p>
        </w:tc>
        <w:tc>
          <w:tcPr>
            <w:tcW w:w="78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4,378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ind w:left="160"/>
              <w:spacing w:after="0" w:line="149" w:lineRule="exact"/>
              <w:rPr>
                <w:sz w:val="20"/>
                <w:szCs w:val="20"/>
                <w:color w:val="auto"/>
              </w:rPr>
            </w:pPr>
            <w:r>
              <w:rPr>
                <w:rFonts w:ascii="Arial" w:cs="Arial" w:eastAsia="Arial" w:hAnsi="Arial"/>
                <w:sz w:val="14"/>
                <w:szCs w:val="14"/>
                <w:color w:val="auto"/>
              </w:rPr>
              <w:t>Domestic demand (var. %)</w:t>
            </w: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11.8</w:t>
            </w: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11.9</w:t>
            </w: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14.6</w:t>
            </w: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13.7</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9.1</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12.3</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-0.8</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-5.8</w:t>
            </w: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Consumption (var. %)</w:t>
            </w:r>
          </w:p>
        </w:tc>
        <w:tc>
          <w:tcPr>
            <w:tcW w:w="9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8.3</w:t>
            </w:r>
          </w:p>
        </w:tc>
        <w:tc>
          <w:tcPr>
            <w:tcW w:w="9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8.4</w:t>
            </w:r>
          </w:p>
        </w:tc>
        <w:tc>
          <w:tcPr>
            <w:tcW w:w="9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9.3</w:t>
            </w:r>
          </w:p>
        </w:tc>
        <w:tc>
          <w:tcPr>
            <w:tcW w:w="9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9.2</w:t>
            </w:r>
          </w:p>
        </w:tc>
        <w:tc>
          <w:tcPr>
            <w:tcW w:w="8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8.0</w:t>
            </w:r>
          </w:p>
        </w:tc>
        <w:tc>
          <w:tcPr>
            <w:tcW w:w="9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8.7</w:t>
            </w:r>
          </w:p>
        </w:tc>
        <w:tc>
          <w:tcPr>
            <w:tcW w:w="8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3.8</w:t>
            </w:r>
          </w:p>
        </w:tc>
        <w:tc>
          <w:tcPr>
            <w:tcW w:w="9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1.9</w:t>
            </w:r>
          </w:p>
        </w:tc>
        <w:tc>
          <w:tcPr>
            <w:tcW w:w="78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ind w:left="160"/>
              <w:spacing w:after="0" w:line="149" w:lineRule="exact"/>
              <w:rPr>
                <w:sz w:val="20"/>
                <w:szCs w:val="20"/>
                <w:color w:val="auto"/>
              </w:rPr>
            </w:pPr>
            <w:r>
              <w:rPr>
                <w:rFonts w:ascii="Arial" w:cs="Arial" w:eastAsia="Arial" w:hAnsi="Arial"/>
                <w:sz w:val="14"/>
                <w:szCs w:val="14"/>
                <w:color w:val="auto"/>
              </w:rPr>
              <w:t>Private investment (var. %)</w:t>
            </w: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22.6</w:t>
            </w: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23.7</w:t>
            </w: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37.1</w:t>
            </w: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31.7</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21.2</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28.1</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4.1</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-16.1</w:t>
            </w: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-14.9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CPI (annual change, %)</w:t>
            </w:r>
          </w:p>
        </w:tc>
        <w:tc>
          <w:tcPr>
            <w:tcW w:w="9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3.9</w:t>
            </w:r>
          </w:p>
        </w:tc>
        <w:tc>
          <w:tcPr>
            <w:tcW w:w="9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5.5</w:t>
            </w:r>
          </w:p>
        </w:tc>
        <w:tc>
          <w:tcPr>
            <w:tcW w:w="9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5.7</w:t>
            </w:r>
          </w:p>
        </w:tc>
        <w:tc>
          <w:tcPr>
            <w:tcW w:w="9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6.2</w:t>
            </w:r>
          </w:p>
        </w:tc>
        <w:tc>
          <w:tcPr>
            <w:tcW w:w="8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6.7</w:t>
            </w:r>
          </w:p>
        </w:tc>
        <w:tc>
          <w:tcPr>
            <w:tcW w:w="9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6.7</w:t>
            </w:r>
          </w:p>
        </w:tc>
        <w:tc>
          <w:tcPr>
            <w:tcW w:w="8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4.8</w:t>
            </w:r>
          </w:p>
        </w:tc>
        <w:tc>
          <w:tcPr>
            <w:tcW w:w="9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3.1</w:t>
            </w:r>
          </w:p>
        </w:tc>
        <w:tc>
          <w:tcPr>
            <w:tcW w:w="78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line="149" w:lineRule="exact"/>
              <w:rPr>
                <w:sz w:val="20"/>
                <w:szCs w:val="20"/>
                <w:color w:val="auto"/>
              </w:rPr>
            </w:pPr>
            <w:r>
              <w:rPr>
                <w:rFonts w:ascii="Arial" w:cs="Arial" w:eastAsia="Arial" w:hAnsi="Arial"/>
                <w:sz w:val="14"/>
                <w:szCs w:val="14"/>
                <w:color w:val="auto"/>
              </w:rPr>
              <w:t>Exchange rate, eop (S/. per US$)</w:t>
            </w: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3.00</w:t>
            </w: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2.74</w:t>
            </w: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2.97</w:t>
            </w: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2.98</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3.14</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3.14</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3.16</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3.01</w:t>
            </w: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2.88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Devaluation (annual change, %)</w:t>
            </w:r>
          </w:p>
        </w:tc>
        <w:tc>
          <w:tcPr>
            <w:tcW w:w="9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-6.1</w:t>
            </w:r>
          </w:p>
        </w:tc>
        <w:tc>
          <w:tcPr>
            <w:tcW w:w="9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-44.6</w:t>
            </w:r>
          </w:p>
        </w:tc>
        <w:tc>
          <w:tcPr>
            <w:tcW w:w="9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-63.4</w:t>
            </w:r>
          </w:p>
        </w:tc>
        <w:tc>
          <w:tcPr>
            <w:tcW w:w="9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41.4</w:t>
            </w:r>
          </w:p>
        </w:tc>
        <w:tc>
          <w:tcPr>
            <w:tcW w:w="8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-232.1</w:t>
            </w:r>
          </w:p>
        </w:tc>
        <w:tc>
          <w:tcPr>
            <w:tcW w:w="9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0.5</w:t>
            </w:r>
          </w:p>
        </w:tc>
        <w:tc>
          <w:tcPr>
            <w:tcW w:w="8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15.2</w:t>
            </w:r>
          </w:p>
        </w:tc>
        <w:tc>
          <w:tcPr>
            <w:tcW w:w="9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1.5</w:t>
            </w:r>
          </w:p>
        </w:tc>
        <w:tc>
          <w:tcPr>
            <w:tcW w:w="78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line="149" w:lineRule="exact"/>
              <w:rPr>
                <w:sz w:val="20"/>
                <w:szCs w:val="20"/>
                <w:color w:val="auto"/>
              </w:rPr>
            </w:pPr>
            <w:r>
              <w:rPr>
                <w:rFonts w:ascii="Arial" w:cs="Arial" w:eastAsia="Arial" w:hAnsi="Arial"/>
                <w:sz w:val="14"/>
                <w:szCs w:val="14"/>
                <w:color w:val="auto"/>
              </w:rPr>
              <w:t>Exchange rate, average (S/. per US$)</w:t>
            </w: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3.12</w:t>
            </w: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2.89</w:t>
            </w: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2.81</w:t>
            </w: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2.90</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3.09</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2.92</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3.18</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3.02</w:t>
            </w: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2.96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Non-financial Public Sector (% of GDP)</w:t>
            </w:r>
          </w:p>
        </w:tc>
        <w:tc>
          <w:tcPr>
            <w:tcW w:w="9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3.1</w:t>
            </w:r>
          </w:p>
        </w:tc>
        <w:tc>
          <w:tcPr>
            <w:tcW w:w="9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4.3</w:t>
            </w:r>
          </w:p>
        </w:tc>
        <w:tc>
          <w:tcPr>
            <w:tcW w:w="9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5.4</w:t>
            </w:r>
          </w:p>
        </w:tc>
        <w:tc>
          <w:tcPr>
            <w:tcW w:w="9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1.4</w:t>
            </w:r>
          </w:p>
        </w:tc>
        <w:tc>
          <w:tcPr>
            <w:tcW w:w="8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-2.7</w:t>
            </w:r>
          </w:p>
        </w:tc>
        <w:tc>
          <w:tcPr>
            <w:tcW w:w="9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2.1</w:t>
            </w:r>
          </w:p>
        </w:tc>
        <w:tc>
          <w:tcPr>
            <w:tcW w:w="8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2.4</w:t>
            </w:r>
          </w:p>
        </w:tc>
        <w:tc>
          <w:tcPr>
            <w:tcW w:w="9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1.4</w:t>
            </w:r>
          </w:p>
        </w:tc>
        <w:tc>
          <w:tcPr>
            <w:tcW w:w="78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ind w:left="160"/>
              <w:spacing w:after="0" w:line="149" w:lineRule="exact"/>
              <w:rPr>
                <w:sz w:val="20"/>
                <w:szCs w:val="20"/>
                <w:color w:val="auto"/>
              </w:rPr>
            </w:pPr>
            <w:r>
              <w:rPr>
                <w:rFonts w:ascii="Arial" w:cs="Arial" w:eastAsia="Arial" w:hAnsi="Arial"/>
                <w:sz w:val="14"/>
                <w:szCs w:val="14"/>
                <w:color w:val="auto"/>
                <w:w w:val="98"/>
              </w:rPr>
              <w:t>Central Gonvernment current revenues (% of GPD)</w:t>
            </w: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18.1</w:t>
            </w: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18.0</w:t>
            </w: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19.4</w:t>
            </w: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18.4</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17.0</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18.2</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16.3</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16.2</w:t>
            </w: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Tax Income (% of GDP)</w:t>
            </w:r>
          </w:p>
        </w:tc>
        <w:tc>
          <w:tcPr>
            <w:tcW w:w="9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15.6</w:t>
            </w:r>
          </w:p>
        </w:tc>
        <w:tc>
          <w:tcPr>
            <w:tcW w:w="9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15.4</w:t>
            </w:r>
          </w:p>
        </w:tc>
        <w:tc>
          <w:tcPr>
            <w:tcW w:w="9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16.4</w:t>
            </w:r>
          </w:p>
        </w:tc>
        <w:tc>
          <w:tcPr>
            <w:tcW w:w="9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15.7</w:t>
            </w:r>
          </w:p>
        </w:tc>
        <w:tc>
          <w:tcPr>
            <w:tcW w:w="8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14.9</w:t>
            </w:r>
          </w:p>
        </w:tc>
        <w:tc>
          <w:tcPr>
            <w:tcW w:w="9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15.6</w:t>
            </w:r>
          </w:p>
        </w:tc>
        <w:tc>
          <w:tcPr>
            <w:tcW w:w="8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14.5</w:t>
            </w:r>
          </w:p>
        </w:tc>
        <w:tc>
          <w:tcPr>
            <w:tcW w:w="9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13.6</w:t>
            </w:r>
          </w:p>
        </w:tc>
        <w:tc>
          <w:tcPr>
            <w:tcW w:w="78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ind w:left="160"/>
              <w:spacing w:after="0" w:line="149" w:lineRule="exact"/>
              <w:rPr>
                <w:sz w:val="20"/>
                <w:szCs w:val="20"/>
                <w:color w:val="auto"/>
              </w:rPr>
            </w:pPr>
            <w:r>
              <w:rPr>
                <w:rFonts w:ascii="Arial" w:cs="Arial" w:eastAsia="Arial" w:hAnsi="Arial"/>
                <w:sz w:val="14"/>
                <w:szCs w:val="14"/>
                <w:color w:val="auto"/>
              </w:rPr>
              <w:t>Non Tax Income (% of GDP)</w:t>
            </w: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2.5</w:t>
            </w: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2.5</w:t>
            </w: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3.0</w:t>
            </w: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2.7</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2.1</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2.6</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1.8</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2.6</w:t>
            </w: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Current expenditures (% of GDP)</w:t>
            </w:r>
          </w:p>
        </w:tc>
        <w:tc>
          <w:tcPr>
            <w:tcW w:w="9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12.6</w:t>
            </w:r>
          </w:p>
        </w:tc>
        <w:tc>
          <w:tcPr>
            <w:tcW w:w="9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10.4</w:t>
            </w:r>
          </w:p>
        </w:tc>
        <w:tc>
          <w:tcPr>
            <w:tcW w:w="9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10.5</w:t>
            </w:r>
          </w:p>
        </w:tc>
        <w:tc>
          <w:tcPr>
            <w:tcW w:w="9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16.1</w:t>
            </w:r>
          </w:p>
        </w:tc>
        <w:tc>
          <w:tcPr>
            <w:tcW w:w="8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12.4</w:t>
            </w:r>
          </w:p>
        </w:tc>
        <w:tc>
          <w:tcPr>
            <w:tcW w:w="9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12.4</w:t>
            </w:r>
          </w:p>
        </w:tc>
        <w:tc>
          <w:tcPr>
            <w:tcW w:w="66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11.8</w:t>
            </w:r>
          </w:p>
        </w:tc>
        <w:tc>
          <w:tcPr>
            <w:tcW w:w="220" w:type="dxa"/>
            <w:vAlign w:val="bottom"/>
            <w:shd w:val="clear" w:color="auto" w:fill="CCFFCC"/>
          </w:tcPr>
          <w:p>
            <w:pPr>
              <w:spacing w:after="0"/>
              <w:rPr>
                <w:sz w:val="12"/>
                <w:szCs w:val="12"/>
                <w:color w:val="auto"/>
              </w:rPr>
            </w:pPr>
          </w:p>
        </w:tc>
        <w:tc>
          <w:tcPr>
            <w:tcW w:w="9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10.6</w:t>
            </w:r>
          </w:p>
        </w:tc>
        <w:tc>
          <w:tcPr>
            <w:tcW w:w="78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ind w:left="160"/>
              <w:spacing w:after="0" w:line="149" w:lineRule="exact"/>
              <w:rPr>
                <w:sz w:val="20"/>
                <w:szCs w:val="20"/>
                <w:color w:val="auto"/>
              </w:rPr>
            </w:pPr>
            <w:r>
              <w:rPr>
                <w:rFonts w:ascii="Arial" w:cs="Arial" w:eastAsia="Arial" w:hAnsi="Arial"/>
                <w:sz w:val="14"/>
                <w:szCs w:val="14"/>
                <w:color w:val="auto"/>
              </w:rPr>
              <w:t>Capital expenditures (% of GDPI)</w:t>
            </w: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2.1</w:t>
            </w: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1.1</w:t>
            </w: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1.7</w:t>
            </w: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2.5</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4.2</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2.4</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1.9</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3.7</w:t>
            </w: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Trade Balance (US$ MM)</w:t>
            </w:r>
          </w:p>
        </w:tc>
        <w:tc>
          <w:tcPr>
            <w:tcW w:w="9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8,287</w:t>
            </w:r>
          </w:p>
        </w:tc>
        <w:tc>
          <w:tcPr>
            <w:tcW w:w="9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1,505</w:t>
            </w:r>
          </w:p>
        </w:tc>
        <w:tc>
          <w:tcPr>
            <w:tcW w:w="9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920</w:t>
            </w:r>
          </w:p>
        </w:tc>
        <w:tc>
          <w:tcPr>
            <w:tcW w:w="9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838</w:t>
            </w:r>
          </w:p>
        </w:tc>
        <w:tc>
          <w:tcPr>
            <w:tcW w:w="8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-173</w:t>
            </w:r>
          </w:p>
        </w:tc>
        <w:tc>
          <w:tcPr>
            <w:tcW w:w="9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3,090</w:t>
            </w:r>
          </w:p>
        </w:tc>
        <w:tc>
          <w:tcPr>
            <w:tcW w:w="66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515</w:t>
            </w:r>
          </w:p>
        </w:tc>
        <w:tc>
          <w:tcPr>
            <w:tcW w:w="220" w:type="dxa"/>
            <w:vAlign w:val="bottom"/>
            <w:shd w:val="clear" w:color="auto" w:fill="CCFFCC"/>
          </w:tcPr>
          <w:p>
            <w:pPr>
              <w:spacing w:after="0"/>
              <w:rPr>
                <w:sz w:val="12"/>
                <w:szCs w:val="12"/>
                <w:color w:val="auto"/>
              </w:rPr>
            </w:pPr>
          </w:p>
        </w:tc>
        <w:tc>
          <w:tcPr>
            <w:tcW w:w="9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1,319</w:t>
            </w:r>
          </w:p>
        </w:tc>
        <w:tc>
          <w:tcPr>
            <w:tcW w:w="78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1,746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ind w:left="160"/>
              <w:spacing w:after="0" w:line="149" w:lineRule="exact"/>
              <w:rPr>
                <w:sz w:val="20"/>
                <w:szCs w:val="20"/>
                <w:color w:val="auto"/>
              </w:rPr>
            </w:pPr>
            <w:r>
              <w:rPr>
                <w:rFonts w:ascii="Arial" w:cs="Arial" w:eastAsia="Arial" w:hAnsi="Arial"/>
                <w:sz w:val="14"/>
                <w:szCs w:val="14"/>
                <w:color w:val="auto"/>
              </w:rPr>
              <w:t>Exports (US$ MM)</w:t>
            </w: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27,882</w:t>
            </w: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7,771</w:t>
            </w: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8,470</w:t>
            </w: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8,814</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6,474</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31,529</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5,398</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6,144</w:t>
            </w: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7,072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Imports (US$ MM)</w:t>
            </w:r>
          </w:p>
        </w:tc>
        <w:tc>
          <w:tcPr>
            <w:tcW w:w="9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19,595</w:t>
            </w:r>
          </w:p>
        </w:tc>
        <w:tc>
          <w:tcPr>
            <w:tcW w:w="9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6,265</w:t>
            </w:r>
          </w:p>
        </w:tc>
        <w:tc>
          <w:tcPr>
            <w:tcW w:w="9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7,550</w:t>
            </w:r>
          </w:p>
        </w:tc>
        <w:tc>
          <w:tcPr>
            <w:tcW w:w="9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7,976</w:t>
            </w:r>
          </w:p>
        </w:tc>
        <w:tc>
          <w:tcPr>
            <w:tcW w:w="8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6,648</w:t>
            </w:r>
          </w:p>
        </w:tc>
        <w:tc>
          <w:tcPr>
            <w:tcW w:w="9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28,439</w:t>
            </w:r>
          </w:p>
        </w:tc>
        <w:tc>
          <w:tcPr>
            <w:tcW w:w="8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4,883</w:t>
            </w:r>
          </w:p>
        </w:tc>
        <w:tc>
          <w:tcPr>
            <w:tcW w:w="9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4,826</w:t>
            </w:r>
          </w:p>
        </w:tc>
        <w:tc>
          <w:tcPr>
            <w:tcW w:w="78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5,326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line="149" w:lineRule="exact"/>
              <w:rPr>
                <w:sz w:val="20"/>
                <w:szCs w:val="20"/>
                <w:color w:val="auto"/>
              </w:rPr>
            </w:pPr>
            <w:r>
              <w:rPr>
                <w:rFonts w:ascii="Arial" w:cs="Arial" w:eastAsia="Arial" w:hAnsi="Arial"/>
                <w:sz w:val="14"/>
                <w:szCs w:val="14"/>
                <w:color w:val="auto"/>
              </w:rPr>
              <w:t>Current Account Balance (US$ MM)</w:t>
            </w: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1,220</w:t>
            </w: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-848</w:t>
            </w: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-1,581</w:t>
            </w: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-993</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-757</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-4,180</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-392</w:t>
            </w:r>
          </w:p>
        </w:tc>
        <w:tc>
          <w:tcPr>
            <w:tcW w:w="22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-33</w:t>
            </w: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152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Current Account Balance (% of GDP)</w:t>
            </w:r>
          </w:p>
        </w:tc>
        <w:tc>
          <w:tcPr>
            <w:tcW w:w="9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1.1</w:t>
            </w:r>
          </w:p>
        </w:tc>
        <w:tc>
          <w:tcPr>
            <w:tcW w:w="9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-2.8</w:t>
            </w:r>
          </w:p>
        </w:tc>
        <w:tc>
          <w:tcPr>
            <w:tcW w:w="9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-4.5</w:t>
            </w:r>
          </w:p>
        </w:tc>
        <w:tc>
          <w:tcPr>
            <w:tcW w:w="9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-3.1</w:t>
            </w:r>
          </w:p>
        </w:tc>
        <w:tc>
          <w:tcPr>
            <w:tcW w:w="8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-2.5</w:t>
            </w:r>
          </w:p>
        </w:tc>
        <w:tc>
          <w:tcPr>
            <w:tcW w:w="9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-3.3</w:t>
            </w:r>
          </w:p>
        </w:tc>
        <w:tc>
          <w:tcPr>
            <w:tcW w:w="8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-1.4</w:t>
            </w:r>
          </w:p>
        </w:tc>
        <w:tc>
          <w:tcPr>
            <w:tcW w:w="9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-0.1</w:t>
            </w:r>
          </w:p>
        </w:tc>
        <w:tc>
          <w:tcPr>
            <w:tcW w:w="78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bl>
    <w:p>
      <w:pPr>
        <w:spacing w:after="0" w:line="3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60"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6254750</wp:posOffset>
            </wp:positionH>
            <wp:positionV relativeFrom="page">
              <wp:posOffset>337820</wp:posOffset>
            </wp:positionV>
            <wp:extent cx="1149350" cy="3175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clrChange>
                        <a:clrFrom>
                          <a:srgbClr val="FFFFFF"/>
                        </a:clrFrom>
                        <a:clrTo>
                          <a:srgbClr val="FFFFFF">
                            <a:alpha val="0"/>
                          </a:srgbClr>
                        </a:clrTo>
                      </a:clrChange>
                      <a:extLst>
                        <a:ext uri="{28A0092B-C50C-407E-A947-70E740481C1C}"/>
                      </a:extLst>
                    </a:blip>
                    <a:srcRect/>
                    <a:stretch>
                      <a:fillRect/>
                    </a:stretch>
                  </pic:blipFill>
                  <pic:spPr bwMode="auto">
                    <a:xfrm>
                      <a:off x="0" y="0"/>
                      <a:ext cx="1149350" cy="317500"/>
                    </a:xfrm>
                    <a:prstGeom prst="rect">
                      <a:avLst/>
                    </a:prstGeom>
                    <a:noFill/>
                  </pic:spPr>
                </pic:pic>
              </a:graphicData>
            </a:graphic>
          </wp:anchor>
        </w:drawing>
        <w:t>Company Description:</w:t>
      </w:r>
    </w:p>
    <w:p>
      <w:pPr>
        <w:spacing w:after="0" w:line="25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Credicorp Ltd. (NYSE: BAP) is the leading financial services holding company in Peru. It primarily operates via its four principal Subsidiaries: Banco de Credito del Peru (BCP), Atlantic Security Holding Corporation (ASHC), El Pacífico-Peruano Suiza Compañía de Seguros y Reaseguros (PPS) and Grupo Credito. Credicorp is engaged principally in commercial banking (including trade finance, corporate finance and leasing services), insurance (including commercial property, transportation and marine hull, automobile, life, health and pension fund underwriting insurance) and investment banking (including brokerage services, asset management, trust, custody and securitization services, trading and investment). BCP is the Company's primary subsidiary.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Safe Harbor for Forward-Looking Statements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material includes “forward-looking statements” within the meaning of Section 21E of the Securities Exchange Act of 1934. All statements other than statements of historical information provided herein are forward-looking and may contain information about financial results, economic conditions, trends and known uncertainties.</w:t>
      </w:r>
    </w:p>
    <w:p>
      <w:pPr>
        <w:spacing w:after="0" w:line="20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cautions readers that actual results could differ materially from those expected by the Company, depending on the outcome of certain factors, including, without limitation: (1) adverse changes in the Peruvian economy with respect to the rates of inflation, economic growth, currency devaluation, and other factors, (2) adverse changes in the Peruvian political situation, including, without limitation, the reversal of market-oriented reforms and economic recovery measures, or the failure of such measures and reforms to achieve their goals, and (3) adverse changes in the markets in which the Company operates, including increased competition, decreased demand for financial services, and other factors. Readers are cautioned not to place undue reliance on these forward-looking statements, which speak only as of the date hereof.</w:t>
      </w:r>
    </w:p>
    <w:p>
      <w:pPr>
        <w:spacing w:after="0" w:line="20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undertakes no obligation to release publicly the result of any revisions to these forward-looking statements which may be made to reflect events or circumstances after the date hereof, including, without limitation, changes in the Company’s business strategy or planned capital expenditures, or to reflect the occurrence of unanticipated events.</w:t>
      </w:r>
    </w:p>
    <w:p>
      <w:pPr>
        <w:spacing w:after="0" w:line="35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60" w:right="2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6254750</wp:posOffset>
            </wp:positionH>
            <wp:positionV relativeFrom="page">
              <wp:posOffset>337820</wp:posOffset>
            </wp:positionV>
            <wp:extent cx="1149350" cy="3175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clrChange>
                        <a:clrFrom>
                          <a:srgbClr val="FFFFFF"/>
                        </a:clrFrom>
                        <a:clrTo>
                          <a:srgbClr val="FFFFFF">
                            <a:alpha val="0"/>
                          </a:srgbClr>
                        </a:clrTo>
                      </a:clrChange>
                      <a:extLst>
                        <a:ext uri="{28A0092B-C50C-407E-A947-70E740481C1C}"/>
                      </a:extLst>
                    </a:blip>
                    <a:srcRect/>
                    <a:stretch>
                      <a:fillRect/>
                    </a:stretch>
                  </pic:blipFill>
                  <pic:spPr bwMode="auto">
                    <a:xfrm>
                      <a:off x="0" y="0"/>
                      <a:ext cx="1149350" cy="317500"/>
                    </a:xfrm>
                    <a:prstGeom prst="rect">
                      <a:avLst/>
                    </a:prstGeom>
                    <a:noFill/>
                  </pic:spPr>
                </pic:pic>
              </a:graphicData>
            </a:graphic>
          </wp:anchor>
        </w:drawing>
        <w:t>CREDICORP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US$ thousands, IFRS)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right"/>
              <w:ind w:right="600"/>
              <w:spacing w:after="0"/>
              <w:rPr>
                <w:sz w:val="20"/>
                <w:szCs w:val="20"/>
                <w:color w:val="auto"/>
              </w:rPr>
            </w:pPr>
            <w:r>
              <w:rPr>
                <w:rFonts w:ascii="Arial" w:cs="Arial" w:eastAsia="Arial" w:hAnsi="Arial"/>
                <w:sz w:val="16"/>
                <w:szCs w:val="16"/>
                <w:b w:val="1"/>
                <w:bCs w:val="1"/>
                <w:color w:val="auto"/>
              </w:rPr>
              <w:t>As of</w:t>
            </w: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720" w:type="dxa"/>
            <w:vAlign w:val="bottom"/>
            <w:gridSpan w:val="5"/>
          </w:tcPr>
          <w:p>
            <w:pPr>
              <w:jc w:val="right"/>
              <w:ind w:right="1080"/>
              <w:spacing w:after="0"/>
              <w:rPr>
                <w:sz w:val="20"/>
                <w:szCs w:val="20"/>
                <w:color w:val="auto"/>
              </w:rPr>
            </w:pPr>
            <w:r>
              <w:rPr>
                <w:rFonts w:ascii="Arial" w:cs="Arial" w:eastAsia="Arial" w:hAnsi="Arial"/>
                <w:sz w:val="16"/>
                <w:szCs w:val="16"/>
                <w:b w:val="1"/>
                <w:bCs w:val="1"/>
                <w:color w:val="auto"/>
              </w:rPr>
              <w:t>Change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1360" w:type="dxa"/>
            <w:vAlign w:val="bottom"/>
            <w:tcBorders>
              <w:top w:val="single" w:sz="8" w:color="auto"/>
            </w:tcBorders>
            <w:gridSpan w:val="2"/>
          </w:tcPr>
          <w:p>
            <w:pPr>
              <w:jc w:val="right"/>
              <w:ind w:right="560"/>
              <w:spacing w:after="0"/>
              <w:rPr>
                <w:sz w:val="20"/>
                <w:szCs w:val="20"/>
                <w:color w:val="auto"/>
              </w:rPr>
            </w:pPr>
            <w:r>
              <w:rPr>
                <w:rFonts w:ascii="Arial" w:cs="Arial" w:eastAsia="Arial" w:hAnsi="Arial"/>
                <w:sz w:val="16"/>
                <w:szCs w:val="16"/>
                <w:b w:val="1"/>
                <w:bCs w:val="1"/>
                <w:color w:val="auto"/>
              </w:rPr>
              <w:t>Dec 09</w:t>
            </w:r>
          </w:p>
        </w:tc>
        <w:tc>
          <w:tcPr>
            <w:tcW w:w="1340" w:type="dxa"/>
            <w:vAlign w:val="bottom"/>
            <w:tcBorders>
              <w:top w:val="single" w:sz="8" w:color="auto"/>
            </w:tcBorders>
            <w:gridSpan w:val="2"/>
          </w:tcPr>
          <w:p>
            <w:pPr>
              <w:jc w:val="right"/>
              <w:ind w:right="540"/>
              <w:spacing w:after="0"/>
              <w:rPr>
                <w:sz w:val="20"/>
                <w:szCs w:val="20"/>
                <w:color w:val="auto"/>
              </w:rPr>
            </w:pPr>
            <w:r>
              <w:rPr>
                <w:rFonts w:ascii="Arial" w:cs="Arial" w:eastAsia="Arial" w:hAnsi="Arial"/>
                <w:sz w:val="16"/>
                <w:szCs w:val="16"/>
                <w:b w:val="1"/>
                <w:bCs w:val="1"/>
                <w:color w:val="auto"/>
              </w:rPr>
              <w:t>Sep 09</w:t>
            </w:r>
          </w:p>
        </w:tc>
        <w:tc>
          <w:tcPr>
            <w:tcW w:w="1140" w:type="dxa"/>
            <w:vAlign w:val="bottom"/>
            <w:tcBorders>
              <w:top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Dec 08</w:t>
            </w:r>
          </w:p>
        </w:tc>
        <w:tc>
          <w:tcPr>
            <w:tcW w:w="220" w:type="dxa"/>
            <w:vAlign w:val="bottom"/>
          </w:tcPr>
          <w:p>
            <w:pPr>
              <w:spacing w:after="0"/>
              <w:rPr>
                <w:sz w:val="18"/>
                <w:szCs w:val="18"/>
                <w:color w:val="auto"/>
              </w:rPr>
            </w:pPr>
          </w:p>
        </w:tc>
        <w:tc>
          <w:tcPr>
            <w:tcW w:w="1400" w:type="dxa"/>
            <w:vAlign w:val="bottom"/>
            <w:tcBorders>
              <w:top w:val="single" w:sz="8" w:color="auto"/>
            </w:tcBorders>
            <w:gridSpan w:val="2"/>
          </w:tcPr>
          <w:p>
            <w:pPr>
              <w:jc w:val="right"/>
              <w:ind w:right="340"/>
              <w:spacing w:after="0"/>
              <w:rPr>
                <w:sz w:val="20"/>
                <w:szCs w:val="20"/>
                <w:color w:val="auto"/>
              </w:rPr>
            </w:pPr>
            <w:r>
              <w:rPr>
                <w:rFonts w:ascii="Arial" w:cs="Arial" w:eastAsia="Arial" w:hAnsi="Arial"/>
                <w:sz w:val="16"/>
                <w:szCs w:val="16"/>
                <w:b w:val="1"/>
                <w:bCs w:val="1"/>
                <w:color w:val="auto"/>
                <w:w w:val="96"/>
              </w:rPr>
              <w:t>Dec 09/Dec 08</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96"/>
              </w:rPr>
              <w:t>Dec 09/Sep 09</w:t>
            </w:r>
          </w:p>
        </w:tc>
        <w:tc>
          <w:tcPr>
            <w:tcW w:w="1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4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40" w:type="dxa"/>
            <w:vAlign w:val="bottom"/>
            <w:shd w:val="clear" w:color="auto" w:fill="CCFFCC"/>
          </w:tcPr>
          <w:p>
            <w:pPr>
              <w:jc w:val="center"/>
              <w:ind w:right="39"/>
              <w:spacing w:after="0"/>
              <w:rPr>
                <w:sz w:val="20"/>
                <w:szCs w:val="20"/>
                <w:color w:val="auto"/>
              </w:rPr>
            </w:pPr>
            <w:r>
              <w:rPr>
                <w:rFonts w:ascii="Arial" w:cs="Arial" w:eastAsia="Arial" w:hAnsi="Arial"/>
                <w:sz w:val="16"/>
                <w:szCs w:val="16"/>
                <w:b w:val="1"/>
                <w:bCs w:val="1"/>
                <w:color w:val="auto"/>
                <w:w w:val="83"/>
              </w:rPr>
              <w:t>Assets</w:t>
            </w:r>
          </w:p>
        </w:tc>
        <w:tc>
          <w:tcPr>
            <w:tcW w:w="114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14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114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14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114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40" w:type="dxa"/>
            <w:vAlign w:val="bottom"/>
          </w:tcPr>
          <w:p>
            <w:pPr>
              <w:spacing w:after="0"/>
              <w:rPr>
                <w:sz w:val="20"/>
                <w:szCs w:val="20"/>
                <w:color w:val="auto"/>
              </w:rPr>
            </w:pPr>
            <w:r>
              <w:rPr>
                <w:rFonts w:ascii="Arial" w:cs="Arial" w:eastAsia="Arial" w:hAnsi="Arial"/>
                <w:sz w:val="16"/>
                <w:szCs w:val="16"/>
                <w:b w:val="1"/>
                <w:bCs w:val="1"/>
                <w:color w:val="auto"/>
              </w:rPr>
              <w:t>Cash and due from banks</w:t>
            </w: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40" w:type="dxa"/>
            <w:vAlign w:val="bottom"/>
            <w:shd w:val="clear" w:color="auto" w:fill="CCFFCC"/>
          </w:tcPr>
          <w:p>
            <w:pPr>
              <w:ind w:left="320"/>
              <w:spacing w:after="0"/>
              <w:rPr>
                <w:sz w:val="20"/>
                <w:szCs w:val="20"/>
                <w:color w:val="auto"/>
              </w:rPr>
            </w:pPr>
            <w:r>
              <w:rPr>
                <w:rFonts w:ascii="Arial" w:cs="Arial" w:eastAsia="Arial" w:hAnsi="Arial"/>
                <w:sz w:val="16"/>
                <w:szCs w:val="16"/>
                <w:color w:val="auto"/>
              </w:rPr>
              <w:t>Non-interest bearing</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928,930</w:t>
            </w:r>
          </w:p>
        </w:tc>
        <w:tc>
          <w:tcPr>
            <w:tcW w:w="1340" w:type="dxa"/>
            <w:vAlign w:val="bottom"/>
            <w:gridSpan w:val="2"/>
            <w:shd w:val="clear" w:color="auto" w:fill="CCFFCC"/>
          </w:tcPr>
          <w:p>
            <w:pPr>
              <w:jc w:val="right"/>
              <w:ind w:right="200"/>
              <w:spacing w:after="0"/>
              <w:rPr>
                <w:sz w:val="20"/>
                <w:szCs w:val="20"/>
                <w:color w:val="auto"/>
              </w:rPr>
            </w:pPr>
            <w:r>
              <w:rPr>
                <w:rFonts w:ascii="Arial" w:cs="Arial" w:eastAsia="Arial" w:hAnsi="Arial"/>
                <w:sz w:val="16"/>
                <w:szCs w:val="16"/>
                <w:color w:val="auto"/>
              </w:rPr>
              <w:t>754,875</w:t>
            </w:r>
          </w:p>
        </w:tc>
        <w:tc>
          <w:tcPr>
            <w:tcW w:w="11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2,655,820</w:t>
            </w:r>
          </w:p>
        </w:tc>
        <w:tc>
          <w:tcPr>
            <w:tcW w:w="220" w:type="dxa"/>
            <w:vAlign w:val="bottom"/>
            <w:shd w:val="clear" w:color="auto" w:fill="CCFFCC"/>
          </w:tcPr>
          <w:p>
            <w:pPr>
              <w:spacing w:after="0"/>
              <w:rPr>
                <w:sz w:val="17"/>
                <w:szCs w:val="17"/>
                <w:color w:val="auto"/>
              </w:rPr>
            </w:pPr>
          </w:p>
        </w:tc>
        <w:tc>
          <w:tcPr>
            <w:tcW w:w="1400" w:type="dxa"/>
            <w:vAlign w:val="bottom"/>
            <w:gridSpan w:val="2"/>
            <w:shd w:val="clear" w:color="auto" w:fill="CCFFCC"/>
          </w:tcPr>
          <w:p>
            <w:pPr>
              <w:jc w:val="right"/>
              <w:ind w:right="140"/>
              <w:spacing w:after="0"/>
              <w:rPr>
                <w:sz w:val="20"/>
                <w:szCs w:val="20"/>
                <w:color w:val="auto"/>
              </w:rPr>
            </w:pPr>
            <w:r>
              <w:rPr>
                <w:rFonts w:ascii="Arial" w:cs="Arial" w:eastAsia="Arial" w:hAnsi="Arial"/>
                <w:sz w:val="16"/>
                <w:szCs w:val="16"/>
                <w:color w:val="auto"/>
              </w:rPr>
              <w:t>-65.0%</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6"/>
                <w:szCs w:val="16"/>
                <w:color w:val="auto"/>
              </w:rPr>
              <w:t>23.1%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40" w:type="dxa"/>
            <w:vAlign w:val="bottom"/>
          </w:tcPr>
          <w:p>
            <w:pPr>
              <w:ind w:left="320"/>
              <w:spacing w:after="0"/>
              <w:rPr>
                <w:sz w:val="20"/>
                <w:szCs w:val="20"/>
                <w:color w:val="auto"/>
              </w:rPr>
            </w:pPr>
            <w:r>
              <w:rPr>
                <w:rFonts w:ascii="Arial" w:cs="Arial" w:eastAsia="Arial" w:hAnsi="Arial"/>
                <w:sz w:val="16"/>
                <w:szCs w:val="16"/>
                <w:color w:val="auto"/>
              </w:rPr>
              <w:t>Interest bearing</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2,898,172</w:t>
            </w: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2,732,677</w:t>
            </w:r>
          </w:p>
        </w:tc>
        <w:tc>
          <w:tcPr>
            <w:tcW w:w="1140" w:type="dxa"/>
            <w:vAlign w:val="bottom"/>
          </w:tcPr>
          <w:p>
            <w:pPr>
              <w:jc w:val="right"/>
              <w:spacing w:after="0"/>
              <w:rPr>
                <w:sz w:val="20"/>
                <w:szCs w:val="20"/>
                <w:color w:val="auto"/>
              </w:rPr>
            </w:pPr>
            <w:r>
              <w:rPr>
                <w:rFonts w:ascii="Arial" w:cs="Arial" w:eastAsia="Arial" w:hAnsi="Arial"/>
                <w:sz w:val="16"/>
                <w:szCs w:val="16"/>
                <w:color w:val="auto"/>
              </w:rPr>
              <w:t>1,107,181</w:t>
            </w:r>
          </w:p>
        </w:tc>
        <w:tc>
          <w:tcPr>
            <w:tcW w:w="220" w:type="dxa"/>
            <w:vAlign w:val="bottom"/>
          </w:tcPr>
          <w:p>
            <w:pPr>
              <w:spacing w:after="0"/>
              <w:rPr>
                <w:sz w:val="17"/>
                <w:szCs w:val="17"/>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6"/>
                <w:szCs w:val="16"/>
                <w:color w:val="auto"/>
              </w:rPr>
              <w:t>161.8%</w:t>
            </w:r>
          </w:p>
        </w:tc>
        <w:tc>
          <w:tcPr>
            <w:tcW w:w="1300" w:type="dxa"/>
            <w:vAlign w:val="bottom"/>
            <w:gridSpan w:val="2"/>
          </w:tcPr>
          <w:p>
            <w:pPr>
              <w:jc w:val="right"/>
              <w:ind w:right="20"/>
              <w:spacing w:after="0"/>
              <w:rPr>
                <w:sz w:val="20"/>
                <w:szCs w:val="20"/>
                <w:color w:val="auto"/>
              </w:rPr>
            </w:pPr>
            <w:r>
              <w:rPr>
                <w:rFonts w:ascii="Arial" w:cs="Arial" w:eastAsia="Arial" w:hAnsi="Arial"/>
                <w:sz w:val="16"/>
                <w:szCs w:val="16"/>
                <w:color w:val="auto"/>
              </w:rPr>
              <w:t>6.1%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40" w:type="dxa"/>
            <w:vAlign w:val="bottom"/>
            <w:shd w:val="clear" w:color="auto" w:fill="CCFFCC"/>
          </w:tcPr>
          <w:p>
            <w:pPr>
              <w:ind w:left="640"/>
              <w:spacing w:after="0"/>
              <w:rPr>
                <w:sz w:val="20"/>
                <w:szCs w:val="20"/>
                <w:color w:val="auto"/>
              </w:rPr>
            </w:pPr>
            <w:r>
              <w:rPr>
                <w:rFonts w:ascii="Arial" w:cs="Arial" w:eastAsia="Arial" w:hAnsi="Arial"/>
                <w:sz w:val="16"/>
                <w:szCs w:val="16"/>
                <w:b w:val="1"/>
                <w:bCs w:val="1"/>
                <w:color w:val="auto"/>
              </w:rPr>
              <w:t>Total cash and due from banks</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6"/>
                <w:szCs w:val="16"/>
                <w:b w:val="1"/>
                <w:bCs w:val="1"/>
                <w:color w:val="auto"/>
              </w:rPr>
              <w:t>3,827,102</w:t>
            </w:r>
          </w:p>
        </w:tc>
        <w:tc>
          <w:tcPr>
            <w:tcW w:w="1340" w:type="dxa"/>
            <w:vAlign w:val="bottom"/>
            <w:gridSpan w:val="2"/>
            <w:shd w:val="clear" w:color="auto" w:fill="CCFFCC"/>
          </w:tcPr>
          <w:p>
            <w:pPr>
              <w:jc w:val="right"/>
              <w:ind w:right="200"/>
              <w:spacing w:after="0"/>
              <w:rPr>
                <w:sz w:val="20"/>
                <w:szCs w:val="20"/>
                <w:color w:val="auto"/>
              </w:rPr>
            </w:pPr>
            <w:r>
              <w:rPr>
                <w:rFonts w:ascii="Arial" w:cs="Arial" w:eastAsia="Arial" w:hAnsi="Arial"/>
                <w:sz w:val="16"/>
                <w:szCs w:val="16"/>
                <w:b w:val="1"/>
                <w:bCs w:val="1"/>
                <w:color w:val="auto"/>
              </w:rPr>
              <w:t>3,487,551</w:t>
            </w:r>
          </w:p>
        </w:tc>
        <w:tc>
          <w:tcPr>
            <w:tcW w:w="1140" w:type="dxa"/>
            <w:vAlign w:val="bottom"/>
            <w:shd w:val="clear" w:color="auto" w:fill="CCFFCC"/>
          </w:tcPr>
          <w:p>
            <w:pPr>
              <w:jc w:val="right"/>
              <w:spacing w:after="0"/>
              <w:rPr>
                <w:sz w:val="20"/>
                <w:szCs w:val="20"/>
                <w:color w:val="auto"/>
              </w:rPr>
            </w:pPr>
            <w:r>
              <w:rPr>
                <w:rFonts w:ascii="Arial" w:cs="Arial" w:eastAsia="Arial" w:hAnsi="Arial"/>
                <w:sz w:val="16"/>
                <w:szCs w:val="16"/>
                <w:b w:val="1"/>
                <w:bCs w:val="1"/>
                <w:color w:val="auto"/>
              </w:rPr>
              <w:t>3,763,001</w:t>
            </w:r>
          </w:p>
        </w:tc>
        <w:tc>
          <w:tcPr>
            <w:tcW w:w="220" w:type="dxa"/>
            <w:vAlign w:val="bottom"/>
            <w:shd w:val="clear" w:color="auto" w:fill="CCFFCC"/>
          </w:tcPr>
          <w:p>
            <w:pPr>
              <w:spacing w:after="0"/>
              <w:rPr>
                <w:sz w:val="17"/>
                <w:szCs w:val="17"/>
                <w:color w:val="auto"/>
              </w:rPr>
            </w:pPr>
          </w:p>
        </w:tc>
        <w:tc>
          <w:tcPr>
            <w:tcW w:w="1400" w:type="dxa"/>
            <w:vAlign w:val="bottom"/>
            <w:gridSpan w:val="2"/>
            <w:shd w:val="clear" w:color="auto" w:fill="CCFFCC"/>
          </w:tcPr>
          <w:p>
            <w:pPr>
              <w:jc w:val="right"/>
              <w:ind w:right="100"/>
              <w:spacing w:after="0"/>
              <w:rPr>
                <w:sz w:val="20"/>
                <w:szCs w:val="20"/>
                <w:color w:val="auto"/>
              </w:rPr>
            </w:pPr>
            <w:r>
              <w:rPr>
                <w:rFonts w:ascii="Arial" w:cs="Arial" w:eastAsia="Arial" w:hAnsi="Arial"/>
                <w:sz w:val="16"/>
                <w:szCs w:val="16"/>
                <w:b w:val="1"/>
                <w:bCs w:val="1"/>
                <w:color w:val="auto"/>
              </w:rPr>
              <w:t>1.7%</w:t>
            </w:r>
          </w:p>
        </w:tc>
        <w:tc>
          <w:tcPr>
            <w:tcW w:w="1300" w:type="dxa"/>
            <w:vAlign w:val="bottom"/>
            <w:gridSpan w:val="2"/>
            <w:shd w:val="clear" w:color="auto" w:fill="CCFFCC"/>
          </w:tcPr>
          <w:p>
            <w:pPr>
              <w:jc w:val="right"/>
              <w:spacing w:after="0"/>
              <w:rPr>
                <w:sz w:val="20"/>
                <w:szCs w:val="20"/>
                <w:color w:val="auto"/>
              </w:rPr>
            </w:pPr>
            <w:r>
              <w:rPr>
                <w:rFonts w:ascii="Arial" w:cs="Arial" w:eastAsia="Arial" w:hAnsi="Arial"/>
                <w:sz w:val="16"/>
                <w:szCs w:val="16"/>
                <w:b w:val="1"/>
                <w:bCs w:val="1"/>
                <w:color w:val="auto"/>
              </w:rPr>
              <w:t>9.7%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46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640" w:type="dxa"/>
            <w:vAlign w:val="bottom"/>
            <w:shd w:val="clear" w:color="auto" w:fill="CCFFCC"/>
          </w:tcPr>
          <w:p>
            <w:pPr>
              <w:spacing w:after="0"/>
              <w:rPr>
                <w:sz w:val="20"/>
                <w:szCs w:val="20"/>
                <w:color w:val="auto"/>
              </w:rPr>
            </w:pPr>
            <w:r>
              <w:rPr>
                <w:rFonts w:ascii="Arial" w:cs="Arial" w:eastAsia="Arial" w:hAnsi="Arial"/>
                <w:sz w:val="16"/>
                <w:szCs w:val="16"/>
                <w:b w:val="1"/>
                <w:bCs w:val="1"/>
                <w:color w:val="auto"/>
              </w:rPr>
              <w:t>Marketable securities, net</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6"/>
                <w:szCs w:val="16"/>
                <w:b w:val="1"/>
                <w:bCs w:val="1"/>
                <w:color w:val="auto"/>
              </w:rPr>
              <w:t>70,318</w:t>
            </w:r>
          </w:p>
        </w:tc>
        <w:tc>
          <w:tcPr>
            <w:tcW w:w="1340" w:type="dxa"/>
            <w:vAlign w:val="bottom"/>
            <w:gridSpan w:val="2"/>
            <w:shd w:val="clear" w:color="auto" w:fill="CCFFCC"/>
          </w:tcPr>
          <w:p>
            <w:pPr>
              <w:jc w:val="right"/>
              <w:ind w:right="200"/>
              <w:spacing w:after="0"/>
              <w:rPr>
                <w:sz w:val="20"/>
                <w:szCs w:val="20"/>
                <w:color w:val="auto"/>
              </w:rPr>
            </w:pPr>
            <w:r>
              <w:rPr>
                <w:rFonts w:ascii="Arial" w:cs="Arial" w:eastAsia="Arial" w:hAnsi="Arial"/>
                <w:sz w:val="16"/>
                <w:szCs w:val="16"/>
                <w:b w:val="1"/>
                <w:bCs w:val="1"/>
                <w:color w:val="auto"/>
              </w:rPr>
              <w:t>89,718</w:t>
            </w:r>
          </w:p>
        </w:tc>
        <w:tc>
          <w:tcPr>
            <w:tcW w:w="1140" w:type="dxa"/>
            <w:vAlign w:val="bottom"/>
            <w:shd w:val="clear" w:color="auto" w:fill="CCFFCC"/>
          </w:tcPr>
          <w:p>
            <w:pPr>
              <w:jc w:val="right"/>
              <w:spacing w:after="0"/>
              <w:rPr>
                <w:sz w:val="20"/>
                <w:szCs w:val="20"/>
                <w:color w:val="auto"/>
              </w:rPr>
            </w:pPr>
            <w:r>
              <w:rPr>
                <w:rFonts w:ascii="Arial" w:cs="Arial" w:eastAsia="Arial" w:hAnsi="Arial"/>
                <w:sz w:val="16"/>
                <w:szCs w:val="16"/>
                <w:b w:val="1"/>
                <w:bCs w:val="1"/>
                <w:color w:val="auto"/>
              </w:rPr>
              <w:t>36,084</w:t>
            </w:r>
          </w:p>
        </w:tc>
        <w:tc>
          <w:tcPr>
            <w:tcW w:w="220" w:type="dxa"/>
            <w:vAlign w:val="bottom"/>
            <w:shd w:val="clear" w:color="auto" w:fill="CCFFCC"/>
          </w:tcPr>
          <w:p>
            <w:pPr>
              <w:spacing w:after="0"/>
              <w:rPr>
                <w:sz w:val="17"/>
                <w:szCs w:val="17"/>
                <w:color w:val="auto"/>
              </w:rPr>
            </w:pPr>
          </w:p>
        </w:tc>
        <w:tc>
          <w:tcPr>
            <w:tcW w:w="1400" w:type="dxa"/>
            <w:vAlign w:val="bottom"/>
            <w:gridSpan w:val="2"/>
            <w:shd w:val="clear" w:color="auto" w:fill="CCFFCC"/>
          </w:tcPr>
          <w:p>
            <w:pPr>
              <w:jc w:val="right"/>
              <w:ind w:right="100"/>
              <w:spacing w:after="0"/>
              <w:rPr>
                <w:sz w:val="20"/>
                <w:szCs w:val="20"/>
                <w:color w:val="auto"/>
              </w:rPr>
            </w:pPr>
            <w:r>
              <w:rPr>
                <w:rFonts w:ascii="Arial" w:cs="Arial" w:eastAsia="Arial" w:hAnsi="Arial"/>
                <w:sz w:val="16"/>
                <w:szCs w:val="16"/>
                <w:b w:val="1"/>
                <w:bCs w:val="1"/>
                <w:color w:val="auto"/>
              </w:rPr>
              <w:t>94.9%</w:t>
            </w:r>
          </w:p>
        </w:tc>
        <w:tc>
          <w:tcPr>
            <w:tcW w:w="1300" w:type="dxa"/>
            <w:vAlign w:val="bottom"/>
            <w:gridSpan w:val="2"/>
            <w:shd w:val="clear" w:color="auto" w:fill="CCFFCC"/>
          </w:tcPr>
          <w:p>
            <w:pPr>
              <w:jc w:val="right"/>
              <w:spacing w:after="0"/>
              <w:rPr>
                <w:sz w:val="20"/>
                <w:szCs w:val="20"/>
                <w:color w:val="auto"/>
              </w:rPr>
            </w:pPr>
            <w:r>
              <w:rPr>
                <w:rFonts w:ascii="Arial" w:cs="Arial" w:eastAsia="Arial" w:hAnsi="Arial"/>
                <w:sz w:val="16"/>
                <w:szCs w:val="16"/>
                <w:b w:val="1"/>
                <w:bCs w:val="1"/>
                <w:color w:val="auto"/>
              </w:rPr>
              <w:t>-21.6%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46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640" w:type="dxa"/>
            <w:vAlign w:val="bottom"/>
            <w:shd w:val="clear" w:color="auto" w:fill="CCFFCC"/>
          </w:tcPr>
          <w:p>
            <w:pPr>
              <w:spacing w:after="0"/>
              <w:rPr>
                <w:sz w:val="20"/>
                <w:szCs w:val="20"/>
                <w:color w:val="auto"/>
              </w:rPr>
            </w:pPr>
            <w:r>
              <w:rPr>
                <w:rFonts w:ascii="Arial" w:cs="Arial" w:eastAsia="Arial" w:hAnsi="Arial"/>
                <w:sz w:val="16"/>
                <w:szCs w:val="16"/>
                <w:b w:val="1"/>
                <w:bCs w:val="1"/>
                <w:color w:val="auto"/>
              </w:rPr>
              <w:t>Loans</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6"/>
                <w:szCs w:val="16"/>
                <w:b w:val="1"/>
                <w:bCs w:val="1"/>
                <w:color w:val="auto"/>
              </w:rPr>
              <w:t>11,594,918</w:t>
            </w:r>
          </w:p>
        </w:tc>
        <w:tc>
          <w:tcPr>
            <w:tcW w:w="1340" w:type="dxa"/>
            <w:vAlign w:val="bottom"/>
            <w:gridSpan w:val="2"/>
            <w:shd w:val="clear" w:color="auto" w:fill="CCFFCC"/>
          </w:tcPr>
          <w:p>
            <w:pPr>
              <w:jc w:val="right"/>
              <w:ind w:right="200"/>
              <w:spacing w:after="0"/>
              <w:rPr>
                <w:sz w:val="20"/>
                <w:szCs w:val="20"/>
                <w:color w:val="auto"/>
              </w:rPr>
            </w:pPr>
            <w:r>
              <w:rPr>
                <w:rFonts w:ascii="Arial" w:cs="Arial" w:eastAsia="Arial" w:hAnsi="Arial"/>
                <w:sz w:val="16"/>
                <w:szCs w:val="16"/>
                <w:b w:val="1"/>
                <w:bCs w:val="1"/>
                <w:color w:val="auto"/>
              </w:rPr>
              <w:t>10,675,462</w:t>
            </w:r>
          </w:p>
        </w:tc>
        <w:tc>
          <w:tcPr>
            <w:tcW w:w="1140" w:type="dxa"/>
            <w:vAlign w:val="bottom"/>
            <w:shd w:val="clear" w:color="auto" w:fill="CCFFCC"/>
          </w:tcPr>
          <w:p>
            <w:pPr>
              <w:jc w:val="right"/>
              <w:spacing w:after="0"/>
              <w:rPr>
                <w:sz w:val="20"/>
                <w:szCs w:val="20"/>
                <w:color w:val="auto"/>
              </w:rPr>
            </w:pPr>
            <w:r>
              <w:rPr>
                <w:rFonts w:ascii="Arial" w:cs="Arial" w:eastAsia="Arial" w:hAnsi="Arial"/>
                <w:sz w:val="16"/>
                <w:szCs w:val="16"/>
                <w:b w:val="1"/>
                <w:bCs w:val="1"/>
                <w:color w:val="auto"/>
              </w:rPr>
              <w:t>10,546,378</w:t>
            </w:r>
          </w:p>
        </w:tc>
        <w:tc>
          <w:tcPr>
            <w:tcW w:w="220" w:type="dxa"/>
            <w:vAlign w:val="bottom"/>
            <w:shd w:val="clear" w:color="auto" w:fill="CCFFCC"/>
          </w:tcPr>
          <w:p>
            <w:pPr>
              <w:spacing w:after="0"/>
              <w:rPr>
                <w:sz w:val="17"/>
                <w:szCs w:val="17"/>
                <w:color w:val="auto"/>
              </w:rPr>
            </w:pPr>
          </w:p>
        </w:tc>
        <w:tc>
          <w:tcPr>
            <w:tcW w:w="1400" w:type="dxa"/>
            <w:vAlign w:val="bottom"/>
            <w:gridSpan w:val="2"/>
            <w:shd w:val="clear" w:color="auto" w:fill="CCFFCC"/>
          </w:tcPr>
          <w:p>
            <w:pPr>
              <w:jc w:val="right"/>
              <w:ind w:right="100"/>
              <w:spacing w:after="0"/>
              <w:rPr>
                <w:sz w:val="20"/>
                <w:szCs w:val="20"/>
                <w:color w:val="auto"/>
              </w:rPr>
            </w:pPr>
            <w:r>
              <w:rPr>
                <w:rFonts w:ascii="Arial" w:cs="Arial" w:eastAsia="Arial" w:hAnsi="Arial"/>
                <w:sz w:val="16"/>
                <w:szCs w:val="16"/>
                <w:b w:val="1"/>
                <w:bCs w:val="1"/>
                <w:color w:val="auto"/>
              </w:rPr>
              <w:t>9.9%</w:t>
            </w:r>
          </w:p>
        </w:tc>
        <w:tc>
          <w:tcPr>
            <w:tcW w:w="1300" w:type="dxa"/>
            <w:vAlign w:val="bottom"/>
            <w:gridSpan w:val="2"/>
            <w:shd w:val="clear" w:color="auto" w:fill="CCFFCC"/>
          </w:tcPr>
          <w:p>
            <w:pPr>
              <w:jc w:val="right"/>
              <w:spacing w:after="0"/>
              <w:rPr>
                <w:sz w:val="20"/>
                <w:szCs w:val="20"/>
                <w:color w:val="auto"/>
              </w:rPr>
            </w:pPr>
            <w:r>
              <w:rPr>
                <w:rFonts w:ascii="Arial" w:cs="Arial" w:eastAsia="Arial" w:hAnsi="Arial"/>
                <w:sz w:val="16"/>
                <w:szCs w:val="16"/>
                <w:b w:val="1"/>
                <w:bCs w:val="1"/>
                <w:color w:val="auto"/>
              </w:rPr>
              <w:t>8.6%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40" w:type="dxa"/>
            <w:vAlign w:val="bottom"/>
          </w:tcPr>
          <w:p>
            <w:pPr>
              <w:ind w:left="320"/>
              <w:spacing w:after="0"/>
              <w:rPr>
                <w:sz w:val="20"/>
                <w:szCs w:val="20"/>
                <w:color w:val="auto"/>
              </w:rPr>
            </w:pPr>
            <w:r>
              <w:rPr>
                <w:rFonts w:ascii="Arial" w:cs="Arial" w:eastAsia="Arial" w:hAnsi="Arial"/>
                <w:sz w:val="16"/>
                <w:szCs w:val="16"/>
                <w:color w:val="auto"/>
              </w:rPr>
              <w:t>Current</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11,410,396</w:t>
            </w: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10,509,564</w:t>
            </w:r>
          </w:p>
        </w:tc>
        <w:tc>
          <w:tcPr>
            <w:tcW w:w="1140" w:type="dxa"/>
            <w:vAlign w:val="bottom"/>
          </w:tcPr>
          <w:p>
            <w:pPr>
              <w:jc w:val="right"/>
              <w:spacing w:after="0"/>
              <w:rPr>
                <w:sz w:val="20"/>
                <w:szCs w:val="20"/>
                <w:color w:val="auto"/>
              </w:rPr>
            </w:pPr>
            <w:r>
              <w:rPr>
                <w:rFonts w:ascii="Arial" w:cs="Arial" w:eastAsia="Arial" w:hAnsi="Arial"/>
                <w:sz w:val="16"/>
                <w:szCs w:val="16"/>
                <w:color w:val="auto"/>
              </w:rPr>
              <w:t>10,463,514</w:t>
            </w:r>
          </w:p>
        </w:tc>
        <w:tc>
          <w:tcPr>
            <w:tcW w:w="220" w:type="dxa"/>
            <w:vAlign w:val="bottom"/>
          </w:tcPr>
          <w:p>
            <w:pPr>
              <w:spacing w:after="0"/>
              <w:rPr>
                <w:sz w:val="17"/>
                <w:szCs w:val="17"/>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6"/>
                <w:szCs w:val="16"/>
                <w:color w:val="auto"/>
              </w:rPr>
              <w:t>9.0%</w:t>
            </w:r>
          </w:p>
        </w:tc>
        <w:tc>
          <w:tcPr>
            <w:tcW w:w="1300" w:type="dxa"/>
            <w:vAlign w:val="bottom"/>
            <w:gridSpan w:val="2"/>
          </w:tcPr>
          <w:p>
            <w:pPr>
              <w:jc w:val="right"/>
              <w:ind w:right="20"/>
              <w:spacing w:after="0"/>
              <w:rPr>
                <w:sz w:val="20"/>
                <w:szCs w:val="20"/>
                <w:color w:val="auto"/>
              </w:rPr>
            </w:pPr>
            <w:r>
              <w:rPr>
                <w:rFonts w:ascii="Arial" w:cs="Arial" w:eastAsia="Arial" w:hAnsi="Arial"/>
                <w:sz w:val="16"/>
                <w:szCs w:val="16"/>
                <w:color w:val="auto"/>
              </w:rPr>
              <w:t>8.6%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40" w:type="dxa"/>
            <w:vAlign w:val="bottom"/>
            <w:shd w:val="clear" w:color="auto" w:fill="CCFFCC"/>
          </w:tcPr>
          <w:p>
            <w:pPr>
              <w:ind w:left="320"/>
              <w:spacing w:after="0"/>
              <w:rPr>
                <w:sz w:val="20"/>
                <w:szCs w:val="20"/>
                <w:color w:val="auto"/>
              </w:rPr>
            </w:pPr>
            <w:r>
              <w:rPr>
                <w:rFonts w:ascii="Arial" w:cs="Arial" w:eastAsia="Arial" w:hAnsi="Arial"/>
                <w:sz w:val="16"/>
                <w:szCs w:val="16"/>
                <w:color w:val="auto"/>
              </w:rPr>
              <w:t>Past Due</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184,523</w:t>
            </w:r>
          </w:p>
        </w:tc>
        <w:tc>
          <w:tcPr>
            <w:tcW w:w="1340" w:type="dxa"/>
            <w:vAlign w:val="bottom"/>
            <w:gridSpan w:val="2"/>
            <w:shd w:val="clear" w:color="auto" w:fill="CCFFCC"/>
          </w:tcPr>
          <w:p>
            <w:pPr>
              <w:jc w:val="right"/>
              <w:ind w:right="200"/>
              <w:spacing w:after="0"/>
              <w:rPr>
                <w:sz w:val="20"/>
                <w:szCs w:val="20"/>
                <w:color w:val="auto"/>
              </w:rPr>
            </w:pPr>
            <w:r>
              <w:rPr>
                <w:rFonts w:ascii="Arial" w:cs="Arial" w:eastAsia="Arial" w:hAnsi="Arial"/>
                <w:sz w:val="16"/>
                <w:szCs w:val="16"/>
                <w:color w:val="auto"/>
              </w:rPr>
              <w:t>165,898</w:t>
            </w:r>
          </w:p>
        </w:tc>
        <w:tc>
          <w:tcPr>
            <w:tcW w:w="11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82,864</w:t>
            </w:r>
          </w:p>
        </w:tc>
        <w:tc>
          <w:tcPr>
            <w:tcW w:w="220" w:type="dxa"/>
            <w:vAlign w:val="bottom"/>
            <w:shd w:val="clear" w:color="auto" w:fill="CCFFCC"/>
          </w:tcPr>
          <w:p>
            <w:pPr>
              <w:spacing w:after="0"/>
              <w:rPr>
                <w:sz w:val="17"/>
                <w:szCs w:val="17"/>
                <w:color w:val="auto"/>
              </w:rPr>
            </w:pPr>
          </w:p>
        </w:tc>
        <w:tc>
          <w:tcPr>
            <w:tcW w:w="1400" w:type="dxa"/>
            <w:vAlign w:val="bottom"/>
            <w:gridSpan w:val="2"/>
            <w:shd w:val="clear" w:color="auto" w:fill="CCFFCC"/>
          </w:tcPr>
          <w:p>
            <w:pPr>
              <w:jc w:val="right"/>
              <w:ind w:right="140"/>
              <w:spacing w:after="0"/>
              <w:rPr>
                <w:sz w:val="20"/>
                <w:szCs w:val="20"/>
                <w:color w:val="auto"/>
              </w:rPr>
            </w:pPr>
            <w:r>
              <w:rPr>
                <w:rFonts w:ascii="Arial" w:cs="Arial" w:eastAsia="Arial" w:hAnsi="Arial"/>
                <w:sz w:val="16"/>
                <w:szCs w:val="16"/>
                <w:color w:val="auto"/>
              </w:rPr>
              <w:t>122.7%</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6"/>
                <w:szCs w:val="16"/>
                <w:color w:val="auto"/>
              </w:rPr>
              <w:t>11.2%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40" w:type="dxa"/>
            <w:vAlign w:val="bottom"/>
          </w:tcPr>
          <w:p>
            <w:pPr>
              <w:ind w:left="320"/>
              <w:spacing w:after="0"/>
              <w:rPr>
                <w:sz w:val="20"/>
                <w:szCs w:val="20"/>
                <w:color w:val="auto"/>
              </w:rPr>
            </w:pPr>
            <w:r>
              <w:rPr>
                <w:rFonts w:ascii="Arial" w:cs="Arial" w:eastAsia="Arial" w:hAnsi="Arial"/>
                <w:sz w:val="16"/>
                <w:szCs w:val="16"/>
                <w:color w:val="auto"/>
              </w:rPr>
              <w:t>Less - Reserve for possible loan losses</w:t>
            </w: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(354,355)</w:t>
            </w: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(318,094)</w:t>
            </w: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(224,337)</w:t>
            </w:r>
          </w:p>
        </w:tc>
        <w:tc>
          <w:tcPr>
            <w:tcW w:w="1400" w:type="dxa"/>
            <w:vAlign w:val="bottom"/>
            <w:gridSpan w:val="2"/>
          </w:tcPr>
          <w:p>
            <w:pPr>
              <w:jc w:val="right"/>
              <w:ind w:right="140"/>
              <w:spacing w:after="0"/>
              <w:rPr>
                <w:sz w:val="20"/>
                <w:szCs w:val="20"/>
                <w:color w:val="auto"/>
              </w:rPr>
            </w:pPr>
            <w:r>
              <w:rPr>
                <w:rFonts w:ascii="Arial" w:cs="Arial" w:eastAsia="Arial" w:hAnsi="Arial"/>
                <w:sz w:val="16"/>
                <w:szCs w:val="16"/>
                <w:color w:val="auto"/>
              </w:rPr>
              <w:t>58.0%</w:t>
            </w:r>
          </w:p>
        </w:tc>
        <w:tc>
          <w:tcPr>
            <w:tcW w:w="1300" w:type="dxa"/>
            <w:vAlign w:val="bottom"/>
            <w:gridSpan w:val="2"/>
          </w:tcPr>
          <w:p>
            <w:pPr>
              <w:jc w:val="right"/>
              <w:ind w:right="20"/>
              <w:spacing w:after="0"/>
              <w:rPr>
                <w:sz w:val="20"/>
                <w:szCs w:val="20"/>
                <w:color w:val="auto"/>
              </w:rPr>
            </w:pPr>
            <w:r>
              <w:rPr>
                <w:rFonts w:ascii="Arial" w:cs="Arial" w:eastAsia="Arial" w:hAnsi="Arial"/>
                <w:sz w:val="16"/>
                <w:szCs w:val="16"/>
                <w:color w:val="auto"/>
              </w:rPr>
              <w:t>11.4%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40" w:type="dxa"/>
            <w:vAlign w:val="bottom"/>
            <w:shd w:val="clear" w:color="auto" w:fill="CCFFCC"/>
          </w:tcPr>
          <w:p>
            <w:pPr>
              <w:spacing w:after="0"/>
              <w:rPr>
                <w:sz w:val="20"/>
                <w:szCs w:val="20"/>
                <w:color w:val="auto"/>
              </w:rPr>
            </w:pPr>
            <w:r>
              <w:rPr>
                <w:rFonts w:ascii="Arial" w:cs="Arial" w:eastAsia="Arial" w:hAnsi="Arial"/>
                <w:sz w:val="16"/>
                <w:szCs w:val="16"/>
                <w:b w:val="1"/>
                <w:bCs w:val="1"/>
                <w:color w:val="auto"/>
              </w:rPr>
              <w:t>Loans, net</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6"/>
                <w:szCs w:val="16"/>
                <w:b w:val="1"/>
                <w:bCs w:val="1"/>
                <w:color w:val="auto"/>
              </w:rPr>
              <w:t>11,240,563</w:t>
            </w:r>
          </w:p>
        </w:tc>
        <w:tc>
          <w:tcPr>
            <w:tcW w:w="1340" w:type="dxa"/>
            <w:vAlign w:val="bottom"/>
            <w:gridSpan w:val="2"/>
            <w:shd w:val="clear" w:color="auto" w:fill="CCFFCC"/>
          </w:tcPr>
          <w:p>
            <w:pPr>
              <w:jc w:val="right"/>
              <w:ind w:right="200"/>
              <w:spacing w:after="0"/>
              <w:rPr>
                <w:sz w:val="20"/>
                <w:szCs w:val="20"/>
                <w:color w:val="auto"/>
              </w:rPr>
            </w:pPr>
            <w:r>
              <w:rPr>
                <w:rFonts w:ascii="Arial" w:cs="Arial" w:eastAsia="Arial" w:hAnsi="Arial"/>
                <w:sz w:val="16"/>
                <w:szCs w:val="16"/>
                <w:b w:val="1"/>
                <w:bCs w:val="1"/>
                <w:color w:val="auto"/>
              </w:rPr>
              <w:t>10,357,368</w:t>
            </w:r>
          </w:p>
        </w:tc>
        <w:tc>
          <w:tcPr>
            <w:tcW w:w="1140" w:type="dxa"/>
            <w:vAlign w:val="bottom"/>
            <w:shd w:val="clear" w:color="auto" w:fill="CCFFCC"/>
          </w:tcPr>
          <w:p>
            <w:pPr>
              <w:jc w:val="right"/>
              <w:spacing w:after="0"/>
              <w:rPr>
                <w:sz w:val="20"/>
                <w:szCs w:val="20"/>
                <w:color w:val="auto"/>
              </w:rPr>
            </w:pPr>
            <w:r>
              <w:rPr>
                <w:rFonts w:ascii="Arial" w:cs="Arial" w:eastAsia="Arial" w:hAnsi="Arial"/>
                <w:sz w:val="16"/>
                <w:szCs w:val="16"/>
                <w:b w:val="1"/>
                <w:bCs w:val="1"/>
                <w:color w:val="auto"/>
              </w:rPr>
              <w:t>10,322,042</w:t>
            </w:r>
          </w:p>
        </w:tc>
        <w:tc>
          <w:tcPr>
            <w:tcW w:w="220" w:type="dxa"/>
            <w:vAlign w:val="bottom"/>
            <w:shd w:val="clear" w:color="auto" w:fill="CCFFCC"/>
          </w:tcPr>
          <w:p>
            <w:pPr>
              <w:spacing w:after="0"/>
              <w:rPr>
                <w:sz w:val="17"/>
                <w:szCs w:val="17"/>
                <w:color w:val="auto"/>
              </w:rPr>
            </w:pPr>
          </w:p>
        </w:tc>
        <w:tc>
          <w:tcPr>
            <w:tcW w:w="1400" w:type="dxa"/>
            <w:vAlign w:val="bottom"/>
            <w:gridSpan w:val="2"/>
            <w:shd w:val="clear" w:color="auto" w:fill="CCFFCC"/>
          </w:tcPr>
          <w:p>
            <w:pPr>
              <w:jc w:val="right"/>
              <w:ind w:right="100"/>
              <w:spacing w:after="0"/>
              <w:rPr>
                <w:sz w:val="20"/>
                <w:szCs w:val="20"/>
                <w:color w:val="auto"/>
              </w:rPr>
            </w:pPr>
            <w:r>
              <w:rPr>
                <w:rFonts w:ascii="Arial" w:cs="Arial" w:eastAsia="Arial" w:hAnsi="Arial"/>
                <w:sz w:val="16"/>
                <w:szCs w:val="16"/>
                <w:b w:val="1"/>
                <w:bCs w:val="1"/>
                <w:color w:val="auto"/>
              </w:rPr>
              <w:t>8.9%</w:t>
            </w:r>
          </w:p>
        </w:tc>
        <w:tc>
          <w:tcPr>
            <w:tcW w:w="1300" w:type="dxa"/>
            <w:vAlign w:val="bottom"/>
            <w:gridSpan w:val="2"/>
            <w:shd w:val="clear" w:color="auto" w:fill="CCFFCC"/>
          </w:tcPr>
          <w:p>
            <w:pPr>
              <w:jc w:val="right"/>
              <w:spacing w:after="0"/>
              <w:rPr>
                <w:sz w:val="20"/>
                <w:szCs w:val="20"/>
                <w:color w:val="auto"/>
              </w:rPr>
            </w:pPr>
            <w:r>
              <w:rPr>
                <w:rFonts w:ascii="Arial" w:cs="Arial" w:eastAsia="Arial" w:hAnsi="Arial"/>
                <w:sz w:val="16"/>
                <w:szCs w:val="16"/>
                <w:b w:val="1"/>
                <w:bCs w:val="1"/>
                <w:color w:val="auto"/>
              </w:rPr>
              <w:t>8.5%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46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640" w:type="dxa"/>
            <w:vAlign w:val="bottom"/>
            <w:shd w:val="clear" w:color="auto" w:fill="CCFFCC"/>
          </w:tcPr>
          <w:p>
            <w:pPr>
              <w:spacing w:after="0"/>
              <w:rPr>
                <w:sz w:val="20"/>
                <w:szCs w:val="20"/>
                <w:color w:val="auto"/>
              </w:rPr>
            </w:pPr>
            <w:r>
              <w:rPr>
                <w:rFonts w:ascii="Arial" w:cs="Arial" w:eastAsia="Arial" w:hAnsi="Arial"/>
                <w:sz w:val="16"/>
                <w:szCs w:val="16"/>
                <w:b w:val="1"/>
                <w:bCs w:val="1"/>
                <w:color w:val="auto"/>
              </w:rPr>
              <w:t>Investments securities available for sale</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6"/>
                <w:szCs w:val="16"/>
                <w:b w:val="1"/>
                <w:bCs w:val="1"/>
                <w:color w:val="auto"/>
              </w:rPr>
              <w:t>5,089,022</w:t>
            </w:r>
          </w:p>
        </w:tc>
        <w:tc>
          <w:tcPr>
            <w:tcW w:w="1340" w:type="dxa"/>
            <w:vAlign w:val="bottom"/>
            <w:gridSpan w:val="2"/>
            <w:shd w:val="clear" w:color="auto" w:fill="CCFFCC"/>
          </w:tcPr>
          <w:p>
            <w:pPr>
              <w:jc w:val="right"/>
              <w:ind w:right="200"/>
              <w:spacing w:after="0"/>
              <w:rPr>
                <w:sz w:val="20"/>
                <w:szCs w:val="20"/>
                <w:color w:val="auto"/>
              </w:rPr>
            </w:pPr>
            <w:r>
              <w:rPr>
                <w:rFonts w:ascii="Arial" w:cs="Arial" w:eastAsia="Arial" w:hAnsi="Arial"/>
                <w:sz w:val="16"/>
                <w:szCs w:val="16"/>
                <w:b w:val="1"/>
                <w:bCs w:val="1"/>
                <w:color w:val="auto"/>
              </w:rPr>
              <w:t>4,828,806</w:t>
            </w:r>
          </w:p>
        </w:tc>
        <w:tc>
          <w:tcPr>
            <w:tcW w:w="1140" w:type="dxa"/>
            <w:vAlign w:val="bottom"/>
            <w:shd w:val="clear" w:color="auto" w:fill="CCFFCC"/>
          </w:tcPr>
          <w:p>
            <w:pPr>
              <w:jc w:val="right"/>
              <w:spacing w:after="0"/>
              <w:rPr>
                <w:sz w:val="20"/>
                <w:szCs w:val="20"/>
                <w:color w:val="auto"/>
              </w:rPr>
            </w:pPr>
            <w:r>
              <w:rPr>
                <w:rFonts w:ascii="Arial" w:cs="Arial" w:eastAsia="Arial" w:hAnsi="Arial"/>
                <w:sz w:val="16"/>
                <w:szCs w:val="16"/>
                <w:b w:val="1"/>
                <w:bCs w:val="1"/>
                <w:color w:val="auto"/>
              </w:rPr>
              <w:t>4,972,592</w:t>
            </w:r>
          </w:p>
        </w:tc>
        <w:tc>
          <w:tcPr>
            <w:tcW w:w="220" w:type="dxa"/>
            <w:vAlign w:val="bottom"/>
            <w:shd w:val="clear" w:color="auto" w:fill="CCFFCC"/>
          </w:tcPr>
          <w:p>
            <w:pPr>
              <w:spacing w:after="0"/>
              <w:rPr>
                <w:sz w:val="17"/>
                <w:szCs w:val="17"/>
                <w:color w:val="auto"/>
              </w:rPr>
            </w:pPr>
          </w:p>
        </w:tc>
        <w:tc>
          <w:tcPr>
            <w:tcW w:w="1400" w:type="dxa"/>
            <w:vAlign w:val="bottom"/>
            <w:gridSpan w:val="2"/>
            <w:shd w:val="clear" w:color="auto" w:fill="CCFFCC"/>
          </w:tcPr>
          <w:p>
            <w:pPr>
              <w:jc w:val="right"/>
              <w:ind w:right="100"/>
              <w:spacing w:after="0"/>
              <w:rPr>
                <w:sz w:val="20"/>
                <w:szCs w:val="20"/>
                <w:color w:val="auto"/>
              </w:rPr>
            </w:pPr>
            <w:r>
              <w:rPr>
                <w:rFonts w:ascii="Arial" w:cs="Arial" w:eastAsia="Arial" w:hAnsi="Arial"/>
                <w:sz w:val="16"/>
                <w:szCs w:val="16"/>
                <w:b w:val="1"/>
                <w:bCs w:val="1"/>
                <w:color w:val="auto"/>
              </w:rPr>
              <w:t>2.3%</w:t>
            </w:r>
          </w:p>
        </w:tc>
        <w:tc>
          <w:tcPr>
            <w:tcW w:w="1300" w:type="dxa"/>
            <w:vAlign w:val="bottom"/>
            <w:gridSpan w:val="2"/>
            <w:shd w:val="clear" w:color="auto" w:fill="CCFFCC"/>
          </w:tcPr>
          <w:p>
            <w:pPr>
              <w:jc w:val="right"/>
              <w:spacing w:after="0"/>
              <w:rPr>
                <w:sz w:val="20"/>
                <w:szCs w:val="20"/>
                <w:color w:val="auto"/>
              </w:rPr>
            </w:pPr>
            <w:r>
              <w:rPr>
                <w:rFonts w:ascii="Arial" w:cs="Arial" w:eastAsia="Arial" w:hAnsi="Arial"/>
                <w:sz w:val="16"/>
                <w:szCs w:val="16"/>
                <w:b w:val="1"/>
                <w:bCs w:val="1"/>
                <w:color w:val="auto"/>
              </w:rPr>
              <w:t>5.4%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40" w:type="dxa"/>
            <w:vAlign w:val="bottom"/>
          </w:tcPr>
          <w:p>
            <w:pPr>
              <w:spacing w:after="0"/>
              <w:rPr>
                <w:sz w:val="20"/>
                <w:szCs w:val="20"/>
                <w:color w:val="auto"/>
              </w:rPr>
            </w:pPr>
            <w:r>
              <w:rPr>
                <w:rFonts w:ascii="Arial" w:cs="Arial" w:eastAsia="Arial" w:hAnsi="Arial"/>
                <w:sz w:val="16"/>
                <w:szCs w:val="16"/>
                <w:b w:val="1"/>
                <w:bCs w:val="1"/>
                <w:color w:val="auto"/>
              </w:rPr>
              <w:t>Reinsurance assets</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137,098</w:t>
            </w:r>
          </w:p>
        </w:tc>
        <w:tc>
          <w:tcPr>
            <w:tcW w:w="134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135,688</w:t>
            </w: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165,144</w:t>
            </w:r>
          </w:p>
        </w:tc>
        <w:tc>
          <w:tcPr>
            <w:tcW w:w="220" w:type="dxa"/>
            <w:vAlign w:val="bottom"/>
          </w:tcPr>
          <w:p>
            <w:pPr>
              <w:spacing w:after="0"/>
              <w:rPr>
                <w:sz w:val="17"/>
                <w:szCs w:val="17"/>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-17.0%</w:t>
            </w:r>
          </w:p>
        </w:tc>
        <w:tc>
          <w:tcPr>
            <w:tcW w:w="1300" w:type="dxa"/>
            <w:vAlign w:val="bottom"/>
            <w:gridSpan w:val="2"/>
          </w:tcPr>
          <w:p>
            <w:pPr>
              <w:jc w:val="right"/>
              <w:spacing w:after="0"/>
              <w:rPr>
                <w:sz w:val="20"/>
                <w:szCs w:val="20"/>
                <w:color w:val="auto"/>
              </w:rPr>
            </w:pPr>
            <w:r>
              <w:rPr>
                <w:rFonts w:ascii="Arial" w:cs="Arial" w:eastAsia="Arial" w:hAnsi="Arial"/>
                <w:sz w:val="16"/>
                <w:szCs w:val="16"/>
                <w:b w:val="1"/>
                <w:bCs w:val="1"/>
                <w:color w:val="auto"/>
              </w:rPr>
              <w:t>1.0%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40" w:type="dxa"/>
            <w:vAlign w:val="bottom"/>
            <w:shd w:val="clear" w:color="auto" w:fill="CCFFCC"/>
          </w:tcPr>
          <w:p>
            <w:pPr>
              <w:spacing w:after="0"/>
              <w:rPr>
                <w:sz w:val="20"/>
                <w:szCs w:val="20"/>
                <w:color w:val="auto"/>
              </w:rPr>
            </w:pPr>
            <w:r>
              <w:rPr>
                <w:rFonts w:ascii="Arial" w:cs="Arial" w:eastAsia="Arial" w:hAnsi="Arial"/>
                <w:sz w:val="16"/>
                <w:szCs w:val="16"/>
                <w:b w:val="1"/>
                <w:bCs w:val="1"/>
                <w:color w:val="auto"/>
              </w:rPr>
              <w:t>Premiums and other policyholder receivables</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6"/>
                <w:szCs w:val="16"/>
                <w:b w:val="1"/>
                <w:bCs w:val="1"/>
                <w:color w:val="auto"/>
              </w:rPr>
              <w:t>121,338</w:t>
            </w:r>
          </w:p>
        </w:tc>
        <w:tc>
          <w:tcPr>
            <w:tcW w:w="1340" w:type="dxa"/>
            <w:vAlign w:val="bottom"/>
            <w:gridSpan w:val="2"/>
            <w:shd w:val="clear" w:color="auto" w:fill="CCFFCC"/>
          </w:tcPr>
          <w:p>
            <w:pPr>
              <w:jc w:val="right"/>
              <w:ind w:right="200"/>
              <w:spacing w:after="0"/>
              <w:rPr>
                <w:sz w:val="20"/>
                <w:szCs w:val="20"/>
                <w:color w:val="auto"/>
              </w:rPr>
            </w:pPr>
            <w:r>
              <w:rPr>
                <w:rFonts w:ascii="Arial" w:cs="Arial" w:eastAsia="Arial" w:hAnsi="Arial"/>
                <w:sz w:val="16"/>
                <w:szCs w:val="16"/>
                <w:b w:val="1"/>
                <w:bCs w:val="1"/>
                <w:color w:val="auto"/>
              </w:rPr>
              <w:t>109,669</w:t>
            </w:r>
          </w:p>
        </w:tc>
        <w:tc>
          <w:tcPr>
            <w:tcW w:w="1140" w:type="dxa"/>
            <w:vAlign w:val="bottom"/>
            <w:shd w:val="clear" w:color="auto" w:fill="CCFFCC"/>
          </w:tcPr>
          <w:p>
            <w:pPr>
              <w:jc w:val="right"/>
              <w:spacing w:after="0"/>
              <w:rPr>
                <w:sz w:val="20"/>
                <w:szCs w:val="20"/>
                <w:color w:val="auto"/>
              </w:rPr>
            </w:pPr>
            <w:r>
              <w:rPr>
                <w:rFonts w:ascii="Arial" w:cs="Arial" w:eastAsia="Arial" w:hAnsi="Arial"/>
                <w:sz w:val="16"/>
                <w:szCs w:val="16"/>
                <w:b w:val="1"/>
                <w:bCs w:val="1"/>
                <w:color w:val="auto"/>
              </w:rPr>
              <w:t>111,561</w:t>
            </w:r>
          </w:p>
        </w:tc>
        <w:tc>
          <w:tcPr>
            <w:tcW w:w="220" w:type="dxa"/>
            <w:vAlign w:val="bottom"/>
            <w:shd w:val="clear" w:color="auto" w:fill="CCFFCC"/>
          </w:tcPr>
          <w:p>
            <w:pPr>
              <w:spacing w:after="0"/>
              <w:rPr>
                <w:sz w:val="17"/>
                <w:szCs w:val="17"/>
                <w:color w:val="auto"/>
              </w:rPr>
            </w:pPr>
          </w:p>
        </w:tc>
        <w:tc>
          <w:tcPr>
            <w:tcW w:w="1400" w:type="dxa"/>
            <w:vAlign w:val="bottom"/>
            <w:gridSpan w:val="2"/>
            <w:shd w:val="clear" w:color="auto" w:fill="CCFFCC"/>
          </w:tcPr>
          <w:p>
            <w:pPr>
              <w:jc w:val="right"/>
              <w:ind w:right="100"/>
              <w:spacing w:after="0"/>
              <w:rPr>
                <w:sz w:val="20"/>
                <w:szCs w:val="20"/>
                <w:color w:val="auto"/>
              </w:rPr>
            </w:pPr>
            <w:r>
              <w:rPr>
                <w:rFonts w:ascii="Arial" w:cs="Arial" w:eastAsia="Arial" w:hAnsi="Arial"/>
                <w:sz w:val="16"/>
                <w:szCs w:val="16"/>
                <w:b w:val="1"/>
                <w:bCs w:val="1"/>
                <w:color w:val="auto"/>
              </w:rPr>
              <w:t>8.8%</w:t>
            </w:r>
          </w:p>
        </w:tc>
        <w:tc>
          <w:tcPr>
            <w:tcW w:w="1300" w:type="dxa"/>
            <w:vAlign w:val="bottom"/>
            <w:gridSpan w:val="2"/>
            <w:shd w:val="clear" w:color="auto" w:fill="CCFFCC"/>
          </w:tcPr>
          <w:p>
            <w:pPr>
              <w:jc w:val="right"/>
              <w:spacing w:after="0"/>
              <w:rPr>
                <w:sz w:val="20"/>
                <w:szCs w:val="20"/>
                <w:color w:val="auto"/>
              </w:rPr>
            </w:pPr>
            <w:r>
              <w:rPr>
                <w:rFonts w:ascii="Arial" w:cs="Arial" w:eastAsia="Arial" w:hAnsi="Arial"/>
                <w:sz w:val="16"/>
                <w:szCs w:val="16"/>
                <w:b w:val="1"/>
                <w:bCs w:val="1"/>
                <w:color w:val="auto"/>
              </w:rPr>
              <w:t>10.6%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40" w:type="dxa"/>
            <w:vAlign w:val="bottom"/>
          </w:tcPr>
          <w:p>
            <w:pPr>
              <w:spacing w:after="0"/>
              <w:rPr>
                <w:sz w:val="20"/>
                <w:szCs w:val="20"/>
                <w:color w:val="auto"/>
              </w:rPr>
            </w:pPr>
            <w:r>
              <w:rPr>
                <w:rFonts w:ascii="Arial" w:cs="Arial" w:eastAsia="Arial" w:hAnsi="Arial"/>
                <w:sz w:val="16"/>
                <w:szCs w:val="16"/>
                <w:b w:val="1"/>
                <w:bCs w:val="1"/>
                <w:color w:val="auto"/>
              </w:rPr>
              <w:t>Property, plant and equipment, net</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344,099</w:t>
            </w:r>
          </w:p>
        </w:tc>
        <w:tc>
          <w:tcPr>
            <w:tcW w:w="134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323,233</w:t>
            </w: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329,458</w:t>
            </w:r>
          </w:p>
        </w:tc>
        <w:tc>
          <w:tcPr>
            <w:tcW w:w="220" w:type="dxa"/>
            <w:vAlign w:val="bottom"/>
          </w:tcPr>
          <w:p>
            <w:pPr>
              <w:spacing w:after="0"/>
              <w:rPr>
                <w:sz w:val="17"/>
                <w:szCs w:val="17"/>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4.4%</w:t>
            </w:r>
          </w:p>
        </w:tc>
        <w:tc>
          <w:tcPr>
            <w:tcW w:w="1300" w:type="dxa"/>
            <w:vAlign w:val="bottom"/>
            <w:gridSpan w:val="2"/>
          </w:tcPr>
          <w:p>
            <w:pPr>
              <w:jc w:val="right"/>
              <w:spacing w:after="0"/>
              <w:rPr>
                <w:sz w:val="20"/>
                <w:szCs w:val="20"/>
                <w:color w:val="auto"/>
              </w:rPr>
            </w:pPr>
            <w:r>
              <w:rPr>
                <w:rFonts w:ascii="Arial" w:cs="Arial" w:eastAsia="Arial" w:hAnsi="Arial"/>
                <w:sz w:val="16"/>
                <w:szCs w:val="16"/>
                <w:b w:val="1"/>
                <w:bCs w:val="1"/>
                <w:color w:val="auto"/>
              </w:rPr>
              <w:t>6.5%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40" w:type="dxa"/>
            <w:vAlign w:val="bottom"/>
            <w:shd w:val="clear" w:color="auto" w:fill="CCFFCC"/>
          </w:tcPr>
          <w:p>
            <w:pPr>
              <w:spacing w:after="0"/>
              <w:rPr>
                <w:sz w:val="20"/>
                <w:szCs w:val="20"/>
                <w:color w:val="auto"/>
              </w:rPr>
            </w:pPr>
            <w:r>
              <w:rPr>
                <w:rFonts w:ascii="Arial" w:cs="Arial" w:eastAsia="Arial" w:hAnsi="Arial"/>
                <w:sz w:val="16"/>
                <w:szCs w:val="16"/>
                <w:b w:val="1"/>
                <w:bCs w:val="1"/>
                <w:color w:val="auto"/>
              </w:rPr>
              <w:t>Due from customers on acceptances</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6"/>
                <w:szCs w:val="16"/>
                <w:b w:val="1"/>
                <w:bCs w:val="1"/>
                <w:color w:val="auto"/>
              </w:rPr>
              <w:t>96,423</w:t>
            </w:r>
          </w:p>
        </w:tc>
        <w:tc>
          <w:tcPr>
            <w:tcW w:w="1340" w:type="dxa"/>
            <w:vAlign w:val="bottom"/>
            <w:gridSpan w:val="2"/>
            <w:shd w:val="clear" w:color="auto" w:fill="CCFFCC"/>
          </w:tcPr>
          <w:p>
            <w:pPr>
              <w:jc w:val="right"/>
              <w:ind w:right="200"/>
              <w:spacing w:after="0"/>
              <w:rPr>
                <w:sz w:val="20"/>
                <w:szCs w:val="20"/>
                <w:color w:val="auto"/>
              </w:rPr>
            </w:pPr>
            <w:r>
              <w:rPr>
                <w:rFonts w:ascii="Arial" w:cs="Arial" w:eastAsia="Arial" w:hAnsi="Arial"/>
                <w:sz w:val="16"/>
                <w:szCs w:val="16"/>
                <w:b w:val="1"/>
                <w:bCs w:val="1"/>
                <w:color w:val="auto"/>
              </w:rPr>
              <w:t>63,901</w:t>
            </w:r>
          </w:p>
        </w:tc>
        <w:tc>
          <w:tcPr>
            <w:tcW w:w="1140" w:type="dxa"/>
            <w:vAlign w:val="bottom"/>
            <w:shd w:val="clear" w:color="auto" w:fill="CCFFCC"/>
          </w:tcPr>
          <w:p>
            <w:pPr>
              <w:jc w:val="right"/>
              <w:spacing w:after="0"/>
              <w:rPr>
                <w:sz w:val="20"/>
                <w:szCs w:val="20"/>
                <w:color w:val="auto"/>
              </w:rPr>
            </w:pPr>
            <w:r>
              <w:rPr>
                <w:rFonts w:ascii="Arial" w:cs="Arial" w:eastAsia="Arial" w:hAnsi="Arial"/>
                <w:sz w:val="16"/>
                <w:szCs w:val="16"/>
                <w:b w:val="1"/>
                <w:bCs w:val="1"/>
                <w:color w:val="auto"/>
              </w:rPr>
              <w:t>232,580</w:t>
            </w:r>
          </w:p>
        </w:tc>
        <w:tc>
          <w:tcPr>
            <w:tcW w:w="220" w:type="dxa"/>
            <w:vAlign w:val="bottom"/>
            <w:shd w:val="clear" w:color="auto" w:fill="CCFFCC"/>
          </w:tcPr>
          <w:p>
            <w:pPr>
              <w:spacing w:after="0"/>
              <w:rPr>
                <w:sz w:val="17"/>
                <w:szCs w:val="17"/>
                <w:color w:val="auto"/>
              </w:rPr>
            </w:pPr>
          </w:p>
        </w:tc>
        <w:tc>
          <w:tcPr>
            <w:tcW w:w="1400" w:type="dxa"/>
            <w:vAlign w:val="bottom"/>
            <w:gridSpan w:val="2"/>
            <w:shd w:val="clear" w:color="auto" w:fill="CCFFCC"/>
          </w:tcPr>
          <w:p>
            <w:pPr>
              <w:jc w:val="right"/>
              <w:ind w:right="100"/>
              <w:spacing w:after="0"/>
              <w:rPr>
                <w:sz w:val="20"/>
                <w:szCs w:val="20"/>
                <w:color w:val="auto"/>
              </w:rPr>
            </w:pPr>
            <w:r>
              <w:rPr>
                <w:rFonts w:ascii="Arial" w:cs="Arial" w:eastAsia="Arial" w:hAnsi="Arial"/>
                <w:sz w:val="16"/>
                <w:szCs w:val="16"/>
                <w:b w:val="1"/>
                <w:bCs w:val="1"/>
                <w:color w:val="auto"/>
              </w:rPr>
              <w:t>-58.5%</w:t>
            </w:r>
          </w:p>
        </w:tc>
        <w:tc>
          <w:tcPr>
            <w:tcW w:w="1300" w:type="dxa"/>
            <w:vAlign w:val="bottom"/>
            <w:gridSpan w:val="2"/>
            <w:shd w:val="clear" w:color="auto" w:fill="CCFFCC"/>
          </w:tcPr>
          <w:p>
            <w:pPr>
              <w:jc w:val="right"/>
              <w:spacing w:after="0"/>
              <w:rPr>
                <w:sz w:val="20"/>
                <w:szCs w:val="20"/>
                <w:color w:val="auto"/>
              </w:rPr>
            </w:pPr>
            <w:r>
              <w:rPr>
                <w:rFonts w:ascii="Arial" w:cs="Arial" w:eastAsia="Arial" w:hAnsi="Arial"/>
                <w:sz w:val="16"/>
                <w:szCs w:val="16"/>
                <w:b w:val="1"/>
                <w:bCs w:val="1"/>
                <w:color w:val="auto"/>
              </w:rPr>
              <w:t>50.9%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40" w:type="dxa"/>
            <w:vAlign w:val="bottom"/>
          </w:tcPr>
          <w:p>
            <w:pPr>
              <w:spacing w:after="0"/>
              <w:rPr>
                <w:sz w:val="20"/>
                <w:szCs w:val="20"/>
                <w:color w:val="auto"/>
              </w:rPr>
            </w:pPr>
            <w:r>
              <w:rPr>
                <w:rFonts w:ascii="Arial" w:cs="Arial" w:eastAsia="Arial" w:hAnsi="Arial"/>
                <w:sz w:val="16"/>
                <w:szCs w:val="16"/>
                <w:b w:val="1"/>
                <w:bCs w:val="1"/>
                <w:color w:val="auto"/>
              </w:rPr>
              <w:t>Other assets</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1,220,401</w:t>
            </w:r>
          </w:p>
        </w:tc>
        <w:tc>
          <w:tcPr>
            <w:tcW w:w="134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1,376,525</w:t>
            </w: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1,130,639</w:t>
            </w:r>
          </w:p>
        </w:tc>
        <w:tc>
          <w:tcPr>
            <w:tcW w:w="220" w:type="dxa"/>
            <w:vAlign w:val="bottom"/>
          </w:tcPr>
          <w:p>
            <w:pPr>
              <w:spacing w:after="0"/>
              <w:rPr>
                <w:sz w:val="17"/>
                <w:szCs w:val="17"/>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7.9%</w:t>
            </w:r>
          </w:p>
        </w:tc>
        <w:tc>
          <w:tcPr>
            <w:tcW w:w="1300" w:type="dxa"/>
            <w:vAlign w:val="bottom"/>
            <w:gridSpan w:val="2"/>
          </w:tcPr>
          <w:p>
            <w:pPr>
              <w:jc w:val="right"/>
              <w:spacing w:after="0"/>
              <w:rPr>
                <w:sz w:val="20"/>
                <w:szCs w:val="20"/>
                <w:color w:val="auto"/>
              </w:rPr>
            </w:pPr>
            <w:r>
              <w:rPr>
                <w:rFonts w:ascii="Arial" w:cs="Arial" w:eastAsia="Arial" w:hAnsi="Arial"/>
                <w:sz w:val="16"/>
                <w:szCs w:val="16"/>
                <w:b w:val="1"/>
                <w:bCs w:val="1"/>
                <w:color w:val="auto"/>
              </w:rPr>
              <w:t>-11.3%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40" w:type="dxa"/>
            <w:vAlign w:val="bottom"/>
            <w:shd w:val="clear" w:color="auto" w:fill="CCFFCC"/>
          </w:tcPr>
          <w:p>
            <w:pPr>
              <w:spacing w:after="0"/>
              <w:rPr>
                <w:sz w:val="17"/>
                <w:szCs w:val="17"/>
                <w:color w:val="auto"/>
              </w:rPr>
            </w:pPr>
          </w:p>
        </w:tc>
        <w:tc>
          <w:tcPr>
            <w:tcW w:w="114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14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114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14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114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40" w:type="dxa"/>
            <w:vAlign w:val="bottom"/>
          </w:tcPr>
          <w:p>
            <w:pPr>
              <w:jc w:val="center"/>
              <w:ind w:right="19"/>
              <w:spacing w:after="0"/>
              <w:rPr>
                <w:sz w:val="20"/>
                <w:szCs w:val="20"/>
                <w:color w:val="auto"/>
              </w:rPr>
            </w:pPr>
            <w:r>
              <w:rPr>
                <w:rFonts w:ascii="Arial" w:cs="Arial" w:eastAsia="Arial" w:hAnsi="Arial"/>
                <w:sz w:val="16"/>
                <w:szCs w:val="16"/>
                <w:b w:val="1"/>
                <w:bCs w:val="1"/>
                <w:color w:val="auto"/>
                <w:w w:val="86"/>
              </w:rPr>
              <w:t>Total Assets</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22,146,363</w:t>
            </w:r>
          </w:p>
        </w:tc>
        <w:tc>
          <w:tcPr>
            <w:tcW w:w="134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20,772,459</w:t>
            </w: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21,063,099</w:t>
            </w:r>
          </w:p>
        </w:tc>
        <w:tc>
          <w:tcPr>
            <w:tcW w:w="220" w:type="dxa"/>
            <w:vAlign w:val="bottom"/>
          </w:tcPr>
          <w:p>
            <w:pPr>
              <w:spacing w:after="0"/>
              <w:rPr>
                <w:sz w:val="17"/>
                <w:szCs w:val="17"/>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5.1%</w:t>
            </w:r>
          </w:p>
        </w:tc>
        <w:tc>
          <w:tcPr>
            <w:tcW w:w="1300" w:type="dxa"/>
            <w:vAlign w:val="bottom"/>
            <w:gridSpan w:val="2"/>
          </w:tcPr>
          <w:p>
            <w:pPr>
              <w:jc w:val="right"/>
              <w:spacing w:after="0"/>
              <w:rPr>
                <w:sz w:val="20"/>
                <w:szCs w:val="20"/>
                <w:color w:val="auto"/>
              </w:rPr>
            </w:pPr>
            <w:r>
              <w:rPr>
                <w:rFonts w:ascii="Arial" w:cs="Arial" w:eastAsia="Arial" w:hAnsi="Arial"/>
                <w:sz w:val="16"/>
                <w:szCs w:val="16"/>
                <w:b w:val="1"/>
                <w:bCs w:val="1"/>
                <w:color w:val="auto"/>
              </w:rPr>
              <w:t>6.6%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40" w:type="dxa"/>
            <w:vAlign w:val="bottom"/>
            <w:shd w:val="clear" w:color="auto" w:fill="CCFFCC"/>
          </w:tcPr>
          <w:p>
            <w:pPr>
              <w:spacing w:after="0"/>
              <w:rPr>
                <w:sz w:val="17"/>
                <w:szCs w:val="17"/>
                <w:color w:val="auto"/>
              </w:rPr>
            </w:pPr>
          </w:p>
        </w:tc>
        <w:tc>
          <w:tcPr>
            <w:tcW w:w="114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14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114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14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114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40" w:type="dxa"/>
            <w:vAlign w:val="bottom"/>
          </w:tcPr>
          <w:p>
            <w:pPr>
              <w:ind w:left="320"/>
              <w:spacing w:after="0"/>
              <w:rPr>
                <w:sz w:val="20"/>
                <w:szCs w:val="20"/>
                <w:color w:val="auto"/>
              </w:rPr>
            </w:pPr>
            <w:r>
              <w:rPr>
                <w:rFonts w:ascii="Arial" w:cs="Arial" w:eastAsia="Arial" w:hAnsi="Arial"/>
                <w:sz w:val="16"/>
                <w:szCs w:val="16"/>
                <w:b w:val="1"/>
                <w:bCs w:val="1"/>
                <w:color w:val="auto"/>
              </w:rPr>
              <w:t>Liabilities and shareholders' equity</w:t>
            </w: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40" w:type="dxa"/>
            <w:vAlign w:val="bottom"/>
            <w:shd w:val="clear" w:color="auto" w:fill="CCFFCC"/>
          </w:tcPr>
          <w:p>
            <w:pPr>
              <w:spacing w:after="0"/>
              <w:rPr>
                <w:sz w:val="20"/>
                <w:szCs w:val="20"/>
                <w:color w:val="auto"/>
              </w:rPr>
            </w:pPr>
            <w:r>
              <w:rPr>
                <w:rFonts w:ascii="Arial" w:cs="Arial" w:eastAsia="Arial" w:hAnsi="Arial"/>
                <w:sz w:val="16"/>
                <w:szCs w:val="16"/>
                <w:b w:val="1"/>
                <w:bCs w:val="1"/>
                <w:color w:val="auto"/>
              </w:rPr>
              <w:t>Deposits and Obligations</w:t>
            </w:r>
          </w:p>
        </w:tc>
        <w:tc>
          <w:tcPr>
            <w:tcW w:w="114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14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114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14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114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40" w:type="dxa"/>
            <w:vAlign w:val="bottom"/>
          </w:tcPr>
          <w:p>
            <w:pPr>
              <w:ind w:left="320"/>
              <w:spacing w:after="0"/>
              <w:rPr>
                <w:sz w:val="20"/>
                <w:szCs w:val="20"/>
                <w:color w:val="auto"/>
              </w:rPr>
            </w:pPr>
            <w:r>
              <w:rPr>
                <w:rFonts w:ascii="Arial" w:cs="Arial" w:eastAsia="Arial" w:hAnsi="Arial"/>
                <w:sz w:val="16"/>
                <w:szCs w:val="16"/>
                <w:color w:val="auto"/>
              </w:rPr>
              <w:t>Non-interest bearing</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3,302,150</w:t>
            </w: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3,462,195</w:t>
            </w:r>
          </w:p>
        </w:tc>
        <w:tc>
          <w:tcPr>
            <w:tcW w:w="1140" w:type="dxa"/>
            <w:vAlign w:val="bottom"/>
          </w:tcPr>
          <w:p>
            <w:pPr>
              <w:jc w:val="right"/>
              <w:spacing w:after="0"/>
              <w:rPr>
                <w:sz w:val="20"/>
                <w:szCs w:val="20"/>
                <w:color w:val="auto"/>
              </w:rPr>
            </w:pPr>
            <w:r>
              <w:rPr>
                <w:rFonts w:ascii="Arial" w:cs="Arial" w:eastAsia="Arial" w:hAnsi="Arial"/>
                <w:sz w:val="16"/>
                <w:szCs w:val="16"/>
                <w:color w:val="auto"/>
              </w:rPr>
              <w:t>4,345,273</w:t>
            </w:r>
          </w:p>
        </w:tc>
        <w:tc>
          <w:tcPr>
            <w:tcW w:w="220" w:type="dxa"/>
            <w:vAlign w:val="bottom"/>
          </w:tcPr>
          <w:p>
            <w:pPr>
              <w:spacing w:after="0"/>
              <w:rPr>
                <w:sz w:val="17"/>
                <w:szCs w:val="17"/>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6"/>
                <w:szCs w:val="16"/>
                <w:color w:val="auto"/>
              </w:rPr>
              <w:t>-24.0%</w:t>
            </w:r>
          </w:p>
        </w:tc>
        <w:tc>
          <w:tcPr>
            <w:tcW w:w="1300" w:type="dxa"/>
            <w:vAlign w:val="bottom"/>
            <w:gridSpan w:val="2"/>
          </w:tcPr>
          <w:p>
            <w:pPr>
              <w:jc w:val="right"/>
              <w:ind w:right="20"/>
              <w:spacing w:after="0"/>
              <w:rPr>
                <w:sz w:val="20"/>
                <w:szCs w:val="20"/>
                <w:color w:val="auto"/>
              </w:rPr>
            </w:pPr>
            <w:r>
              <w:rPr>
                <w:rFonts w:ascii="Arial" w:cs="Arial" w:eastAsia="Arial" w:hAnsi="Arial"/>
                <w:sz w:val="16"/>
                <w:szCs w:val="16"/>
                <w:color w:val="auto"/>
              </w:rPr>
              <w:t>-4.6%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40" w:type="dxa"/>
            <w:vAlign w:val="bottom"/>
            <w:shd w:val="clear" w:color="auto" w:fill="CCFFCC"/>
          </w:tcPr>
          <w:p>
            <w:pPr>
              <w:ind w:left="320"/>
              <w:spacing w:after="0"/>
              <w:rPr>
                <w:sz w:val="20"/>
                <w:szCs w:val="20"/>
                <w:color w:val="auto"/>
              </w:rPr>
            </w:pPr>
            <w:r>
              <w:rPr>
                <w:rFonts w:ascii="Arial" w:cs="Arial" w:eastAsia="Arial" w:hAnsi="Arial"/>
                <w:sz w:val="16"/>
                <w:szCs w:val="16"/>
                <w:color w:val="auto"/>
              </w:rPr>
              <w:t>Interest bearing</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10,793,833</w:t>
            </w:r>
          </w:p>
        </w:tc>
        <w:tc>
          <w:tcPr>
            <w:tcW w:w="1340" w:type="dxa"/>
            <w:vAlign w:val="bottom"/>
            <w:gridSpan w:val="2"/>
            <w:shd w:val="clear" w:color="auto" w:fill="CCFFCC"/>
          </w:tcPr>
          <w:p>
            <w:pPr>
              <w:jc w:val="right"/>
              <w:ind w:right="200"/>
              <w:spacing w:after="0"/>
              <w:rPr>
                <w:sz w:val="20"/>
                <w:szCs w:val="20"/>
                <w:color w:val="auto"/>
              </w:rPr>
            </w:pPr>
            <w:r>
              <w:rPr>
                <w:rFonts w:ascii="Arial" w:cs="Arial" w:eastAsia="Arial" w:hAnsi="Arial"/>
                <w:sz w:val="16"/>
                <w:szCs w:val="16"/>
                <w:color w:val="auto"/>
              </w:rPr>
              <w:t>10,210,091</w:t>
            </w:r>
          </w:p>
        </w:tc>
        <w:tc>
          <w:tcPr>
            <w:tcW w:w="11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9,434,142</w:t>
            </w:r>
          </w:p>
        </w:tc>
        <w:tc>
          <w:tcPr>
            <w:tcW w:w="220" w:type="dxa"/>
            <w:vAlign w:val="bottom"/>
            <w:shd w:val="clear" w:color="auto" w:fill="CCFFCC"/>
          </w:tcPr>
          <w:p>
            <w:pPr>
              <w:spacing w:after="0"/>
              <w:rPr>
                <w:sz w:val="17"/>
                <w:szCs w:val="17"/>
                <w:color w:val="auto"/>
              </w:rPr>
            </w:pPr>
          </w:p>
        </w:tc>
        <w:tc>
          <w:tcPr>
            <w:tcW w:w="1400" w:type="dxa"/>
            <w:vAlign w:val="bottom"/>
            <w:gridSpan w:val="2"/>
            <w:shd w:val="clear" w:color="auto" w:fill="CCFFCC"/>
          </w:tcPr>
          <w:p>
            <w:pPr>
              <w:jc w:val="right"/>
              <w:ind w:right="140"/>
              <w:spacing w:after="0"/>
              <w:rPr>
                <w:sz w:val="20"/>
                <w:szCs w:val="20"/>
                <w:color w:val="auto"/>
              </w:rPr>
            </w:pPr>
            <w:r>
              <w:rPr>
                <w:rFonts w:ascii="Arial" w:cs="Arial" w:eastAsia="Arial" w:hAnsi="Arial"/>
                <w:sz w:val="16"/>
                <w:szCs w:val="16"/>
                <w:color w:val="auto"/>
              </w:rPr>
              <w:t>14.4%</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6"/>
                <w:szCs w:val="16"/>
                <w:color w:val="auto"/>
              </w:rPr>
              <w:t>5.7%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40" w:type="dxa"/>
            <w:vAlign w:val="bottom"/>
          </w:tcPr>
          <w:p>
            <w:pPr>
              <w:ind w:left="320"/>
              <w:spacing w:after="0"/>
              <w:rPr>
                <w:sz w:val="20"/>
                <w:szCs w:val="20"/>
                <w:color w:val="auto"/>
              </w:rPr>
            </w:pPr>
            <w:r>
              <w:rPr>
                <w:rFonts w:ascii="Arial" w:cs="Arial" w:eastAsia="Arial" w:hAnsi="Arial"/>
                <w:sz w:val="16"/>
                <w:szCs w:val="16"/>
                <w:b w:val="1"/>
                <w:bCs w:val="1"/>
                <w:color w:val="auto"/>
              </w:rPr>
              <w:t>Total deposits and Obligations</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14,095,983</w:t>
            </w:r>
          </w:p>
        </w:tc>
        <w:tc>
          <w:tcPr>
            <w:tcW w:w="134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13,672,287</w:t>
            </w: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13,779,414</w:t>
            </w:r>
          </w:p>
        </w:tc>
        <w:tc>
          <w:tcPr>
            <w:tcW w:w="220" w:type="dxa"/>
            <w:vAlign w:val="bottom"/>
          </w:tcPr>
          <w:p>
            <w:pPr>
              <w:spacing w:after="0"/>
              <w:rPr>
                <w:sz w:val="17"/>
                <w:szCs w:val="17"/>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2.3%</w:t>
            </w:r>
          </w:p>
        </w:tc>
        <w:tc>
          <w:tcPr>
            <w:tcW w:w="1300" w:type="dxa"/>
            <w:vAlign w:val="bottom"/>
            <w:gridSpan w:val="2"/>
          </w:tcPr>
          <w:p>
            <w:pPr>
              <w:jc w:val="right"/>
              <w:spacing w:after="0"/>
              <w:rPr>
                <w:sz w:val="20"/>
                <w:szCs w:val="20"/>
                <w:color w:val="auto"/>
              </w:rPr>
            </w:pPr>
            <w:r>
              <w:rPr>
                <w:rFonts w:ascii="Arial" w:cs="Arial" w:eastAsia="Arial" w:hAnsi="Arial"/>
                <w:sz w:val="16"/>
                <w:szCs w:val="16"/>
                <w:b w:val="1"/>
                <w:bCs w:val="1"/>
                <w:color w:val="auto"/>
              </w:rPr>
              <w:t>3.1%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4640" w:type="dxa"/>
            <w:vAlign w:val="bottom"/>
            <w:shd w:val="clear" w:color="auto" w:fill="CCFFCC"/>
          </w:tcPr>
          <w:p>
            <w:pPr>
              <w:spacing w:after="0"/>
              <w:rPr>
                <w:sz w:val="17"/>
                <w:szCs w:val="17"/>
                <w:color w:val="auto"/>
              </w:rPr>
            </w:pPr>
          </w:p>
        </w:tc>
        <w:tc>
          <w:tcPr>
            <w:tcW w:w="114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14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114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14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114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640" w:type="dxa"/>
            <w:vAlign w:val="bottom"/>
          </w:tcPr>
          <w:p>
            <w:pPr>
              <w:spacing w:after="0"/>
              <w:rPr>
                <w:sz w:val="20"/>
                <w:szCs w:val="20"/>
                <w:color w:val="auto"/>
              </w:rPr>
            </w:pPr>
            <w:r>
              <w:rPr>
                <w:rFonts w:ascii="Arial" w:cs="Arial" w:eastAsia="Arial" w:hAnsi="Arial"/>
                <w:sz w:val="16"/>
                <w:szCs w:val="16"/>
                <w:b w:val="1"/>
                <w:bCs w:val="1"/>
                <w:color w:val="auto"/>
              </w:rPr>
              <w:t>Due to banks and correspondents</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2,265,653</w:t>
            </w:r>
          </w:p>
        </w:tc>
        <w:tc>
          <w:tcPr>
            <w:tcW w:w="134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1,713,177</w:t>
            </w: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2,330,707</w:t>
            </w:r>
          </w:p>
        </w:tc>
        <w:tc>
          <w:tcPr>
            <w:tcW w:w="220" w:type="dxa"/>
            <w:vAlign w:val="bottom"/>
          </w:tcPr>
          <w:p>
            <w:pPr>
              <w:spacing w:after="0"/>
              <w:rPr>
                <w:sz w:val="17"/>
                <w:szCs w:val="17"/>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-2.8%</w:t>
            </w:r>
          </w:p>
        </w:tc>
        <w:tc>
          <w:tcPr>
            <w:tcW w:w="1300" w:type="dxa"/>
            <w:vAlign w:val="bottom"/>
            <w:gridSpan w:val="2"/>
          </w:tcPr>
          <w:p>
            <w:pPr>
              <w:jc w:val="right"/>
              <w:spacing w:after="0"/>
              <w:rPr>
                <w:sz w:val="20"/>
                <w:szCs w:val="20"/>
                <w:color w:val="auto"/>
              </w:rPr>
            </w:pPr>
            <w:r>
              <w:rPr>
                <w:rFonts w:ascii="Arial" w:cs="Arial" w:eastAsia="Arial" w:hAnsi="Arial"/>
                <w:sz w:val="16"/>
                <w:szCs w:val="16"/>
                <w:b w:val="1"/>
                <w:bCs w:val="1"/>
                <w:color w:val="auto"/>
              </w:rPr>
              <w:t>32.2%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40" w:type="dxa"/>
            <w:vAlign w:val="bottom"/>
            <w:shd w:val="clear" w:color="auto" w:fill="CCFFCC"/>
          </w:tcPr>
          <w:p>
            <w:pPr>
              <w:spacing w:after="0"/>
              <w:rPr>
                <w:sz w:val="20"/>
                <w:szCs w:val="20"/>
                <w:color w:val="auto"/>
              </w:rPr>
            </w:pPr>
            <w:r>
              <w:rPr>
                <w:rFonts w:ascii="Arial" w:cs="Arial" w:eastAsia="Arial" w:hAnsi="Arial"/>
                <w:sz w:val="16"/>
                <w:szCs w:val="16"/>
                <w:b w:val="1"/>
                <w:bCs w:val="1"/>
                <w:color w:val="auto"/>
              </w:rPr>
              <w:t>Acceptances outstanding</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6"/>
                <w:szCs w:val="16"/>
                <w:b w:val="1"/>
                <w:bCs w:val="1"/>
                <w:color w:val="auto"/>
              </w:rPr>
              <w:t>96,423</w:t>
            </w:r>
          </w:p>
        </w:tc>
        <w:tc>
          <w:tcPr>
            <w:tcW w:w="1340" w:type="dxa"/>
            <w:vAlign w:val="bottom"/>
            <w:gridSpan w:val="2"/>
            <w:shd w:val="clear" w:color="auto" w:fill="CCFFCC"/>
          </w:tcPr>
          <w:p>
            <w:pPr>
              <w:jc w:val="right"/>
              <w:ind w:right="200"/>
              <w:spacing w:after="0"/>
              <w:rPr>
                <w:sz w:val="20"/>
                <w:szCs w:val="20"/>
                <w:color w:val="auto"/>
              </w:rPr>
            </w:pPr>
            <w:r>
              <w:rPr>
                <w:rFonts w:ascii="Arial" w:cs="Arial" w:eastAsia="Arial" w:hAnsi="Arial"/>
                <w:sz w:val="16"/>
                <w:szCs w:val="16"/>
                <w:b w:val="1"/>
                <w:bCs w:val="1"/>
                <w:color w:val="auto"/>
              </w:rPr>
              <w:t>63,901</w:t>
            </w:r>
          </w:p>
        </w:tc>
        <w:tc>
          <w:tcPr>
            <w:tcW w:w="1140" w:type="dxa"/>
            <w:vAlign w:val="bottom"/>
            <w:shd w:val="clear" w:color="auto" w:fill="CCFFCC"/>
          </w:tcPr>
          <w:p>
            <w:pPr>
              <w:jc w:val="right"/>
              <w:spacing w:after="0"/>
              <w:rPr>
                <w:sz w:val="20"/>
                <w:szCs w:val="20"/>
                <w:color w:val="auto"/>
              </w:rPr>
            </w:pPr>
            <w:r>
              <w:rPr>
                <w:rFonts w:ascii="Arial" w:cs="Arial" w:eastAsia="Arial" w:hAnsi="Arial"/>
                <w:sz w:val="16"/>
                <w:szCs w:val="16"/>
                <w:b w:val="1"/>
                <w:bCs w:val="1"/>
                <w:color w:val="auto"/>
              </w:rPr>
              <w:t>232,580</w:t>
            </w:r>
          </w:p>
        </w:tc>
        <w:tc>
          <w:tcPr>
            <w:tcW w:w="220" w:type="dxa"/>
            <w:vAlign w:val="bottom"/>
            <w:shd w:val="clear" w:color="auto" w:fill="CCFFCC"/>
          </w:tcPr>
          <w:p>
            <w:pPr>
              <w:spacing w:after="0"/>
              <w:rPr>
                <w:sz w:val="17"/>
                <w:szCs w:val="17"/>
                <w:color w:val="auto"/>
              </w:rPr>
            </w:pPr>
          </w:p>
        </w:tc>
        <w:tc>
          <w:tcPr>
            <w:tcW w:w="1400" w:type="dxa"/>
            <w:vAlign w:val="bottom"/>
            <w:gridSpan w:val="2"/>
            <w:shd w:val="clear" w:color="auto" w:fill="CCFFCC"/>
          </w:tcPr>
          <w:p>
            <w:pPr>
              <w:jc w:val="right"/>
              <w:ind w:right="100"/>
              <w:spacing w:after="0"/>
              <w:rPr>
                <w:sz w:val="20"/>
                <w:szCs w:val="20"/>
                <w:color w:val="auto"/>
              </w:rPr>
            </w:pPr>
            <w:r>
              <w:rPr>
                <w:rFonts w:ascii="Arial" w:cs="Arial" w:eastAsia="Arial" w:hAnsi="Arial"/>
                <w:sz w:val="16"/>
                <w:szCs w:val="16"/>
                <w:b w:val="1"/>
                <w:bCs w:val="1"/>
                <w:color w:val="auto"/>
              </w:rPr>
              <w:t>-58.5%</w:t>
            </w:r>
          </w:p>
        </w:tc>
        <w:tc>
          <w:tcPr>
            <w:tcW w:w="1300" w:type="dxa"/>
            <w:vAlign w:val="bottom"/>
            <w:gridSpan w:val="2"/>
            <w:shd w:val="clear" w:color="auto" w:fill="CCFFCC"/>
          </w:tcPr>
          <w:p>
            <w:pPr>
              <w:jc w:val="right"/>
              <w:spacing w:after="0"/>
              <w:rPr>
                <w:sz w:val="20"/>
                <w:szCs w:val="20"/>
                <w:color w:val="auto"/>
              </w:rPr>
            </w:pPr>
            <w:r>
              <w:rPr>
                <w:rFonts w:ascii="Arial" w:cs="Arial" w:eastAsia="Arial" w:hAnsi="Arial"/>
                <w:sz w:val="16"/>
                <w:szCs w:val="16"/>
                <w:b w:val="1"/>
                <w:bCs w:val="1"/>
                <w:color w:val="auto"/>
              </w:rPr>
              <w:t>50.9%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40" w:type="dxa"/>
            <w:vAlign w:val="bottom"/>
          </w:tcPr>
          <w:p>
            <w:pPr>
              <w:spacing w:after="0"/>
              <w:rPr>
                <w:sz w:val="20"/>
                <w:szCs w:val="20"/>
                <w:color w:val="auto"/>
              </w:rPr>
            </w:pPr>
            <w:r>
              <w:rPr>
                <w:rFonts w:ascii="Arial" w:cs="Arial" w:eastAsia="Arial" w:hAnsi="Arial"/>
                <w:sz w:val="16"/>
                <w:szCs w:val="16"/>
                <w:b w:val="1"/>
                <w:bCs w:val="1"/>
                <w:color w:val="auto"/>
              </w:rPr>
              <w:t>Reserves for property and casualty claims</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878,767</w:t>
            </w:r>
          </w:p>
        </w:tc>
        <w:tc>
          <w:tcPr>
            <w:tcW w:w="134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874,243</w:t>
            </w: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822,856</w:t>
            </w:r>
          </w:p>
        </w:tc>
        <w:tc>
          <w:tcPr>
            <w:tcW w:w="220" w:type="dxa"/>
            <w:vAlign w:val="bottom"/>
          </w:tcPr>
          <w:p>
            <w:pPr>
              <w:spacing w:after="0"/>
              <w:rPr>
                <w:sz w:val="17"/>
                <w:szCs w:val="17"/>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6.8%</w:t>
            </w:r>
          </w:p>
        </w:tc>
        <w:tc>
          <w:tcPr>
            <w:tcW w:w="1300" w:type="dxa"/>
            <w:vAlign w:val="bottom"/>
            <w:gridSpan w:val="2"/>
          </w:tcPr>
          <w:p>
            <w:pPr>
              <w:jc w:val="right"/>
              <w:spacing w:after="0"/>
              <w:rPr>
                <w:sz w:val="20"/>
                <w:szCs w:val="20"/>
                <w:color w:val="auto"/>
              </w:rPr>
            </w:pPr>
            <w:r>
              <w:rPr>
                <w:rFonts w:ascii="Arial" w:cs="Arial" w:eastAsia="Arial" w:hAnsi="Arial"/>
                <w:sz w:val="16"/>
                <w:szCs w:val="16"/>
                <w:b w:val="1"/>
                <w:bCs w:val="1"/>
                <w:color w:val="auto"/>
              </w:rPr>
              <w:t>0.5%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40" w:type="dxa"/>
            <w:vAlign w:val="bottom"/>
            <w:shd w:val="clear" w:color="auto" w:fill="CCFFCC"/>
          </w:tcPr>
          <w:p>
            <w:pPr>
              <w:spacing w:after="0"/>
              <w:rPr>
                <w:sz w:val="20"/>
                <w:szCs w:val="20"/>
                <w:color w:val="auto"/>
              </w:rPr>
            </w:pPr>
            <w:r>
              <w:rPr>
                <w:rFonts w:ascii="Arial" w:cs="Arial" w:eastAsia="Arial" w:hAnsi="Arial"/>
                <w:sz w:val="16"/>
                <w:szCs w:val="16"/>
                <w:b w:val="1"/>
                <w:bCs w:val="1"/>
                <w:color w:val="auto"/>
              </w:rPr>
              <w:t>Reserve for unearned premiums</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6"/>
                <w:szCs w:val="16"/>
                <w:b w:val="1"/>
                <w:bCs w:val="1"/>
                <w:color w:val="auto"/>
              </w:rPr>
              <w:t>140,024</w:t>
            </w:r>
          </w:p>
        </w:tc>
        <w:tc>
          <w:tcPr>
            <w:tcW w:w="1340" w:type="dxa"/>
            <w:vAlign w:val="bottom"/>
            <w:gridSpan w:val="2"/>
            <w:shd w:val="clear" w:color="auto" w:fill="CCFFCC"/>
          </w:tcPr>
          <w:p>
            <w:pPr>
              <w:jc w:val="right"/>
              <w:ind w:right="200"/>
              <w:spacing w:after="0"/>
              <w:rPr>
                <w:sz w:val="20"/>
                <w:szCs w:val="20"/>
                <w:color w:val="auto"/>
              </w:rPr>
            </w:pPr>
            <w:r>
              <w:rPr>
                <w:rFonts w:ascii="Arial" w:cs="Arial" w:eastAsia="Arial" w:hAnsi="Arial"/>
                <w:sz w:val="16"/>
                <w:szCs w:val="16"/>
                <w:b w:val="1"/>
                <w:bCs w:val="1"/>
                <w:color w:val="auto"/>
              </w:rPr>
              <w:t>140,907</w:t>
            </w:r>
          </w:p>
        </w:tc>
        <w:tc>
          <w:tcPr>
            <w:tcW w:w="1140" w:type="dxa"/>
            <w:vAlign w:val="bottom"/>
            <w:shd w:val="clear" w:color="auto" w:fill="CCFFCC"/>
          </w:tcPr>
          <w:p>
            <w:pPr>
              <w:jc w:val="right"/>
              <w:spacing w:after="0"/>
              <w:rPr>
                <w:sz w:val="20"/>
                <w:szCs w:val="20"/>
                <w:color w:val="auto"/>
              </w:rPr>
            </w:pPr>
            <w:r>
              <w:rPr>
                <w:rFonts w:ascii="Arial" w:cs="Arial" w:eastAsia="Arial" w:hAnsi="Arial"/>
                <w:sz w:val="16"/>
                <w:szCs w:val="16"/>
                <w:b w:val="1"/>
                <w:bCs w:val="1"/>
                <w:color w:val="auto"/>
              </w:rPr>
              <w:t>144,914</w:t>
            </w:r>
          </w:p>
        </w:tc>
        <w:tc>
          <w:tcPr>
            <w:tcW w:w="220" w:type="dxa"/>
            <w:vAlign w:val="bottom"/>
            <w:shd w:val="clear" w:color="auto" w:fill="CCFFCC"/>
          </w:tcPr>
          <w:p>
            <w:pPr>
              <w:spacing w:after="0"/>
              <w:rPr>
                <w:sz w:val="17"/>
                <w:szCs w:val="17"/>
                <w:color w:val="auto"/>
              </w:rPr>
            </w:pPr>
          </w:p>
        </w:tc>
        <w:tc>
          <w:tcPr>
            <w:tcW w:w="1400" w:type="dxa"/>
            <w:vAlign w:val="bottom"/>
            <w:gridSpan w:val="2"/>
            <w:shd w:val="clear" w:color="auto" w:fill="CCFFCC"/>
          </w:tcPr>
          <w:p>
            <w:pPr>
              <w:jc w:val="right"/>
              <w:ind w:right="100"/>
              <w:spacing w:after="0"/>
              <w:rPr>
                <w:sz w:val="20"/>
                <w:szCs w:val="20"/>
                <w:color w:val="auto"/>
              </w:rPr>
            </w:pPr>
            <w:r>
              <w:rPr>
                <w:rFonts w:ascii="Arial" w:cs="Arial" w:eastAsia="Arial" w:hAnsi="Arial"/>
                <w:sz w:val="16"/>
                <w:szCs w:val="16"/>
                <w:b w:val="1"/>
                <w:bCs w:val="1"/>
                <w:color w:val="auto"/>
              </w:rPr>
              <w:t>-3.4%</w:t>
            </w:r>
          </w:p>
        </w:tc>
        <w:tc>
          <w:tcPr>
            <w:tcW w:w="1300" w:type="dxa"/>
            <w:vAlign w:val="bottom"/>
            <w:gridSpan w:val="2"/>
            <w:shd w:val="clear" w:color="auto" w:fill="CCFFCC"/>
          </w:tcPr>
          <w:p>
            <w:pPr>
              <w:jc w:val="right"/>
              <w:spacing w:after="0"/>
              <w:rPr>
                <w:sz w:val="20"/>
                <w:szCs w:val="20"/>
                <w:color w:val="auto"/>
              </w:rPr>
            </w:pPr>
            <w:r>
              <w:rPr>
                <w:rFonts w:ascii="Arial" w:cs="Arial" w:eastAsia="Arial" w:hAnsi="Arial"/>
                <w:sz w:val="16"/>
                <w:szCs w:val="16"/>
                <w:b w:val="1"/>
                <w:bCs w:val="1"/>
                <w:color w:val="auto"/>
              </w:rPr>
              <w:t>-0.6%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40" w:type="dxa"/>
            <w:vAlign w:val="bottom"/>
          </w:tcPr>
          <w:p>
            <w:pPr>
              <w:spacing w:after="0"/>
              <w:rPr>
                <w:sz w:val="20"/>
                <w:szCs w:val="20"/>
                <w:color w:val="auto"/>
              </w:rPr>
            </w:pPr>
            <w:r>
              <w:rPr>
                <w:rFonts w:ascii="Arial" w:cs="Arial" w:eastAsia="Arial" w:hAnsi="Arial"/>
                <w:sz w:val="16"/>
                <w:szCs w:val="16"/>
                <w:b w:val="1"/>
                <w:bCs w:val="1"/>
                <w:color w:val="auto"/>
              </w:rPr>
              <w:t>Reinsurance payable</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48,009</w:t>
            </w:r>
          </w:p>
        </w:tc>
        <w:tc>
          <w:tcPr>
            <w:tcW w:w="134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38,832</w:t>
            </w: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55,841</w:t>
            </w:r>
          </w:p>
        </w:tc>
        <w:tc>
          <w:tcPr>
            <w:tcW w:w="220" w:type="dxa"/>
            <w:vAlign w:val="bottom"/>
          </w:tcPr>
          <w:p>
            <w:pPr>
              <w:spacing w:after="0"/>
              <w:rPr>
                <w:sz w:val="17"/>
                <w:szCs w:val="17"/>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-14.0%</w:t>
            </w:r>
          </w:p>
        </w:tc>
        <w:tc>
          <w:tcPr>
            <w:tcW w:w="1300" w:type="dxa"/>
            <w:vAlign w:val="bottom"/>
            <w:gridSpan w:val="2"/>
          </w:tcPr>
          <w:p>
            <w:pPr>
              <w:jc w:val="right"/>
              <w:spacing w:after="0"/>
              <w:rPr>
                <w:sz w:val="20"/>
                <w:szCs w:val="20"/>
                <w:color w:val="auto"/>
              </w:rPr>
            </w:pPr>
            <w:r>
              <w:rPr>
                <w:rFonts w:ascii="Arial" w:cs="Arial" w:eastAsia="Arial" w:hAnsi="Arial"/>
                <w:sz w:val="16"/>
                <w:szCs w:val="16"/>
                <w:b w:val="1"/>
                <w:bCs w:val="1"/>
                <w:color w:val="auto"/>
              </w:rPr>
              <w:t>23.6%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40" w:type="dxa"/>
            <w:vAlign w:val="bottom"/>
            <w:shd w:val="clear" w:color="auto" w:fill="CCFFCC"/>
          </w:tcPr>
          <w:p>
            <w:pPr>
              <w:spacing w:after="0"/>
              <w:rPr>
                <w:sz w:val="20"/>
                <w:szCs w:val="20"/>
                <w:color w:val="auto"/>
              </w:rPr>
            </w:pPr>
            <w:r>
              <w:rPr>
                <w:rFonts w:ascii="Arial" w:cs="Arial" w:eastAsia="Arial" w:hAnsi="Arial"/>
                <w:sz w:val="16"/>
                <w:szCs w:val="16"/>
                <w:b w:val="1"/>
                <w:bCs w:val="1"/>
                <w:color w:val="auto"/>
              </w:rPr>
              <w:t>Bonds and subordinated debt</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6"/>
                <w:szCs w:val="16"/>
                <w:b w:val="1"/>
                <w:bCs w:val="1"/>
                <w:color w:val="auto"/>
              </w:rPr>
              <w:t>1,286,721</w:t>
            </w:r>
          </w:p>
        </w:tc>
        <w:tc>
          <w:tcPr>
            <w:tcW w:w="1340" w:type="dxa"/>
            <w:vAlign w:val="bottom"/>
            <w:gridSpan w:val="2"/>
            <w:shd w:val="clear" w:color="auto" w:fill="CCFFCC"/>
          </w:tcPr>
          <w:p>
            <w:pPr>
              <w:jc w:val="right"/>
              <w:ind w:right="200"/>
              <w:spacing w:after="0"/>
              <w:rPr>
                <w:sz w:val="20"/>
                <w:szCs w:val="20"/>
                <w:color w:val="auto"/>
              </w:rPr>
            </w:pPr>
            <w:r>
              <w:rPr>
                <w:rFonts w:ascii="Arial" w:cs="Arial" w:eastAsia="Arial" w:hAnsi="Arial"/>
                <w:sz w:val="16"/>
                <w:szCs w:val="16"/>
                <w:b w:val="1"/>
                <w:bCs w:val="1"/>
                <w:color w:val="auto"/>
              </w:rPr>
              <w:t>915,091</w:t>
            </w:r>
          </w:p>
        </w:tc>
        <w:tc>
          <w:tcPr>
            <w:tcW w:w="1140" w:type="dxa"/>
            <w:vAlign w:val="bottom"/>
            <w:shd w:val="clear" w:color="auto" w:fill="CCFFCC"/>
          </w:tcPr>
          <w:p>
            <w:pPr>
              <w:jc w:val="right"/>
              <w:spacing w:after="0"/>
              <w:rPr>
                <w:sz w:val="20"/>
                <w:szCs w:val="20"/>
                <w:color w:val="auto"/>
              </w:rPr>
            </w:pPr>
            <w:r>
              <w:rPr>
                <w:rFonts w:ascii="Arial" w:cs="Arial" w:eastAsia="Arial" w:hAnsi="Arial"/>
                <w:sz w:val="16"/>
                <w:szCs w:val="16"/>
                <w:b w:val="1"/>
                <w:bCs w:val="1"/>
                <w:color w:val="auto"/>
              </w:rPr>
              <w:t>799,083</w:t>
            </w:r>
          </w:p>
        </w:tc>
        <w:tc>
          <w:tcPr>
            <w:tcW w:w="220" w:type="dxa"/>
            <w:vAlign w:val="bottom"/>
            <w:shd w:val="clear" w:color="auto" w:fill="CCFFCC"/>
          </w:tcPr>
          <w:p>
            <w:pPr>
              <w:spacing w:after="0"/>
              <w:rPr>
                <w:sz w:val="17"/>
                <w:szCs w:val="17"/>
                <w:color w:val="auto"/>
              </w:rPr>
            </w:pPr>
          </w:p>
        </w:tc>
        <w:tc>
          <w:tcPr>
            <w:tcW w:w="1400" w:type="dxa"/>
            <w:vAlign w:val="bottom"/>
            <w:gridSpan w:val="2"/>
            <w:shd w:val="clear" w:color="auto" w:fill="CCFFCC"/>
          </w:tcPr>
          <w:p>
            <w:pPr>
              <w:jc w:val="right"/>
              <w:ind w:right="100"/>
              <w:spacing w:after="0"/>
              <w:rPr>
                <w:sz w:val="20"/>
                <w:szCs w:val="20"/>
                <w:color w:val="auto"/>
              </w:rPr>
            </w:pPr>
            <w:r>
              <w:rPr>
                <w:rFonts w:ascii="Arial" w:cs="Arial" w:eastAsia="Arial" w:hAnsi="Arial"/>
                <w:sz w:val="16"/>
                <w:szCs w:val="16"/>
                <w:b w:val="1"/>
                <w:bCs w:val="1"/>
                <w:color w:val="auto"/>
              </w:rPr>
              <w:t>61.0%</w:t>
            </w:r>
          </w:p>
        </w:tc>
        <w:tc>
          <w:tcPr>
            <w:tcW w:w="1300" w:type="dxa"/>
            <w:vAlign w:val="bottom"/>
            <w:gridSpan w:val="2"/>
            <w:shd w:val="clear" w:color="auto" w:fill="CCFFCC"/>
          </w:tcPr>
          <w:p>
            <w:pPr>
              <w:jc w:val="right"/>
              <w:spacing w:after="0"/>
              <w:rPr>
                <w:sz w:val="20"/>
                <w:szCs w:val="20"/>
                <w:color w:val="auto"/>
              </w:rPr>
            </w:pPr>
            <w:r>
              <w:rPr>
                <w:rFonts w:ascii="Arial" w:cs="Arial" w:eastAsia="Arial" w:hAnsi="Arial"/>
                <w:sz w:val="16"/>
                <w:szCs w:val="16"/>
                <w:b w:val="1"/>
                <w:bCs w:val="1"/>
                <w:color w:val="auto"/>
              </w:rPr>
              <w:t>40.6%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40" w:type="dxa"/>
            <w:vAlign w:val="bottom"/>
          </w:tcPr>
          <w:p>
            <w:pPr>
              <w:spacing w:after="0"/>
              <w:rPr>
                <w:sz w:val="20"/>
                <w:szCs w:val="20"/>
                <w:color w:val="auto"/>
              </w:rPr>
            </w:pPr>
            <w:r>
              <w:rPr>
                <w:rFonts w:ascii="Arial" w:cs="Arial" w:eastAsia="Arial" w:hAnsi="Arial"/>
                <w:sz w:val="16"/>
                <w:szCs w:val="16"/>
                <w:b w:val="1"/>
                <w:bCs w:val="1"/>
                <w:color w:val="auto"/>
              </w:rPr>
              <w:t>Other liabilities</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837,701</w:t>
            </w:r>
          </w:p>
        </w:tc>
        <w:tc>
          <w:tcPr>
            <w:tcW w:w="134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1,052,250</w:t>
            </w: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1,101,376</w:t>
            </w:r>
          </w:p>
        </w:tc>
        <w:tc>
          <w:tcPr>
            <w:tcW w:w="220" w:type="dxa"/>
            <w:vAlign w:val="bottom"/>
          </w:tcPr>
          <w:p>
            <w:pPr>
              <w:spacing w:after="0"/>
              <w:rPr>
                <w:sz w:val="17"/>
                <w:szCs w:val="17"/>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-23.9%</w:t>
            </w:r>
          </w:p>
        </w:tc>
        <w:tc>
          <w:tcPr>
            <w:tcW w:w="1300" w:type="dxa"/>
            <w:vAlign w:val="bottom"/>
            <w:gridSpan w:val="2"/>
          </w:tcPr>
          <w:p>
            <w:pPr>
              <w:jc w:val="right"/>
              <w:spacing w:after="0"/>
              <w:rPr>
                <w:sz w:val="20"/>
                <w:szCs w:val="20"/>
                <w:color w:val="auto"/>
              </w:rPr>
            </w:pPr>
            <w:r>
              <w:rPr>
                <w:rFonts w:ascii="Arial" w:cs="Arial" w:eastAsia="Arial" w:hAnsi="Arial"/>
                <w:sz w:val="16"/>
                <w:szCs w:val="16"/>
                <w:b w:val="1"/>
                <w:bCs w:val="1"/>
                <w:color w:val="auto"/>
              </w:rPr>
              <w:t>-20.4%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40" w:type="dxa"/>
            <w:vAlign w:val="bottom"/>
            <w:shd w:val="clear" w:color="auto" w:fill="CCFFCC"/>
          </w:tcPr>
          <w:p>
            <w:pPr>
              <w:spacing w:after="0"/>
              <w:rPr>
                <w:sz w:val="20"/>
                <w:szCs w:val="20"/>
                <w:color w:val="auto"/>
              </w:rPr>
            </w:pPr>
            <w:r>
              <w:rPr>
                <w:rFonts w:ascii="Arial" w:cs="Arial" w:eastAsia="Arial" w:hAnsi="Arial"/>
                <w:sz w:val="16"/>
                <w:szCs w:val="16"/>
                <w:b w:val="1"/>
                <w:bCs w:val="1"/>
                <w:color w:val="auto"/>
              </w:rPr>
              <w:t>Minority interest</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6"/>
                <w:szCs w:val="16"/>
                <w:b w:val="1"/>
                <w:bCs w:val="1"/>
                <w:color w:val="auto"/>
              </w:rPr>
              <w:t>186,496</w:t>
            </w:r>
          </w:p>
        </w:tc>
        <w:tc>
          <w:tcPr>
            <w:tcW w:w="1340" w:type="dxa"/>
            <w:vAlign w:val="bottom"/>
            <w:gridSpan w:val="2"/>
            <w:shd w:val="clear" w:color="auto" w:fill="CCFFCC"/>
          </w:tcPr>
          <w:p>
            <w:pPr>
              <w:jc w:val="right"/>
              <w:ind w:right="200"/>
              <w:spacing w:after="0"/>
              <w:rPr>
                <w:sz w:val="20"/>
                <w:szCs w:val="20"/>
                <w:color w:val="auto"/>
              </w:rPr>
            </w:pPr>
            <w:r>
              <w:rPr>
                <w:rFonts w:ascii="Arial" w:cs="Arial" w:eastAsia="Arial" w:hAnsi="Arial"/>
                <w:sz w:val="16"/>
                <w:szCs w:val="16"/>
                <w:b w:val="1"/>
                <w:bCs w:val="1"/>
                <w:color w:val="auto"/>
              </w:rPr>
              <w:t>171,670</w:t>
            </w:r>
          </w:p>
        </w:tc>
        <w:tc>
          <w:tcPr>
            <w:tcW w:w="1140" w:type="dxa"/>
            <w:vAlign w:val="bottom"/>
            <w:shd w:val="clear" w:color="auto" w:fill="CCFFCC"/>
          </w:tcPr>
          <w:p>
            <w:pPr>
              <w:jc w:val="right"/>
              <w:spacing w:after="0"/>
              <w:rPr>
                <w:sz w:val="20"/>
                <w:szCs w:val="20"/>
                <w:color w:val="auto"/>
              </w:rPr>
            </w:pPr>
            <w:r>
              <w:rPr>
                <w:rFonts w:ascii="Arial" w:cs="Arial" w:eastAsia="Arial" w:hAnsi="Arial"/>
                <w:sz w:val="16"/>
                <w:szCs w:val="16"/>
                <w:b w:val="1"/>
                <w:bCs w:val="1"/>
                <w:color w:val="auto"/>
              </w:rPr>
              <w:t>106,933</w:t>
            </w:r>
          </w:p>
        </w:tc>
        <w:tc>
          <w:tcPr>
            <w:tcW w:w="220" w:type="dxa"/>
            <w:vAlign w:val="bottom"/>
            <w:shd w:val="clear" w:color="auto" w:fill="CCFFCC"/>
          </w:tcPr>
          <w:p>
            <w:pPr>
              <w:spacing w:after="0"/>
              <w:rPr>
                <w:sz w:val="17"/>
                <w:szCs w:val="17"/>
                <w:color w:val="auto"/>
              </w:rPr>
            </w:pPr>
          </w:p>
        </w:tc>
        <w:tc>
          <w:tcPr>
            <w:tcW w:w="1400" w:type="dxa"/>
            <w:vAlign w:val="bottom"/>
            <w:gridSpan w:val="2"/>
            <w:shd w:val="clear" w:color="auto" w:fill="CCFFCC"/>
          </w:tcPr>
          <w:p>
            <w:pPr>
              <w:jc w:val="right"/>
              <w:ind w:right="100"/>
              <w:spacing w:after="0"/>
              <w:rPr>
                <w:sz w:val="20"/>
                <w:szCs w:val="20"/>
                <w:color w:val="auto"/>
              </w:rPr>
            </w:pPr>
            <w:r>
              <w:rPr>
                <w:rFonts w:ascii="Arial" w:cs="Arial" w:eastAsia="Arial" w:hAnsi="Arial"/>
                <w:sz w:val="16"/>
                <w:szCs w:val="16"/>
                <w:b w:val="1"/>
                <w:bCs w:val="1"/>
                <w:color w:val="auto"/>
              </w:rPr>
              <w:t>74.4%</w:t>
            </w:r>
          </w:p>
        </w:tc>
        <w:tc>
          <w:tcPr>
            <w:tcW w:w="1300" w:type="dxa"/>
            <w:vAlign w:val="bottom"/>
            <w:gridSpan w:val="2"/>
            <w:shd w:val="clear" w:color="auto" w:fill="CCFFCC"/>
          </w:tcPr>
          <w:p>
            <w:pPr>
              <w:jc w:val="right"/>
              <w:spacing w:after="0"/>
              <w:rPr>
                <w:sz w:val="20"/>
                <w:szCs w:val="20"/>
                <w:color w:val="auto"/>
              </w:rPr>
            </w:pPr>
            <w:r>
              <w:rPr>
                <w:rFonts w:ascii="Arial" w:cs="Arial" w:eastAsia="Arial" w:hAnsi="Arial"/>
                <w:sz w:val="16"/>
                <w:szCs w:val="16"/>
                <w:b w:val="1"/>
                <w:bCs w:val="1"/>
                <w:color w:val="auto"/>
              </w:rPr>
              <w:t>8.6%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40" w:type="dxa"/>
            <w:vAlign w:val="bottom"/>
          </w:tcPr>
          <w:p>
            <w:pPr>
              <w:jc w:val="center"/>
              <w:ind w:right="19"/>
              <w:spacing w:after="0"/>
              <w:rPr>
                <w:sz w:val="20"/>
                <w:szCs w:val="20"/>
                <w:color w:val="auto"/>
              </w:rPr>
            </w:pPr>
            <w:r>
              <w:rPr>
                <w:rFonts w:ascii="Arial" w:cs="Arial" w:eastAsia="Arial" w:hAnsi="Arial"/>
                <w:sz w:val="16"/>
                <w:szCs w:val="16"/>
                <w:b w:val="1"/>
                <w:bCs w:val="1"/>
                <w:color w:val="auto"/>
                <w:w w:val="91"/>
              </w:rPr>
              <w:t>Total liabilities</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19,835,777</w:t>
            </w:r>
          </w:p>
        </w:tc>
        <w:tc>
          <w:tcPr>
            <w:tcW w:w="134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18,642,357</w:t>
            </w: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19,373,705</w:t>
            </w:r>
          </w:p>
        </w:tc>
        <w:tc>
          <w:tcPr>
            <w:tcW w:w="220" w:type="dxa"/>
            <w:vAlign w:val="bottom"/>
          </w:tcPr>
          <w:p>
            <w:pPr>
              <w:spacing w:after="0"/>
              <w:rPr>
                <w:sz w:val="17"/>
                <w:szCs w:val="17"/>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2.4%</w:t>
            </w:r>
          </w:p>
        </w:tc>
        <w:tc>
          <w:tcPr>
            <w:tcW w:w="1300" w:type="dxa"/>
            <w:vAlign w:val="bottom"/>
            <w:gridSpan w:val="2"/>
          </w:tcPr>
          <w:p>
            <w:pPr>
              <w:jc w:val="right"/>
              <w:spacing w:after="0"/>
              <w:rPr>
                <w:sz w:val="20"/>
                <w:szCs w:val="20"/>
                <w:color w:val="auto"/>
              </w:rPr>
            </w:pPr>
            <w:r>
              <w:rPr>
                <w:rFonts w:ascii="Arial" w:cs="Arial" w:eastAsia="Arial" w:hAnsi="Arial"/>
                <w:sz w:val="16"/>
                <w:szCs w:val="16"/>
                <w:b w:val="1"/>
                <w:bCs w:val="1"/>
                <w:color w:val="auto"/>
              </w:rPr>
              <w:t>6.4%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4640" w:type="dxa"/>
            <w:vAlign w:val="bottom"/>
            <w:shd w:val="clear" w:color="auto" w:fill="CCFFCC"/>
          </w:tcPr>
          <w:p>
            <w:pPr>
              <w:spacing w:after="0"/>
              <w:rPr>
                <w:sz w:val="17"/>
                <w:szCs w:val="17"/>
                <w:color w:val="auto"/>
              </w:rPr>
            </w:pPr>
          </w:p>
        </w:tc>
        <w:tc>
          <w:tcPr>
            <w:tcW w:w="114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14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114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14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114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640" w:type="dxa"/>
            <w:vAlign w:val="bottom"/>
          </w:tcPr>
          <w:p>
            <w:pPr>
              <w:spacing w:after="0"/>
              <w:rPr>
                <w:sz w:val="20"/>
                <w:szCs w:val="20"/>
                <w:color w:val="auto"/>
              </w:rPr>
            </w:pPr>
            <w:r>
              <w:rPr>
                <w:rFonts w:ascii="Arial" w:cs="Arial" w:eastAsia="Arial" w:hAnsi="Arial"/>
                <w:sz w:val="16"/>
                <w:szCs w:val="16"/>
                <w:color w:val="auto"/>
              </w:rPr>
              <w:t>Capital stock</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471,912</w:t>
            </w: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471,912</w:t>
            </w:r>
          </w:p>
        </w:tc>
        <w:tc>
          <w:tcPr>
            <w:tcW w:w="1140" w:type="dxa"/>
            <w:vAlign w:val="bottom"/>
          </w:tcPr>
          <w:p>
            <w:pPr>
              <w:jc w:val="right"/>
              <w:spacing w:after="0"/>
              <w:rPr>
                <w:sz w:val="20"/>
                <w:szCs w:val="20"/>
                <w:color w:val="auto"/>
              </w:rPr>
            </w:pPr>
            <w:r>
              <w:rPr>
                <w:rFonts w:ascii="Arial" w:cs="Arial" w:eastAsia="Arial" w:hAnsi="Arial"/>
                <w:sz w:val="16"/>
                <w:szCs w:val="16"/>
                <w:color w:val="auto"/>
              </w:rPr>
              <w:t>471,912</w:t>
            </w:r>
          </w:p>
        </w:tc>
        <w:tc>
          <w:tcPr>
            <w:tcW w:w="220" w:type="dxa"/>
            <w:vAlign w:val="bottom"/>
          </w:tcPr>
          <w:p>
            <w:pPr>
              <w:spacing w:after="0"/>
              <w:rPr>
                <w:sz w:val="17"/>
                <w:szCs w:val="17"/>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6"/>
                <w:szCs w:val="16"/>
                <w:color w:val="auto"/>
              </w:rPr>
              <w:t>0.0%</w:t>
            </w:r>
          </w:p>
        </w:tc>
        <w:tc>
          <w:tcPr>
            <w:tcW w:w="1300" w:type="dxa"/>
            <w:vAlign w:val="bottom"/>
            <w:gridSpan w:val="2"/>
          </w:tcPr>
          <w:p>
            <w:pPr>
              <w:jc w:val="right"/>
              <w:ind w:right="20"/>
              <w:spacing w:after="0"/>
              <w:rPr>
                <w:sz w:val="20"/>
                <w:szCs w:val="20"/>
                <w:color w:val="auto"/>
              </w:rPr>
            </w:pPr>
            <w:r>
              <w:rPr>
                <w:rFonts w:ascii="Arial" w:cs="Arial" w:eastAsia="Arial" w:hAnsi="Arial"/>
                <w:sz w:val="16"/>
                <w:szCs w:val="16"/>
                <w:color w:val="auto"/>
              </w:rPr>
              <w:t>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40" w:type="dxa"/>
            <w:vAlign w:val="bottom"/>
            <w:shd w:val="clear" w:color="auto" w:fill="CCFFCC"/>
          </w:tcPr>
          <w:p>
            <w:pPr>
              <w:spacing w:after="0"/>
              <w:rPr>
                <w:sz w:val="20"/>
                <w:szCs w:val="20"/>
                <w:color w:val="auto"/>
              </w:rPr>
            </w:pPr>
            <w:r>
              <w:rPr>
                <w:rFonts w:ascii="Arial" w:cs="Arial" w:eastAsia="Arial" w:hAnsi="Arial"/>
                <w:sz w:val="16"/>
                <w:szCs w:val="16"/>
                <w:color w:val="auto"/>
              </w:rPr>
              <w:t>Treasury stock</w:t>
            </w:r>
          </w:p>
        </w:tc>
        <w:tc>
          <w:tcPr>
            <w:tcW w:w="1360" w:type="dxa"/>
            <w:vAlign w:val="bottom"/>
            <w:gridSpan w:val="2"/>
            <w:shd w:val="clear" w:color="auto" w:fill="CCFFCC"/>
          </w:tcPr>
          <w:p>
            <w:pPr>
              <w:jc w:val="right"/>
              <w:ind w:right="160"/>
              <w:spacing w:after="0"/>
              <w:rPr>
                <w:sz w:val="20"/>
                <w:szCs w:val="20"/>
                <w:color w:val="auto"/>
              </w:rPr>
            </w:pPr>
            <w:r>
              <w:rPr>
                <w:rFonts w:ascii="Arial" w:cs="Arial" w:eastAsia="Arial" w:hAnsi="Arial"/>
                <w:sz w:val="16"/>
                <w:szCs w:val="16"/>
                <w:color w:val="auto"/>
              </w:rPr>
              <w:t>(74,242)</w:t>
            </w:r>
          </w:p>
        </w:tc>
        <w:tc>
          <w:tcPr>
            <w:tcW w:w="1340" w:type="dxa"/>
            <w:vAlign w:val="bottom"/>
            <w:gridSpan w:val="2"/>
            <w:shd w:val="clear" w:color="auto" w:fill="CCFFCC"/>
          </w:tcPr>
          <w:p>
            <w:pPr>
              <w:jc w:val="right"/>
              <w:ind w:right="160"/>
              <w:spacing w:after="0"/>
              <w:rPr>
                <w:sz w:val="20"/>
                <w:szCs w:val="20"/>
                <w:color w:val="auto"/>
              </w:rPr>
            </w:pPr>
            <w:r>
              <w:rPr>
                <w:rFonts w:ascii="Arial" w:cs="Arial" w:eastAsia="Arial" w:hAnsi="Arial"/>
                <w:sz w:val="16"/>
                <w:szCs w:val="16"/>
                <w:color w:val="auto"/>
              </w:rPr>
              <w:t>(74,242)</w:t>
            </w:r>
          </w:p>
        </w:tc>
        <w:tc>
          <w:tcPr>
            <w:tcW w:w="1360" w:type="dxa"/>
            <w:vAlign w:val="bottom"/>
            <w:gridSpan w:val="2"/>
            <w:shd w:val="clear" w:color="auto" w:fill="CCFFCC"/>
          </w:tcPr>
          <w:p>
            <w:pPr>
              <w:jc w:val="right"/>
              <w:ind w:right="160"/>
              <w:spacing w:after="0"/>
              <w:rPr>
                <w:sz w:val="20"/>
                <w:szCs w:val="20"/>
                <w:color w:val="auto"/>
              </w:rPr>
            </w:pPr>
            <w:r>
              <w:rPr>
                <w:rFonts w:ascii="Arial" w:cs="Arial" w:eastAsia="Arial" w:hAnsi="Arial"/>
                <w:sz w:val="16"/>
                <w:szCs w:val="16"/>
                <w:color w:val="auto"/>
              </w:rPr>
              <w:t>(73,107)</w:t>
            </w:r>
          </w:p>
        </w:tc>
        <w:tc>
          <w:tcPr>
            <w:tcW w:w="1400" w:type="dxa"/>
            <w:vAlign w:val="bottom"/>
            <w:gridSpan w:val="2"/>
            <w:shd w:val="clear" w:color="auto" w:fill="CCFFCC"/>
          </w:tcPr>
          <w:p>
            <w:pPr>
              <w:jc w:val="right"/>
              <w:ind w:right="140"/>
              <w:spacing w:after="0"/>
              <w:rPr>
                <w:sz w:val="20"/>
                <w:szCs w:val="20"/>
                <w:color w:val="auto"/>
              </w:rPr>
            </w:pPr>
            <w:r>
              <w:rPr>
                <w:rFonts w:ascii="Arial" w:cs="Arial" w:eastAsia="Arial" w:hAnsi="Arial"/>
                <w:sz w:val="16"/>
                <w:szCs w:val="16"/>
                <w:color w:val="auto"/>
              </w:rPr>
              <w:t>1.6%</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6"/>
                <w:szCs w:val="16"/>
                <w:color w:val="auto"/>
              </w:rPr>
              <w:t>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40" w:type="dxa"/>
            <w:vAlign w:val="bottom"/>
          </w:tcPr>
          <w:p>
            <w:pPr>
              <w:spacing w:after="0"/>
              <w:rPr>
                <w:sz w:val="20"/>
                <w:szCs w:val="20"/>
                <w:color w:val="auto"/>
              </w:rPr>
            </w:pPr>
            <w:r>
              <w:rPr>
                <w:rFonts w:ascii="Arial" w:cs="Arial" w:eastAsia="Arial" w:hAnsi="Arial"/>
                <w:sz w:val="16"/>
                <w:szCs w:val="16"/>
                <w:color w:val="auto"/>
              </w:rPr>
              <w:t>Capital surplus</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130,341</w:t>
            </w: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130,341</w:t>
            </w:r>
          </w:p>
        </w:tc>
        <w:tc>
          <w:tcPr>
            <w:tcW w:w="1140" w:type="dxa"/>
            <w:vAlign w:val="bottom"/>
          </w:tcPr>
          <w:p>
            <w:pPr>
              <w:jc w:val="right"/>
              <w:spacing w:after="0"/>
              <w:rPr>
                <w:sz w:val="20"/>
                <w:szCs w:val="20"/>
                <w:color w:val="auto"/>
              </w:rPr>
            </w:pPr>
            <w:r>
              <w:rPr>
                <w:rFonts w:ascii="Arial" w:cs="Arial" w:eastAsia="Arial" w:hAnsi="Arial"/>
                <w:sz w:val="16"/>
                <w:szCs w:val="16"/>
                <w:color w:val="auto"/>
              </w:rPr>
              <w:t>140,693</w:t>
            </w:r>
          </w:p>
        </w:tc>
        <w:tc>
          <w:tcPr>
            <w:tcW w:w="220" w:type="dxa"/>
            <w:vAlign w:val="bottom"/>
          </w:tcPr>
          <w:p>
            <w:pPr>
              <w:spacing w:after="0"/>
              <w:rPr>
                <w:sz w:val="17"/>
                <w:szCs w:val="17"/>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6"/>
                <w:szCs w:val="16"/>
                <w:color w:val="auto"/>
              </w:rPr>
              <w:t>-7.4%</w:t>
            </w:r>
          </w:p>
        </w:tc>
        <w:tc>
          <w:tcPr>
            <w:tcW w:w="1300" w:type="dxa"/>
            <w:vAlign w:val="bottom"/>
            <w:gridSpan w:val="2"/>
          </w:tcPr>
          <w:p>
            <w:pPr>
              <w:jc w:val="right"/>
              <w:ind w:right="20"/>
              <w:spacing w:after="0"/>
              <w:rPr>
                <w:sz w:val="20"/>
                <w:szCs w:val="20"/>
                <w:color w:val="auto"/>
              </w:rPr>
            </w:pPr>
            <w:r>
              <w:rPr>
                <w:rFonts w:ascii="Arial" w:cs="Arial" w:eastAsia="Arial" w:hAnsi="Arial"/>
                <w:sz w:val="16"/>
                <w:szCs w:val="16"/>
                <w:color w:val="auto"/>
              </w:rPr>
              <w:t>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40" w:type="dxa"/>
            <w:vAlign w:val="bottom"/>
            <w:shd w:val="clear" w:color="auto" w:fill="CCFFCC"/>
          </w:tcPr>
          <w:p>
            <w:pPr>
              <w:spacing w:after="0"/>
              <w:rPr>
                <w:sz w:val="20"/>
                <w:szCs w:val="20"/>
                <w:color w:val="auto"/>
              </w:rPr>
            </w:pPr>
            <w:r>
              <w:rPr>
                <w:rFonts w:ascii="Arial" w:cs="Arial" w:eastAsia="Arial" w:hAnsi="Arial"/>
                <w:sz w:val="16"/>
                <w:szCs w:val="16"/>
                <w:color w:val="auto"/>
              </w:rPr>
              <w:t>Reserves</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1,053,494</w:t>
            </w:r>
          </w:p>
        </w:tc>
        <w:tc>
          <w:tcPr>
            <w:tcW w:w="1340" w:type="dxa"/>
            <w:vAlign w:val="bottom"/>
            <w:gridSpan w:val="2"/>
            <w:shd w:val="clear" w:color="auto" w:fill="CCFFCC"/>
          </w:tcPr>
          <w:p>
            <w:pPr>
              <w:jc w:val="right"/>
              <w:ind w:right="200"/>
              <w:spacing w:after="0"/>
              <w:rPr>
                <w:sz w:val="20"/>
                <w:szCs w:val="20"/>
                <w:color w:val="auto"/>
              </w:rPr>
            </w:pPr>
            <w:r>
              <w:rPr>
                <w:rFonts w:ascii="Arial" w:cs="Arial" w:eastAsia="Arial" w:hAnsi="Arial"/>
                <w:sz w:val="16"/>
                <w:szCs w:val="16"/>
                <w:color w:val="auto"/>
              </w:rPr>
              <w:t>1,053,494</w:t>
            </w:r>
          </w:p>
        </w:tc>
        <w:tc>
          <w:tcPr>
            <w:tcW w:w="11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815,387</w:t>
            </w:r>
          </w:p>
        </w:tc>
        <w:tc>
          <w:tcPr>
            <w:tcW w:w="220" w:type="dxa"/>
            <w:vAlign w:val="bottom"/>
            <w:shd w:val="clear" w:color="auto" w:fill="CCFFCC"/>
          </w:tcPr>
          <w:p>
            <w:pPr>
              <w:spacing w:after="0"/>
              <w:rPr>
                <w:sz w:val="17"/>
                <w:szCs w:val="17"/>
                <w:color w:val="auto"/>
              </w:rPr>
            </w:pPr>
          </w:p>
        </w:tc>
        <w:tc>
          <w:tcPr>
            <w:tcW w:w="1400" w:type="dxa"/>
            <w:vAlign w:val="bottom"/>
            <w:gridSpan w:val="2"/>
            <w:shd w:val="clear" w:color="auto" w:fill="CCFFCC"/>
          </w:tcPr>
          <w:p>
            <w:pPr>
              <w:jc w:val="right"/>
              <w:ind w:right="140"/>
              <w:spacing w:after="0"/>
              <w:rPr>
                <w:sz w:val="20"/>
                <w:szCs w:val="20"/>
                <w:color w:val="auto"/>
              </w:rPr>
            </w:pPr>
            <w:r>
              <w:rPr>
                <w:rFonts w:ascii="Arial" w:cs="Arial" w:eastAsia="Arial" w:hAnsi="Arial"/>
                <w:sz w:val="16"/>
                <w:szCs w:val="16"/>
                <w:color w:val="auto"/>
              </w:rPr>
              <w:t>29.2%</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6"/>
                <w:szCs w:val="16"/>
                <w:color w:val="auto"/>
              </w:rPr>
              <w:t>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40" w:type="dxa"/>
            <w:vAlign w:val="bottom"/>
          </w:tcPr>
          <w:p>
            <w:pPr>
              <w:spacing w:after="0"/>
              <w:rPr>
                <w:sz w:val="20"/>
                <w:szCs w:val="20"/>
                <w:color w:val="auto"/>
              </w:rPr>
            </w:pPr>
            <w:r>
              <w:rPr>
                <w:rFonts w:ascii="Arial" w:cs="Arial" w:eastAsia="Arial" w:hAnsi="Arial"/>
                <w:sz w:val="16"/>
                <w:szCs w:val="16"/>
                <w:color w:val="auto"/>
              </w:rPr>
              <w:t>Unrealized gains</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237,027</w:t>
            </w: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179,179</w:t>
            </w: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(45,171)</w:t>
            </w:r>
          </w:p>
        </w:tc>
        <w:tc>
          <w:tcPr>
            <w:tcW w:w="1400" w:type="dxa"/>
            <w:vAlign w:val="bottom"/>
            <w:gridSpan w:val="2"/>
          </w:tcPr>
          <w:p>
            <w:pPr>
              <w:jc w:val="right"/>
              <w:ind w:right="140"/>
              <w:spacing w:after="0"/>
              <w:rPr>
                <w:sz w:val="20"/>
                <w:szCs w:val="20"/>
                <w:color w:val="auto"/>
              </w:rPr>
            </w:pPr>
            <w:r>
              <w:rPr>
                <w:rFonts w:ascii="Arial" w:cs="Arial" w:eastAsia="Arial" w:hAnsi="Arial"/>
                <w:sz w:val="16"/>
                <w:szCs w:val="16"/>
                <w:color w:val="auto"/>
              </w:rPr>
              <w:t>-624.7%</w:t>
            </w:r>
          </w:p>
        </w:tc>
        <w:tc>
          <w:tcPr>
            <w:tcW w:w="1300" w:type="dxa"/>
            <w:vAlign w:val="bottom"/>
            <w:gridSpan w:val="2"/>
          </w:tcPr>
          <w:p>
            <w:pPr>
              <w:jc w:val="right"/>
              <w:ind w:right="20"/>
              <w:spacing w:after="0"/>
              <w:rPr>
                <w:sz w:val="20"/>
                <w:szCs w:val="20"/>
                <w:color w:val="auto"/>
              </w:rPr>
            </w:pPr>
            <w:r>
              <w:rPr>
                <w:rFonts w:ascii="Arial" w:cs="Arial" w:eastAsia="Arial" w:hAnsi="Arial"/>
                <w:sz w:val="16"/>
                <w:szCs w:val="16"/>
                <w:color w:val="auto"/>
              </w:rPr>
              <w:t>32.3%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40" w:type="dxa"/>
            <w:vAlign w:val="bottom"/>
            <w:shd w:val="clear" w:color="auto" w:fill="CCFFCC"/>
          </w:tcPr>
          <w:p>
            <w:pPr>
              <w:spacing w:after="0"/>
              <w:rPr>
                <w:sz w:val="20"/>
                <w:szCs w:val="20"/>
                <w:color w:val="auto"/>
              </w:rPr>
            </w:pPr>
            <w:r>
              <w:rPr>
                <w:rFonts w:ascii="Arial" w:cs="Arial" w:eastAsia="Arial" w:hAnsi="Arial"/>
                <w:sz w:val="16"/>
                <w:szCs w:val="16"/>
                <w:color w:val="auto"/>
              </w:rPr>
              <w:t>Retained earnings</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492,055</w:t>
            </w:r>
          </w:p>
        </w:tc>
        <w:tc>
          <w:tcPr>
            <w:tcW w:w="1340" w:type="dxa"/>
            <w:vAlign w:val="bottom"/>
            <w:gridSpan w:val="2"/>
            <w:shd w:val="clear" w:color="auto" w:fill="CCFFCC"/>
          </w:tcPr>
          <w:p>
            <w:pPr>
              <w:jc w:val="right"/>
              <w:ind w:right="200"/>
              <w:spacing w:after="0"/>
              <w:rPr>
                <w:sz w:val="20"/>
                <w:szCs w:val="20"/>
                <w:color w:val="auto"/>
              </w:rPr>
            </w:pPr>
            <w:r>
              <w:rPr>
                <w:rFonts w:ascii="Arial" w:cs="Arial" w:eastAsia="Arial" w:hAnsi="Arial"/>
                <w:sz w:val="16"/>
                <w:szCs w:val="16"/>
                <w:color w:val="auto"/>
              </w:rPr>
              <w:t>369,418</w:t>
            </w:r>
          </w:p>
        </w:tc>
        <w:tc>
          <w:tcPr>
            <w:tcW w:w="11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379,680</w:t>
            </w:r>
          </w:p>
        </w:tc>
        <w:tc>
          <w:tcPr>
            <w:tcW w:w="220" w:type="dxa"/>
            <w:vAlign w:val="bottom"/>
            <w:shd w:val="clear" w:color="auto" w:fill="CCFFCC"/>
          </w:tcPr>
          <w:p>
            <w:pPr>
              <w:spacing w:after="0"/>
              <w:rPr>
                <w:sz w:val="17"/>
                <w:szCs w:val="17"/>
                <w:color w:val="auto"/>
              </w:rPr>
            </w:pPr>
          </w:p>
        </w:tc>
        <w:tc>
          <w:tcPr>
            <w:tcW w:w="1400" w:type="dxa"/>
            <w:vAlign w:val="bottom"/>
            <w:gridSpan w:val="2"/>
            <w:shd w:val="clear" w:color="auto" w:fill="CCFFCC"/>
          </w:tcPr>
          <w:p>
            <w:pPr>
              <w:jc w:val="right"/>
              <w:ind w:right="140"/>
              <w:spacing w:after="0"/>
              <w:rPr>
                <w:sz w:val="20"/>
                <w:szCs w:val="20"/>
                <w:color w:val="auto"/>
              </w:rPr>
            </w:pPr>
            <w:r>
              <w:rPr>
                <w:rFonts w:ascii="Arial" w:cs="Arial" w:eastAsia="Arial" w:hAnsi="Arial"/>
                <w:sz w:val="16"/>
                <w:szCs w:val="16"/>
                <w:color w:val="auto"/>
              </w:rPr>
              <w:t>29.6%</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6"/>
                <w:szCs w:val="16"/>
                <w:color w:val="auto"/>
              </w:rPr>
              <w:t>33.2%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40" w:type="dxa"/>
            <w:vAlign w:val="bottom"/>
          </w:tcPr>
          <w:p>
            <w:pPr>
              <w:jc w:val="center"/>
              <w:ind w:right="39"/>
              <w:spacing w:after="0"/>
              <w:rPr>
                <w:sz w:val="20"/>
                <w:szCs w:val="20"/>
                <w:color w:val="auto"/>
              </w:rPr>
            </w:pPr>
            <w:r>
              <w:rPr>
                <w:rFonts w:ascii="Arial" w:cs="Arial" w:eastAsia="Arial" w:hAnsi="Arial"/>
                <w:sz w:val="16"/>
                <w:szCs w:val="16"/>
                <w:b w:val="1"/>
                <w:bCs w:val="1"/>
                <w:color w:val="auto"/>
                <w:w w:val="91"/>
              </w:rPr>
              <w:t>Net Shareholder's equity</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2,310,586</w:t>
            </w:r>
          </w:p>
        </w:tc>
        <w:tc>
          <w:tcPr>
            <w:tcW w:w="134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2,130,102</w:t>
            </w: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1,689,394</w:t>
            </w:r>
          </w:p>
        </w:tc>
        <w:tc>
          <w:tcPr>
            <w:tcW w:w="220" w:type="dxa"/>
            <w:vAlign w:val="bottom"/>
          </w:tcPr>
          <w:p>
            <w:pPr>
              <w:spacing w:after="0"/>
              <w:rPr>
                <w:sz w:val="17"/>
                <w:szCs w:val="17"/>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36.8%</w:t>
            </w:r>
          </w:p>
        </w:tc>
        <w:tc>
          <w:tcPr>
            <w:tcW w:w="1300" w:type="dxa"/>
            <w:vAlign w:val="bottom"/>
            <w:gridSpan w:val="2"/>
          </w:tcPr>
          <w:p>
            <w:pPr>
              <w:jc w:val="right"/>
              <w:spacing w:after="0"/>
              <w:rPr>
                <w:sz w:val="20"/>
                <w:szCs w:val="20"/>
                <w:color w:val="auto"/>
              </w:rPr>
            </w:pPr>
            <w:r>
              <w:rPr>
                <w:rFonts w:ascii="Arial" w:cs="Arial" w:eastAsia="Arial" w:hAnsi="Arial"/>
                <w:sz w:val="16"/>
                <w:szCs w:val="16"/>
                <w:b w:val="1"/>
                <w:bCs w:val="1"/>
                <w:color w:val="auto"/>
              </w:rPr>
              <w:t>8.5%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4640" w:type="dxa"/>
            <w:vAlign w:val="bottom"/>
            <w:shd w:val="clear" w:color="auto" w:fill="CCFFCC"/>
          </w:tcPr>
          <w:p>
            <w:pPr>
              <w:spacing w:after="0"/>
              <w:rPr>
                <w:sz w:val="17"/>
                <w:szCs w:val="17"/>
                <w:color w:val="auto"/>
              </w:rPr>
            </w:pPr>
          </w:p>
        </w:tc>
        <w:tc>
          <w:tcPr>
            <w:tcW w:w="114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14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114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14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114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640" w:type="dxa"/>
            <w:vAlign w:val="bottom"/>
          </w:tcPr>
          <w:p>
            <w:pPr>
              <w:spacing w:after="0"/>
              <w:rPr>
                <w:sz w:val="20"/>
                <w:szCs w:val="20"/>
                <w:color w:val="auto"/>
              </w:rPr>
            </w:pPr>
            <w:r>
              <w:rPr>
                <w:rFonts w:ascii="Arial" w:cs="Arial" w:eastAsia="Arial" w:hAnsi="Arial"/>
                <w:sz w:val="16"/>
                <w:szCs w:val="16"/>
                <w:b w:val="1"/>
                <w:bCs w:val="1"/>
                <w:color w:val="auto"/>
              </w:rPr>
              <w:t>Total liabilities and net shareholder's equity</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22,146,363</w:t>
            </w:r>
          </w:p>
        </w:tc>
        <w:tc>
          <w:tcPr>
            <w:tcW w:w="134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20,772,459</w:t>
            </w: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21,063,099</w:t>
            </w:r>
          </w:p>
        </w:tc>
        <w:tc>
          <w:tcPr>
            <w:tcW w:w="220" w:type="dxa"/>
            <w:vAlign w:val="bottom"/>
          </w:tcPr>
          <w:p>
            <w:pPr>
              <w:spacing w:after="0"/>
              <w:rPr>
                <w:sz w:val="17"/>
                <w:szCs w:val="17"/>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5%</w:t>
            </w:r>
          </w:p>
        </w:tc>
        <w:tc>
          <w:tcPr>
            <w:tcW w:w="1300" w:type="dxa"/>
            <w:vAlign w:val="bottom"/>
            <w:gridSpan w:val="2"/>
          </w:tcPr>
          <w:p>
            <w:pPr>
              <w:jc w:val="right"/>
              <w:spacing w:after="0"/>
              <w:rPr>
                <w:sz w:val="20"/>
                <w:szCs w:val="20"/>
                <w:color w:val="auto"/>
              </w:rPr>
            </w:pPr>
            <w:r>
              <w:rPr>
                <w:rFonts w:ascii="Arial" w:cs="Arial" w:eastAsia="Arial" w:hAnsi="Arial"/>
                <w:sz w:val="16"/>
                <w:szCs w:val="16"/>
                <w:b w:val="1"/>
                <w:bCs w:val="1"/>
                <w:color w:val="auto"/>
              </w:rPr>
              <w:t>6.6%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4640" w:type="dxa"/>
            <w:vAlign w:val="bottom"/>
            <w:shd w:val="clear" w:color="auto" w:fill="CCFFCC"/>
          </w:tcPr>
          <w:p>
            <w:pPr>
              <w:spacing w:after="0"/>
              <w:rPr>
                <w:sz w:val="17"/>
                <w:szCs w:val="17"/>
                <w:color w:val="auto"/>
              </w:rPr>
            </w:pPr>
          </w:p>
        </w:tc>
        <w:tc>
          <w:tcPr>
            <w:tcW w:w="114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14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114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14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114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4640" w:type="dxa"/>
            <w:vAlign w:val="bottom"/>
          </w:tcPr>
          <w:p>
            <w:pPr>
              <w:spacing w:after="0"/>
              <w:rPr>
                <w:sz w:val="20"/>
                <w:szCs w:val="20"/>
                <w:color w:val="auto"/>
              </w:rPr>
            </w:pPr>
            <w:r>
              <w:rPr>
                <w:rFonts w:ascii="Arial" w:cs="Arial" w:eastAsia="Arial" w:hAnsi="Arial"/>
                <w:sz w:val="16"/>
                <w:szCs w:val="16"/>
                <w:color w:val="auto"/>
              </w:rPr>
              <w:t>Contingent Credits</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7,896,754</w:t>
            </w: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7,752,352</w:t>
            </w:r>
          </w:p>
        </w:tc>
        <w:tc>
          <w:tcPr>
            <w:tcW w:w="1140" w:type="dxa"/>
            <w:vAlign w:val="bottom"/>
          </w:tcPr>
          <w:p>
            <w:pPr>
              <w:jc w:val="right"/>
              <w:spacing w:after="0"/>
              <w:rPr>
                <w:sz w:val="20"/>
                <w:szCs w:val="20"/>
                <w:color w:val="auto"/>
              </w:rPr>
            </w:pPr>
            <w:r>
              <w:rPr>
                <w:rFonts w:ascii="Arial" w:cs="Arial" w:eastAsia="Arial" w:hAnsi="Arial"/>
                <w:sz w:val="16"/>
                <w:szCs w:val="16"/>
                <w:color w:val="auto"/>
              </w:rPr>
              <w:t>6,083,243</w:t>
            </w:r>
          </w:p>
        </w:tc>
        <w:tc>
          <w:tcPr>
            <w:tcW w:w="220" w:type="dxa"/>
            <w:vAlign w:val="bottom"/>
          </w:tcPr>
          <w:p>
            <w:pPr>
              <w:spacing w:after="0"/>
              <w:rPr>
                <w:sz w:val="17"/>
                <w:szCs w:val="17"/>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6"/>
                <w:szCs w:val="16"/>
                <w:color w:val="auto"/>
              </w:rPr>
              <w:t>29.8%</w:t>
            </w:r>
          </w:p>
        </w:tc>
        <w:tc>
          <w:tcPr>
            <w:tcW w:w="1300" w:type="dxa"/>
            <w:vAlign w:val="bottom"/>
            <w:gridSpan w:val="2"/>
          </w:tcPr>
          <w:p>
            <w:pPr>
              <w:jc w:val="right"/>
              <w:ind w:right="20"/>
              <w:spacing w:after="0"/>
              <w:rPr>
                <w:sz w:val="20"/>
                <w:szCs w:val="20"/>
                <w:color w:val="auto"/>
              </w:rPr>
            </w:pPr>
            <w:r>
              <w:rPr>
                <w:rFonts w:ascii="Arial" w:cs="Arial" w:eastAsia="Arial" w:hAnsi="Arial"/>
                <w:sz w:val="16"/>
                <w:szCs w:val="16"/>
                <w:color w:val="auto"/>
              </w:rPr>
              <w:t>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04"/>
        </w:trPr>
        <w:tc>
          <w:tcPr>
            <w:tcW w:w="2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gridSpan w:val="3"/>
          </w:tcPr>
          <w:p>
            <w:pPr>
              <w:jc w:val="right"/>
              <w:ind w:right="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64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6" w:right="23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6254750</wp:posOffset>
            </wp:positionH>
            <wp:positionV relativeFrom="page">
              <wp:posOffset>337820</wp:posOffset>
            </wp:positionV>
            <wp:extent cx="1149350" cy="3175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clrChange>
                        <a:clrFrom>
                          <a:srgbClr val="FFFFFF"/>
                        </a:clrFrom>
                        <a:clrTo>
                          <a:srgbClr val="FFFFFF">
                            <a:alpha val="0"/>
                          </a:srgbClr>
                        </a:clrTo>
                      </a:clrChange>
                      <a:extLst>
                        <a:ext uri="{28A0092B-C50C-407E-A947-70E740481C1C}"/>
                      </a:extLst>
                    </a:blip>
                    <a:srcRect/>
                    <a:stretch>
                      <a:fillRect/>
                    </a:stretch>
                  </pic:blipFill>
                  <pic:spPr bwMode="auto">
                    <a:xfrm>
                      <a:off x="0" y="0"/>
                      <a:ext cx="1149350" cy="317500"/>
                    </a:xfrm>
                    <a:prstGeom prst="rect">
                      <a:avLst/>
                    </a:prstGeom>
                    <a:noFill/>
                  </pic:spPr>
                </pic:pic>
              </a:graphicData>
            </a:graphic>
          </wp:anchor>
        </w:drawing>
        <w:t>CREDICORP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INCOME STATEMENT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US$ thousands, IFRS)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0" w:type="dxa"/>
            <w:vAlign w:val="bottom"/>
          </w:tcPr>
          <w:p>
            <w:pPr>
              <w:spacing w:after="0"/>
              <w:rPr>
                <w:sz w:val="13"/>
                <w:szCs w:val="13"/>
                <w:color w:val="auto"/>
              </w:rPr>
            </w:pPr>
          </w:p>
        </w:tc>
        <w:tc>
          <w:tcPr>
            <w:tcW w:w="4220" w:type="dxa"/>
            <w:vAlign w:val="bottom"/>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3"/>
                <w:szCs w:val="13"/>
                <w:b w:val="1"/>
                <w:bCs w:val="1"/>
                <w:color w:val="auto"/>
              </w:rPr>
              <w:t>Quarter</w:t>
            </w:r>
          </w:p>
        </w:tc>
        <w:tc>
          <w:tcPr>
            <w:tcW w:w="68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580" w:type="dxa"/>
            <w:vAlign w:val="bottom"/>
            <w:tcBorders>
              <w:bottom w:val="single" w:sz="8" w:color="auto"/>
            </w:tcBorders>
            <w:gridSpan w:val="3"/>
          </w:tcPr>
          <w:p>
            <w:pPr>
              <w:jc w:val="right"/>
              <w:ind w:right="437"/>
              <w:spacing w:after="0"/>
              <w:rPr>
                <w:sz w:val="20"/>
                <w:szCs w:val="20"/>
                <w:color w:val="auto"/>
              </w:rPr>
            </w:pPr>
            <w:r>
              <w:rPr>
                <w:rFonts w:ascii="Arial" w:cs="Arial" w:eastAsia="Arial" w:hAnsi="Arial"/>
                <w:sz w:val="13"/>
                <w:szCs w:val="13"/>
                <w:b w:val="1"/>
                <w:bCs w:val="1"/>
                <w:color w:val="auto"/>
              </w:rPr>
              <w:t>Change %</w:t>
            </w:r>
          </w:p>
        </w:tc>
        <w:tc>
          <w:tcPr>
            <w:tcW w:w="240" w:type="dxa"/>
            <w:vAlign w:val="bottom"/>
          </w:tcPr>
          <w:p>
            <w:pPr>
              <w:spacing w:after="0"/>
              <w:rPr>
                <w:sz w:val="13"/>
                <w:szCs w:val="13"/>
                <w:color w:val="auto"/>
              </w:rPr>
            </w:pPr>
          </w:p>
        </w:tc>
        <w:tc>
          <w:tcPr>
            <w:tcW w:w="1580" w:type="dxa"/>
            <w:vAlign w:val="bottom"/>
            <w:tcBorders>
              <w:bottom w:val="single" w:sz="8" w:color="auto"/>
            </w:tcBorders>
            <w:gridSpan w:val="3"/>
          </w:tcPr>
          <w:p>
            <w:pPr>
              <w:jc w:val="right"/>
              <w:ind w:right="417"/>
              <w:spacing w:after="0"/>
              <w:rPr>
                <w:sz w:val="20"/>
                <w:szCs w:val="20"/>
                <w:color w:val="auto"/>
              </w:rPr>
            </w:pPr>
            <w:r>
              <w:rPr>
                <w:rFonts w:ascii="Arial" w:cs="Arial" w:eastAsia="Arial" w:hAnsi="Arial"/>
                <w:sz w:val="13"/>
                <w:szCs w:val="13"/>
                <w:b w:val="1"/>
                <w:bCs w:val="1"/>
                <w:color w:val="auto"/>
              </w:rPr>
              <w:t>Year to end</w:t>
            </w:r>
          </w:p>
        </w:tc>
        <w:tc>
          <w:tcPr>
            <w:tcW w:w="200" w:type="dxa"/>
            <w:vAlign w:val="bottom"/>
          </w:tcPr>
          <w:p>
            <w:pPr>
              <w:spacing w:after="0"/>
              <w:rPr>
                <w:sz w:val="13"/>
                <w:szCs w:val="13"/>
                <w:color w:val="auto"/>
              </w:rPr>
            </w:pPr>
          </w:p>
        </w:tc>
        <w:tc>
          <w:tcPr>
            <w:tcW w:w="68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w w:val="95"/>
              </w:rPr>
              <w:t>Change %</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3"/>
                <w:szCs w:val="13"/>
                <w:b w:val="1"/>
                <w:bCs w:val="1"/>
                <w:color w:val="auto"/>
              </w:rPr>
              <w:t>4Q09</w:t>
            </w:r>
          </w:p>
        </w:tc>
        <w:tc>
          <w:tcPr>
            <w:tcW w:w="90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rPr>
              <w:t>3Q09</w:t>
            </w:r>
          </w:p>
        </w:tc>
        <w:tc>
          <w:tcPr>
            <w:tcW w:w="90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rPr>
              <w:t>4Q08</w:t>
            </w:r>
          </w:p>
        </w:tc>
        <w:tc>
          <w:tcPr>
            <w:tcW w:w="90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w w:val="92"/>
              </w:rPr>
              <w:t>4T09/4Q08</w:t>
            </w:r>
          </w:p>
        </w:tc>
        <w:tc>
          <w:tcPr>
            <w:tcW w:w="92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w w:val="95"/>
              </w:rPr>
              <w:t>4T09/3Q09</w:t>
            </w:r>
          </w:p>
        </w:tc>
        <w:tc>
          <w:tcPr>
            <w:tcW w:w="90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Dec-09</w:t>
            </w:r>
          </w:p>
        </w:tc>
        <w:tc>
          <w:tcPr>
            <w:tcW w:w="88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Dec-08</w:t>
            </w:r>
          </w:p>
        </w:tc>
        <w:tc>
          <w:tcPr>
            <w:tcW w:w="82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w w:val="87"/>
              </w:rPr>
              <w:t>4T09/Dec 08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20" w:type="dxa"/>
            <w:vAlign w:val="bottom"/>
            <w:shd w:val="clear" w:color="auto" w:fill="CCFFCC"/>
          </w:tcPr>
          <w:p>
            <w:pPr>
              <w:spacing w:after="0" w:line="135" w:lineRule="exact"/>
              <w:rPr>
                <w:sz w:val="20"/>
                <w:szCs w:val="20"/>
                <w:color w:val="auto"/>
              </w:rPr>
            </w:pPr>
            <w:r>
              <w:rPr>
                <w:rFonts w:ascii="Arial" w:cs="Arial" w:eastAsia="Arial" w:hAnsi="Arial"/>
                <w:sz w:val="13"/>
                <w:szCs w:val="13"/>
                <w:b w:val="1"/>
                <w:bCs w:val="1"/>
                <w:color w:val="auto"/>
              </w:rPr>
              <w:t>Interest income and expense</w:t>
            </w:r>
          </w:p>
        </w:tc>
        <w:tc>
          <w:tcPr>
            <w:tcW w:w="720" w:type="dxa"/>
            <w:vAlign w:val="bottom"/>
            <w:tcBorders>
              <w:top w:val="single" w:sz="8" w:color="auto"/>
            </w:tcBorders>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680" w:type="dxa"/>
            <w:vAlign w:val="bottom"/>
            <w:tcBorders>
              <w:top w:val="single" w:sz="8" w:color="auto"/>
            </w:tcBorders>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680" w:type="dxa"/>
            <w:vAlign w:val="bottom"/>
            <w:tcBorders>
              <w:top w:val="single" w:sz="8" w:color="auto"/>
            </w:tcBorders>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660" w:type="dxa"/>
            <w:vAlign w:val="bottom"/>
            <w:tcBorders>
              <w:top w:val="single" w:sz="8" w:color="auto"/>
            </w:tcBorders>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680" w:type="dxa"/>
            <w:vAlign w:val="bottom"/>
            <w:tcBorders>
              <w:top w:val="single" w:sz="8" w:color="auto"/>
            </w:tcBorders>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680" w:type="dxa"/>
            <w:vAlign w:val="bottom"/>
            <w:tcBorders>
              <w:top w:val="single" w:sz="8" w:color="auto"/>
            </w:tcBorders>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680" w:type="dxa"/>
            <w:vAlign w:val="bottom"/>
            <w:tcBorders>
              <w:top w:val="single" w:sz="8" w:color="auto"/>
            </w:tcBorders>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680" w:type="dxa"/>
            <w:vAlign w:val="bottom"/>
            <w:tcBorders>
              <w:top w:val="single" w:sz="8" w:color="auto"/>
            </w:tcBorders>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20" w:type="dxa"/>
            <w:vAlign w:val="bottom"/>
          </w:tcPr>
          <w:p>
            <w:pPr>
              <w:ind w:left="160"/>
              <w:spacing w:after="0" w:line="135" w:lineRule="exact"/>
              <w:rPr>
                <w:sz w:val="20"/>
                <w:szCs w:val="20"/>
                <w:color w:val="auto"/>
              </w:rPr>
            </w:pPr>
            <w:r>
              <w:rPr>
                <w:rFonts w:ascii="Arial" w:cs="Arial" w:eastAsia="Arial" w:hAnsi="Arial"/>
                <w:sz w:val="13"/>
                <w:szCs w:val="13"/>
                <w:color w:val="auto"/>
              </w:rPr>
              <w:t>Interest and dividend income</w:t>
            </w:r>
          </w:p>
        </w:tc>
        <w:tc>
          <w:tcPr>
            <w:tcW w:w="9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329,796</w:t>
            </w: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313,956</w:t>
            </w:r>
          </w:p>
        </w:tc>
        <w:tc>
          <w:tcPr>
            <w:tcW w:w="220" w:type="dxa"/>
            <w:vAlign w:val="bottom"/>
          </w:tcPr>
          <w:p>
            <w:pPr>
              <w:spacing w:after="0"/>
              <w:rPr>
                <w:sz w:val="11"/>
                <w:szCs w:val="11"/>
                <w:color w:val="auto"/>
              </w:rPr>
            </w:pP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356,374</w:t>
            </w:r>
          </w:p>
        </w:tc>
        <w:tc>
          <w:tcPr>
            <w:tcW w:w="9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-7.5%</w:t>
            </w:r>
          </w:p>
        </w:tc>
        <w:tc>
          <w:tcPr>
            <w:tcW w:w="9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5.0%</w:t>
            </w: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1,312,692</w:t>
            </w:r>
          </w:p>
        </w:tc>
        <w:tc>
          <w:tcPr>
            <w:tcW w:w="220" w:type="dxa"/>
            <w:vAlign w:val="bottom"/>
          </w:tcPr>
          <w:p>
            <w:pPr>
              <w:spacing w:after="0"/>
              <w:rPr>
                <w:sz w:val="11"/>
                <w:szCs w:val="11"/>
                <w:color w:val="auto"/>
              </w:rPr>
            </w:pPr>
          </w:p>
        </w:tc>
        <w:tc>
          <w:tcPr>
            <w:tcW w:w="8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1,384,540</w:t>
            </w:r>
          </w:p>
        </w:tc>
        <w:tc>
          <w:tcPr>
            <w:tcW w:w="82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-5.2%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20" w:type="dxa"/>
            <w:vAlign w:val="bottom"/>
            <w:shd w:val="clear" w:color="auto" w:fill="CCFFCC"/>
          </w:tcPr>
          <w:p>
            <w:pPr>
              <w:ind w:left="160"/>
              <w:spacing w:after="0" w:line="135" w:lineRule="exact"/>
              <w:rPr>
                <w:sz w:val="20"/>
                <w:szCs w:val="20"/>
                <w:color w:val="auto"/>
              </w:rPr>
            </w:pPr>
            <w:r>
              <w:rPr>
                <w:rFonts w:ascii="Arial" w:cs="Arial" w:eastAsia="Arial" w:hAnsi="Arial"/>
                <w:sz w:val="13"/>
                <w:szCs w:val="13"/>
                <w:color w:val="auto"/>
              </w:rPr>
              <w:t>Interest expense</w:t>
            </w:r>
          </w:p>
        </w:tc>
        <w:tc>
          <w:tcPr>
            <w:tcW w:w="96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(91,834)</w:t>
            </w:r>
          </w:p>
        </w:tc>
        <w:tc>
          <w:tcPr>
            <w:tcW w:w="90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(99,409)</w:t>
            </w:r>
          </w:p>
        </w:tc>
        <w:tc>
          <w:tcPr>
            <w:tcW w:w="90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(142,145)</w:t>
            </w:r>
          </w:p>
        </w:tc>
        <w:tc>
          <w:tcPr>
            <w:tcW w:w="90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-35.4%</w:t>
            </w:r>
          </w:p>
        </w:tc>
        <w:tc>
          <w:tcPr>
            <w:tcW w:w="9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-7.6%</w:t>
            </w:r>
          </w:p>
        </w:tc>
        <w:tc>
          <w:tcPr>
            <w:tcW w:w="90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(420,774)</w:t>
            </w:r>
          </w:p>
        </w:tc>
        <w:tc>
          <w:tcPr>
            <w:tcW w:w="880" w:type="dxa"/>
            <w:vAlign w:val="bottom"/>
            <w:gridSpan w:val="2"/>
            <w:shd w:val="clear" w:color="auto" w:fill="CCFFCC"/>
          </w:tcPr>
          <w:p>
            <w:pPr>
              <w:jc w:val="right"/>
              <w:ind w:right="160"/>
              <w:spacing w:after="0" w:line="135" w:lineRule="exact"/>
              <w:rPr>
                <w:sz w:val="20"/>
                <w:szCs w:val="20"/>
                <w:color w:val="auto"/>
              </w:rPr>
            </w:pPr>
            <w:r>
              <w:rPr>
                <w:rFonts w:ascii="Arial" w:cs="Arial" w:eastAsia="Arial" w:hAnsi="Arial"/>
                <w:sz w:val="13"/>
                <w:szCs w:val="13"/>
                <w:color w:val="auto"/>
              </w:rPr>
              <w:t>(561,618)</w:t>
            </w:r>
          </w:p>
        </w:tc>
        <w:tc>
          <w:tcPr>
            <w:tcW w:w="820" w:type="dxa"/>
            <w:vAlign w:val="bottom"/>
            <w:gridSpan w:val="2"/>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-25.1%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20" w:type="dxa"/>
            <w:vAlign w:val="bottom"/>
          </w:tcPr>
          <w:p>
            <w:pPr>
              <w:ind w:left="480"/>
              <w:spacing w:after="0" w:line="135" w:lineRule="exact"/>
              <w:rPr>
                <w:sz w:val="20"/>
                <w:szCs w:val="20"/>
                <w:color w:val="auto"/>
              </w:rPr>
            </w:pPr>
            <w:r>
              <w:rPr>
                <w:rFonts w:ascii="Arial" w:cs="Arial" w:eastAsia="Arial" w:hAnsi="Arial"/>
                <w:sz w:val="13"/>
                <w:szCs w:val="13"/>
                <w:b w:val="1"/>
                <w:bCs w:val="1"/>
                <w:color w:val="auto"/>
              </w:rPr>
              <w:t>Net interest income</w:t>
            </w:r>
          </w:p>
        </w:tc>
        <w:tc>
          <w:tcPr>
            <w:tcW w:w="960" w:type="dxa"/>
            <w:vAlign w:val="bottom"/>
            <w:gridSpan w:val="2"/>
          </w:tcPr>
          <w:p>
            <w:pPr>
              <w:jc w:val="right"/>
              <w:ind w:right="240"/>
              <w:spacing w:after="0" w:line="135" w:lineRule="exact"/>
              <w:rPr>
                <w:sz w:val="20"/>
                <w:szCs w:val="20"/>
                <w:color w:val="auto"/>
              </w:rPr>
            </w:pPr>
            <w:r>
              <w:rPr>
                <w:rFonts w:ascii="Arial" w:cs="Arial" w:eastAsia="Arial" w:hAnsi="Arial"/>
                <w:sz w:val="13"/>
                <w:szCs w:val="13"/>
                <w:b w:val="1"/>
                <w:bCs w:val="1"/>
                <w:color w:val="auto"/>
              </w:rPr>
              <w:t>237,963</w:t>
            </w:r>
          </w:p>
        </w:tc>
        <w:tc>
          <w:tcPr>
            <w:tcW w:w="68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214,547</w:t>
            </w:r>
          </w:p>
        </w:tc>
        <w:tc>
          <w:tcPr>
            <w:tcW w:w="220" w:type="dxa"/>
            <w:vAlign w:val="bottom"/>
          </w:tcPr>
          <w:p>
            <w:pPr>
              <w:spacing w:after="0"/>
              <w:rPr>
                <w:sz w:val="11"/>
                <w:szCs w:val="11"/>
                <w:color w:val="auto"/>
              </w:rPr>
            </w:pP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3"/>
                <w:szCs w:val="13"/>
                <w:b w:val="1"/>
                <w:bCs w:val="1"/>
                <w:color w:val="auto"/>
              </w:rPr>
              <w:t>214,230</w:t>
            </w:r>
          </w:p>
        </w:tc>
        <w:tc>
          <w:tcPr>
            <w:tcW w:w="900" w:type="dxa"/>
            <w:vAlign w:val="bottom"/>
            <w:gridSpan w:val="2"/>
          </w:tcPr>
          <w:p>
            <w:pPr>
              <w:jc w:val="right"/>
              <w:ind w:right="100"/>
              <w:spacing w:after="0" w:line="135" w:lineRule="exact"/>
              <w:rPr>
                <w:sz w:val="20"/>
                <w:szCs w:val="20"/>
                <w:color w:val="auto"/>
              </w:rPr>
            </w:pPr>
            <w:r>
              <w:rPr>
                <w:rFonts w:ascii="Arial" w:cs="Arial" w:eastAsia="Arial" w:hAnsi="Arial"/>
                <w:sz w:val="13"/>
                <w:szCs w:val="13"/>
                <w:b w:val="1"/>
                <w:bCs w:val="1"/>
                <w:color w:val="auto"/>
              </w:rPr>
              <w:t>11.1%</w:t>
            </w:r>
          </w:p>
        </w:tc>
        <w:tc>
          <w:tcPr>
            <w:tcW w:w="920" w:type="dxa"/>
            <w:vAlign w:val="bottom"/>
            <w:gridSpan w:val="2"/>
          </w:tcPr>
          <w:p>
            <w:pPr>
              <w:jc w:val="right"/>
              <w:ind w:right="120"/>
              <w:spacing w:after="0" w:line="135" w:lineRule="exact"/>
              <w:rPr>
                <w:sz w:val="20"/>
                <w:szCs w:val="20"/>
                <w:color w:val="auto"/>
              </w:rPr>
            </w:pPr>
            <w:r>
              <w:rPr>
                <w:rFonts w:ascii="Arial" w:cs="Arial" w:eastAsia="Arial" w:hAnsi="Arial"/>
                <w:sz w:val="13"/>
                <w:szCs w:val="13"/>
                <w:b w:val="1"/>
                <w:bCs w:val="1"/>
                <w:color w:val="auto"/>
              </w:rPr>
              <w:t>10.9%</w:t>
            </w:r>
          </w:p>
        </w:tc>
        <w:tc>
          <w:tcPr>
            <w:tcW w:w="68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891,918</w:t>
            </w:r>
          </w:p>
        </w:tc>
        <w:tc>
          <w:tcPr>
            <w:tcW w:w="220" w:type="dxa"/>
            <w:vAlign w:val="bottom"/>
          </w:tcPr>
          <w:p>
            <w:pPr>
              <w:spacing w:after="0"/>
              <w:rPr>
                <w:sz w:val="11"/>
                <w:szCs w:val="11"/>
                <w:color w:val="auto"/>
              </w:rPr>
            </w:pPr>
          </w:p>
        </w:tc>
        <w:tc>
          <w:tcPr>
            <w:tcW w:w="880" w:type="dxa"/>
            <w:vAlign w:val="bottom"/>
            <w:gridSpan w:val="2"/>
          </w:tcPr>
          <w:p>
            <w:pPr>
              <w:jc w:val="right"/>
              <w:ind w:right="200"/>
              <w:spacing w:after="0" w:line="135" w:lineRule="exact"/>
              <w:rPr>
                <w:sz w:val="20"/>
                <w:szCs w:val="20"/>
                <w:color w:val="auto"/>
              </w:rPr>
            </w:pPr>
            <w:r>
              <w:rPr>
                <w:rFonts w:ascii="Arial" w:cs="Arial" w:eastAsia="Arial" w:hAnsi="Arial"/>
                <w:sz w:val="13"/>
                <w:szCs w:val="13"/>
                <w:b w:val="1"/>
                <w:bCs w:val="1"/>
                <w:color w:val="auto"/>
              </w:rPr>
              <w:t>822,922</w:t>
            </w:r>
          </w:p>
        </w:tc>
        <w:tc>
          <w:tcPr>
            <w:tcW w:w="820" w:type="dxa"/>
            <w:vAlign w:val="bottom"/>
            <w:gridSpan w:val="2"/>
          </w:tcPr>
          <w:p>
            <w:pPr>
              <w:jc w:val="right"/>
              <w:spacing w:after="0" w:line="135" w:lineRule="exact"/>
              <w:rPr>
                <w:sz w:val="20"/>
                <w:szCs w:val="20"/>
                <w:color w:val="auto"/>
              </w:rPr>
            </w:pPr>
            <w:r>
              <w:rPr>
                <w:rFonts w:ascii="Arial" w:cs="Arial" w:eastAsia="Arial" w:hAnsi="Arial"/>
                <w:sz w:val="13"/>
                <w:szCs w:val="13"/>
                <w:b w:val="1"/>
                <w:bCs w:val="1"/>
                <w:color w:val="auto"/>
              </w:rPr>
              <w:t>8.4%</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4220" w:type="dxa"/>
            <w:vAlign w:val="bottom"/>
            <w:shd w:val="clear" w:color="auto" w:fill="CCFFCC"/>
          </w:tcPr>
          <w:p>
            <w:pPr>
              <w:spacing w:after="0"/>
              <w:rPr>
                <w:sz w:val="11"/>
                <w:szCs w:val="11"/>
                <w:color w:val="auto"/>
              </w:rPr>
            </w:pPr>
          </w:p>
        </w:tc>
        <w:tc>
          <w:tcPr>
            <w:tcW w:w="72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4220" w:type="dxa"/>
            <w:vAlign w:val="bottom"/>
          </w:tcPr>
          <w:p>
            <w:pPr>
              <w:spacing w:after="0" w:line="135" w:lineRule="exact"/>
              <w:rPr>
                <w:sz w:val="20"/>
                <w:szCs w:val="20"/>
                <w:color w:val="auto"/>
              </w:rPr>
            </w:pPr>
            <w:r>
              <w:rPr>
                <w:rFonts w:ascii="Arial" w:cs="Arial" w:eastAsia="Arial" w:hAnsi="Arial"/>
                <w:sz w:val="13"/>
                <w:szCs w:val="13"/>
                <w:b w:val="1"/>
                <w:bCs w:val="1"/>
                <w:color w:val="auto"/>
              </w:rPr>
              <w:t>Provision for loan losses</w:t>
            </w:r>
          </w:p>
        </w:tc>
        <w:tc>
          <w:tcPr>
            <w:tcW w:w="960" w:type="dxa"/>
            <w:vAlign w:val="bottom"/>
            <w:gridSpan w:val="2"/>
          </w:tcPr>
          <w:p>
            <w:pPr>
              <w:jc w:val="right"/>
              <w:ind w:right="200"/>
              <w:spacing w:after="0" w:line="135" w:lineRule="exact"/>
              <w:rPr>
                <w:sz w:val="20"/>
                <w:szCs w:val="20"/>
                <w:color w:val="auto"/>
              </w:rPr>
            </w:pPr>
            <w:r>
              <w:rPr>
                <w:rFonts w:ascii="Arial" w:cs="Arial" w:eastAsia="Arial" w:hAnsi="Arial"/>
                <w:sz w:val="13"/>
                <w:szCs w:val="13"/>
                <w:b w:val="1"/>
                <w:bCs w:val="1"/>
                <w:color w:val="auto"/>
              </w:rPr>
              <w:t>(44,044)</w:t>
            </w:r>
          </w:p>
        </w:tc>
        <w:tc>
          <w:tcPr>
            <w:tcW w:w="900" w:type="dxa"/>
            <w:vAlign w:val="bottom"/>
            <w:gridSpan w:val="2"/>
          </w:tcPr>
          <w:p>
            <w:pPr>
              <w:jc w:val="right"/>
              <w:ind w:right="180"/>
              <w:spacing w:after="0" w:line="135" w:lineRule="exact"/>
              <w:rPr>
                <w:sz w:val="20"/>
                <w:szCs w:val="20"/>
                <w:color w:val="auto"/>
              </w:rPr>
            </w:pPr>
            <w:r>
              <w:rPr>
                <w:rFonts w:ascii="Arial" w:cs="Arial" w:eastAsia="Arial" w:hAnsi="Arial"/>
                <w:sz w:val="13"/>
                <w:szCs w:val="13"/>
                <w:b w:val="1"/>
                <w:bCs w:val="1"/>
                <w:color w:val="auto"/>
              </w:rPr>
              <w:t>(38,216)</w:t>
            </w:r>
          </w:p>
        </w:tc>
        <w:tc>
          <w:tcPr>
            <w:tcW w:w="900" w:type="dxa"/>
            <w:vAlign w:val="bottom"/>
            <w:gridSpan w:val="2"/>
          </w:tcPr>
          <w:p>
            <w:pPr>
              <w:jc w:val="right"/>
              <w:ind w:right="180"/>
              <w:spacing w:after="0" w:line="135" w:lineRule="exact"/>
              <w:rPr>
                <w:sz w:val="20"/>
                <w:szCs w:val="20"/>
                <w:color w:val="auto"/>
              </w:rPr>
            </w:pPr>
            <w:r>
              <w:rPr>
                <w:rFonts w:ascii="Arial" w:cs="Arial" w:eastAsia="Arial" w:hAnsi="Arial"/>
                <w:sz w:val="13"/>
                <w:szCs w:val="13"/>
                <w:b w:val="1"/>
                <w:bCs w:val="1"/>
                <w:color w:val="auto"/>
              </w:rPr>
              <w:t>(5,621)</w:t>
            </w:r>
          </w:p>
        </w:tc>
        <w:tc>
          <w:tcPr>
            <w:tcW w:w="900" w:type="dxa"/>
            <w:vAlign w:val="bottom"/>
            <w:gridSpan w:val="2"/>
          </w:tcPr>
          <w:p>
            <w:pPr>
              <w:jc w:val="right"/>
              <w:ind w:right="100"/>
              <w:spacing w:after="0" w:line="135" w:lineRule="exact"/>
              <w:rPr>
                <w:sz w:val="20"/>
                <w:szCs w:val="20"/>
                <w:color w:val="auto"/>
              </w:rPr>
            </w:pPr>
            <w:r>
              <w:rPr>
                <w:rFonts w:ascii="Arial" w:cs="Arial" w:eastAsia="Arial" w:hAnsi="Arial"/>
                <w:sz w:val="13"/>
                <w:szCs w:val="13"/>
                <w:b w:val="1"/>
                <w:bCs w:val="1"/>
                <w:color w:val="auto"/>
              </w:rPr>
              <w:t>683.6%</w:t>
            </w:r>
          </w:p>
        </w:tc>
        <w:tc>
          <w:tcPr>
            <w:tcW w:w="920" w:type="dxa"/>
            <w:vAlign w:val="bottom"/>
            <w:gridSpan w:val="2"/>
          </w:tcPr>
          <w:p>
            <w:pPr>
              <w:jc w:val="right"/>
              <w:ind w:right="120"/>
              <w:spacing w:after="0" w:line="135" w:lineRule="exact"/>
              <w:rPr>
                <w:sz w:val="20"/>
                <w:szCs w:val="20"/>
                <w:color w:val="auto"/>
              </w:rPr>
            </w:pPr>
            <w:r>
              <w:rPr>
                <w:rFonts w:ascii="Arial" w:cs="Arial" w:eastAsia="Arial" w:hAnsi="Arial"/>
                <w:sz w:val="13"/>
                <w:szCs w:val="13"/>
                <w:b w:val="1"/>
                <w:bCs w:val="1"/>
                <w:color w:val="auto"/>
              </w:rPr>
              <w:t>15.3%</w:t>
            </w:r>
          </w:p>
        </w:tc>
        <w:tc>
          <w:tcPr>
            <w:tcW w:w="900" w:type="dxa"/>
            <w:vAlign w:val="bottom"/>
            <w:gridSpan w:val="2"/>
          </w:tcPr>
          <w:p>
            <w:pPr>
              <w:jc w:val="right"/>
              <w:ind w:right="180"/>
              <w:spacing w:after="0" w:line="135" w:lineRule="exact"/>
              <w:rPr>
                <w:sz w:val="20"/>
                <w:szCs w:val="20"/>
                <w:color w:val="auto"/>
              </w:rPr>
            </w:pPr>
            <w:r>
              <w:rPr>
                <w:rFonts w:ascii="Arial" w:cs="Arial" w:eastAsia="Arial" w:hAnsi="Arial"/>
                <w:sz w:val="13"/>
                <w:szCs w:val="13"/>
                <w:b w:val="1"/>
                <w:bCs w:val="1"/>
                <w:color w:val="auto"/>
              </w:rPr>
              <w:t>(163,392)</w:t>
            </w:r>
          </w:p>
        </w:tc>
        <w:tc>
          <w:tcPr>
            <w:tcW w:w="880" w:type="dxa"/>
            <w:vAlign w:val="bottom"/>
            <w:gridSpan w:val="2"/>
          </w:tcPr>
          <w:p>
            <w:pPr>
              <w:jc w:val="right"/>
              <w:ind w:right="160"/>
              <w:spacing w:after="0" w:line="135" w:lineRule="exact"/>
              <w:rPr>
                <w:sz w:val="20"/>
                <w:szCs w:val="20"/>
                <w:color w:val="auto"/>
              </w:rPr>
            </w:pPr>
            <w:r>
              <w:rPr>
                <w:rFonts w:ascii="Arial" w:cs="Arial" w:eastAsia="Arial" w:hAnsi="Arial"/>
                <w:sz w:val="13"/>
                <w:szCs w:val="13"/>
                <w:b w:val="1"/>
                <w:bCs w:val="1"/>
                <w:color w:val="auto"/>
              </w:rPr>
              <w:t>(47,760)</w:t>
            </w:r>
          </w:p>
        </w:tc>
        <w:tc>
          <w:tcPr>
            <w:tcW w:w="820" w:type="dxa"/>
            <w:vAlign w:val="bottom"/>
            <w:gridSpan w:val="2"/>
          </w:tcPr>
          <w:p>
            <w:pPr>
              <w:jc w:val="right"/>
              <w:spacing w:after="0" w:line="135" w:lineRule="exact"/>
              <w:rPr>
                <w:sz w:val="20"/>
                <w:szCs w:val="20"/>
                <w:color w:val="auto"/>
              </w:rPr>
            </w:pPr>
            <w:r>
              <w:rPr>
                <w:rFonts w:ascii="Arial" w:cs="Arial" w:eastAsia="Arial" w:hAnsi="Arial"/>
                <w:sz w:val="13"/>
                <w:szCs w:val="13"/>
                <w:b w:val="1"/>
                <w:bCs w:val="1"/>
                <w:color w:val="auto"/>
              </w:rPr>
              <w:t>242.1%</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4220" w:type="dxa"/>
            <w:vAlign w:val="bottom"/>
            <w:shd w:val="clear" w:color="auto" w:fill="CCFFCC"/>
          </w:tcPr>
          <w:p>
            <w:pPr>
              <w:spacing w:after="0"/>
              <w:rPr>
                <w:sz w:val="11"/>
                <w:szCs w:val="11"/>
                <w:color w:val="auto"/>
              </w:rPr>
            </w:pPr>
          </w:p>
        </w:tc>
        <w:tc>
          <w:tcPr>
            <w:tcW w:w="72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4220" w:type="dxa"/>
            <w:vAlign w:val="bottom"/>
          </w:tcPr>
          <w:p>
            <w:pPr>
              <w:spacing w:after="0" w:line="135" w:lineRule="exact"/>
              <w:rPr>
                <w:sz w:val="20"/>
                <w:szCs w:val="20"/>
                <w:color w:val="auto"/>
              </w:rPr>
            </w:pPr>
            <w:r>
              <w:rPr>
                <w:rFonts w:ascii="Arial" w:cs="Arial" w:eastAsia="Arial" w:hAnsi="Arial"/>
                <w:sz w:val="13"/>
                <w:szCs w:val="13"/>
                <w:b w:val="1"/>
                <w:bCs w:val="1"/>
                <w:color w:val="auto"/>
              </w:rPr>
              <w:t>Non financial income</w:t>
            </w: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20" w:type="dxa"/>
            <w:vAlign w:val="bottom"/>
            <w:shd w:val="clear" w:color="auto" w:fill="CCFFCC"/>
          </w:tcPr>
          <w:p>
            <w:pPr>
              <w:ind w:left="160"/>
              <w:spacing w:after="0" w:line="135" w:lineRule="exact"/>
              <w:rPr>
                <w:sz w:val="20"/>
                <w:szCs w:val="20"/>
                <w:color w:val="auto"/>
              </w:rPr>
            </w:pPr>
            <w:r>
              <w:rPr>
                <w:rFonts w:ascii="Arial" w:cs="Arial" w:eastAsia="Arial" w:hAnsi="Arial"/>
                <w:sz w:val="13"/>
                <w:szCs w:val="13"/>
                <w:color w:val="auto"/>
              </w:rPr>
              <w:t>Fee income</w:t>
            </w:r>
          </w:p>
        </w:tc>
        <w:tc>
          <w:tcPr>
            <w:tcW w:w="96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126,163</w:t>
            </w:r>
          </w:p>
        </w:tc>
        <w:tc>
          <w:tcPr>
            <w:tcW w:w="68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110,460</w:t>
            </w:r>
          </w:p>
        </w:tc>
        <w:tc>
          <w:tcPr>
            <w:tcW w:w="220" w:type="dxa"/>
            <w:vAlign w:val="bottom"/>
            <w:shd w:val="clear" w:color="auto" w:fill="CCFFCC"/>
          </w:tcPr>
          <w:p>
            <w:pPr>
              <w:spacing w:after="0"/>
              <w:rPr>
                <w:sz w:val="11"/>
                <w:szCs w:val="11"/>
                <w:color w:val="auto"/>
              </w:rPr>
            </w:pPr>
          </w:p>
        </w:tc>
        <w:tc>
          <w:tcPr>
            <w:tcW w:w="9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93,676</w:t>
            </w:r>
          </w:p>
        </w:tc>
        <w:tc>
          <w:tcPr>
            <w:tcW w:w="90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34.7%</w:t>
            </w:r>
          </w:p>
        </w:tc>
        <w:tc>
          <w:tcPr>
            <w:tcW w:w="9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14.2%</w:t>
            </w:r>
          </w:p>
        </w:tc>
        <w:tc>
          <w:tcPr>
            <w:tcW w:w="68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436,819</w:t>
            </w:r>
          </w:p>
        </w:tc>
        <w:tc>
          <w:tcPr>
            <w:tcW w:w="220" w:type="dxa"/>
            <w:vAlign w:val="bottom"/>
            <w:shd w:val="clear" w:color="auto" w:fill="CCFFCC"/>
          </w:tcPr>
          <w:p>
            <w:pPr>
              <w:spacing w:after="0"/>
              <w:rPr>
                <w:sz w:val="11"/>
                <w:szCs w:val="11"/>
                <w:color w:val="auto"/>
              </w:rPr>
            </w:pPr>
          </w:p>
        </w:tc>
        <w:tc>
          <w:tcPr>
            <w:tcW w:w="88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394,247</w:t>
            </w:r>
          </w:p>
        </w:tc>
        <w:tc>
          <w:tcPr>
            <w:tcW w:w="820" w:type="dxa"/>
            <w:vAlign w:val="bottom"/>
            <w:gridSpan w:val="2"/>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10.8%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20" w:type="dxa"/>
            <w:vAlign w:val="bottom"/>
          </w:tcPr>
          <w:p>
            <w:pPr>
              <w:ind w:left="160"/>
              <w:spacing w:after="0" w:line="135" w:lineRule="exact"/>
              <w:rPr>
                <w:sz w:val="20"/>
                <w:szCs w:val="20"/>
                <w:color w:val="auto"/>
              </w:rPr>
            </w:pPr>
            <w:r>
              <w:rPr>
                <w:rFonts w:ascii="Arial" w:cs="Arial" w:eastAsia="Arial" w:hAnsi="Arial"/>
                <w:sz w:val="13"/>
                <w:szCs w:val="13"/>
                <w:color w:val="auto"/>
              </w:rPr>
              <w:t>Net gain on foreign exchange transactions</w:t>
            </w:r>
          </w:p>
        </w:tc>
        <w:tc>
          <w:tcPr>
            <w:tcW w:w="9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23,256</w:t>
            </w: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29,957</w:t>
            </w: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32,559</w:t>
            </w:r>
          </w:p>
        </w:tc>
        <w:tc>
          <w:tcPr>
            <w:tcW w:w="9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-28.6%</w:t>
            </w:r>
          </w:p>
        </w:tc>
        <w:tc>
          <w:tcPr>
            <w:tcW w:w="9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-22.4%</w:t>
            </w: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92,389</w:t>
            </w:r>
          </w:p>
        </w:tc>
        <w:tc>
          <w:tcPr>
            <w:tcW w:w="8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108,709</w:t>
            </w:r>
          </w:p>
        </w:tc>
        <w:tc>
          <w:tcPr>
            <w:tcW w:w="82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-15.0%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20" w:type="dxa"/>
            <w:vAlign w:val="bottom"/>
            <w:shd w:val="clear" w:color="auto" w:fill="CCFFCC"/>
          </w:tcPr>
          <w:p>
            <w:pPr>
              <w:ind w:left="160"/>
              <w:spacing w:after="0" w:line="135" w:lineRule="exact"/>
              <w:rPr>
                <w:sz w:val="20"/>
                <w:szCs w:val="20"/>
                <w:color w:val="auto"/>
              </w:rPr>
            </w:pPr>
            <w:r>
              <w:rPr>
                <w:rFonts w:ascii="Arial" w:cs="Arial" w:eastAsia="Arial" w:hAnsi="Arial"/>
                <w:sz w:val="13"/>
                <w:szCs w:val="13"/>
                <w:color w:val="auto"/>
              </w:rPr>
              <w:t>Net gain on sales of securities</w:t>
            </w:r>
          </w:p>
        </w:tc>
        <w:tc>
          <w:tcPr>
            <w:tcW w:w="96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13,617</w:t>
            </w:r>
          </w:p>
        </w:tc>
        <w:tc>
          <w:tcPr>
            <w:tcW w:w="9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17,221</w:t>
            </w:r>
          </w:p>
        </w:tc>
        <w:tc>
          <w:tcPr>
            <w:tcW w:w="9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18,811</w:t>
            </w:r>
          </w:p>
        </w:tc>
        <w:tc>
          <w:tcPr>
            <w:tcW w:w="90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-27.6%</w:t>
            </w:r>
          </w:p>
        </w:tc>
        <w:tc>
          <w:tcPr>
            <w:tcW w:w="9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-20.9%</w:t>
            </w:r>
          </w:p>
        </w:tc>
        <w:tc>
          <w:tcPr>
            <w:tcW w:w="68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120,931</w:t>
            </w:r>
          </w:p>
        </w:tc>
        <w:tc>
          <w:tcPr>
            <w:tcW w:w="220" w:type="dxa"/>
            <w:vAlign w:val="bottom"/>
            <w:shd w:val="clear" w:color="auto" w:fill="CCFFCC"/>
          </w:tcPr>
          <w:p>
            <w:pPr>
              <w:spacing w:after="0"/>
              <w:rPr>
                <w:sz w:val="11"/>
                <w:szCs w:val="11"/>
                <w:color w:val="auto"/>
              </w:rPr>
            </w:pPr>
          </w:p>
        </w:tc>
        <w:tc>
          <w:tcPr>
            <w:tcW w:w="88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51,936</w:t>
            </w:r>
          </w:p>
        </w:tc>
        <w:tc>
          <w:tcPr>
            <w:tcW w:w="820" w:type="dxa"/>
            <w:vAlign w:val="bottom"/>
            <w:gridSpan w:val="2"/>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132.8%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20" w:type="dxa"/>
            <w:vAlign w:val="bottom"/>
          </w:tcPr>
          <w:p>
            <w:pPr>
              <w:ind w:left="160"/>
              <w:spacing w:after="0" w:line="135" w:lineRule="exact"/>
              <w:rPr>
                <w:sz w:val="20"/>
                <w:szCs w:val="20"/>
                <w:color w:val="auto"/>
              </w:rPr>
            </w:pPr>
            <w:r>
              <w:rPr>
                <w:rFonts w:ascii="Arial" w:cs="Arial" w:eastAsia="Arial" w:hAnsi="Arial"/>
                <w:sz w:val="13"/>
                <w:szCs w:val="13"/>
                <w:color w:val="auto"/>
              </w:rPr>
              <w:t>Other</w:t>
            </w:r>
          </w:p>
        </w:tc>
        <w:tc>
          <w:tcPr>
            <w:tcW w:w="9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13,749</w:t>
            </w: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5,903</w:t>
            </w:r>
          </w:p>
        </w:tc>
        <w:tc>
          <w:tcPr>
            <w:tcW w:w="220" w:type="dxa"/>
            <w:vAlign w:val="bottom"/>
          </w:tcPr>
          <w:p>
            <w:pPr>
              <w:spacing w:after="0"/>
              <w:rPr>
                <w:sz w:val="11"/>
                <w:szCs w:val="11"/>
                <w:color w:val="auto"/>
              </w:rPr>
            </w:pP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14,341</w:t>
            </w:r>
          </w:p>
        </w:tc>
        <w:tc>
          <w:tcPr>
            <w:tcW w:w="9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-4.1%</w:t>
            </w:r>
          </w:p>
        </w:tc>
        <w:tc>
          <w:tcPr>
            <w:tcW w:w="9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132.9%</w:t>
            </w: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40,551</w:t>
            </w:r>
          </w:p>
        </w:tc>
        <w:tc>
          <w:tcPr>
            <w:tcW w:w="8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37,588</w:t>
            </w:r>
          </w:p>
        </w:tc>
        <w:tc>
          <w:tcPr>
            <w:tcW w:w="82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7.9%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20" w:type="dxa"/>
            <w:vAlign w:val="bottom"/>
            <w:shd w:val="clear" w:color="auto" w:fill="CCFFCC"/>
          </w:tcPr>
          <w:p>
            <w:pPr>
              <w:ind w:left="480"/>
              <w:spacing w:after="0" w:line="135" w:lineRule="exact"/>
              <w:rPr>
                <w:sz w:val="20"/>
                <w:szCs w:val="20"/>
                <w:color w:val="auto"/>
              </w:rPr>
            </w:pPr>
            <w:r>
              <w:rPr>
                <w:rFonts w:ascii="Arial" w:cs="Arial" w:eastAsia="Arial" w:hAnsi="Arial"/>
                <w:sz w:val="13"/>
                <w:szCs w:val="13"/>
                <w:b w:val="1"/>
                <w:bCs w:val="1"/>
                <w:color w:val="auto"/>
              </w:rPr>
              <w:t>Total fees and income from services, net</w:t>
            </w:r>
          </w:p>
        </w:tc>
        <w:tc>
          <w:tcPr>
            <w:tcW w:w="96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b w:val="1"/>
                <w:bCs w:val="1"/>
                <w:color w:val="auto"/>
              </w:rPr>
              <w:t>176,785</w:t>
            </w:r>
          </w:p>
        </w:tc>
        <w:tc>
          <w:tcPr>
            <w:tcW w:w="68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b w:val="1"/>
                <w:bCs w:val="1"/>
                <w:color w:val="auto"/>
              </w:rPr>
              <w:t>163,541</w:t>
            </w:r>
          </w:p>
        </w:tc>
        <w:tc>
          <w:tcPr>
            <w:tcW w:w="220" w:type="dxa"/>
            <w:vAlign w:val="bottom"/>
            <w:shd w:val="clear" w:color="auto" w:fill="CCFFCC"/>
          </w:tcPr>
          <w:p>
            <w:pPr>
              <w:spacing w:after="0"/>
              <w:rPr>
                <w:sz w:val="11"/>
                <w:szCs w:val="11"/>
                <w:color w:val="auto"/>
              </w:rPr>
            </w:pPr>
          </w:p>
        </w:tc>
        <w:tc>
          <w:tcPr>
            <w:tcW w:w="9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b w:val="1"/>
                <w:bCs w:val="1"/>
                <w:color w:val="auto"/>
              </w:rPr>
              <w:t>159,387</w:t>
            </w:r>
          </w:p>
        </w:tc>
        <w:tc>
          <w:tcPr>
            <w:tcW w:w="90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b w:val="1"/>
                <w:bCs w:val="1"/>
                <w:color w:val="auto"/>
              </w:rPr>
              <w:t>10.9%</w:t>
            </w:r>
          </w:p>
        </w:tc>
        <w:tc>
          <w:tcPr>
            <w:tcW w:w="92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b w:val="1"/>
                <w:bCs w:val="1"/>
                <w:color w:val="auto"/>
              </w:rPr>
              <w:t>8.1%</w:t>
            </w:r>
          </w:p>
        </w:tc>
        <w:tc>
          <w:tcPr>
            <w:tcW w:w="68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b w:val="1"/>
                <w:bCs w:val="1"/>
                <w:color w:val="auto"/>
              </w:rPr>
              <w:t>690,691</w:t>
            </w:r>
          </w:p>
        </w:tc>
        <w:tc>
          <w:tcPr>
            <w:tcW w:w="220" w:type="dxa"/>
            <w:vAlign w:val="bottom"/>
            <w:shd w:val="clear" w:color="auto" w:fill="CCFFCC"/>
          </w:tcPr>
          <w:p>
            <w:pPr>
              <w:spacing w:after="0"/>
              <w:rPr>
                <w:sz w:val="11"/>
                <w:szCs w:val="11"/>
                <w:color w:val="auto"/>
              </w:rPr>
            </w:pPr>
          </w:p>
        </w:tc>
        <w:tc>
          <w:tcPr>
            <w:tcW w:w="88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b w:val="1"/>
                <w:bCs w:val="1"/>
                <w:color w:val="auto"/>
              </w:rPr>
              <w:t>592,481</w:t>
            </w:r>
          </w:p>
        </w:tc>
        <w:tc>
          <w:tcPr>
            <w:tcW w:w="820" w:type="dxa"/>
            <w:vAlign w:val="bottom"/>
            <w:gridSpan w:val="2"/>
            <w:shd w:val="clear" w:color="auto" w:fill="CCFFCC"/>
          </w:tcPr>
          <w:p>
            <w:pPr>
              <w:jc w:val="right"/>
              <w:spacing w:after="0" w:line="135" w:lineRule="exact"/>
              <w:rPr>
                <w:sz w:val="20"/>
                <w:szCs w:val="20"/>
                <w:color w:val="auto"/>
              </w:rPr>
            </w:pPr>
            <w:r>
              <w:rPr>
                <w:rFonts w:ascii="Arial" w:cs="Arial" w:eastAsia="Arial" w:hAnsi="Arial"/>
                <w:sz w:val="13"/>
                <w:szCs w:val="13"/>
                <w:b w:val="1"/>
                <w:bCs w:val="1"/>
                <w:color w:val="auto"/>
              </w:rPr>
              <w:t>16.6%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20" w:type="dxa"/>
            <w:vAlign w:val="bottom"/>
          </w:tcPr>
          <w:p>
            <w:pPr>
              <w:spacing w:after="0" w:line="135" w:lineRule="exact"/>
              <w:rPr>
                <w:sz w:val="20"/>
                <w:szCs w:val="20"/>
                <w:color w:val="auto"/>
              </w:rPr>
            </w:pPr>
            <w:r>
              <w:rPr>
                <w:rFonts w:ascii="Arial" w:cs="Arial" w:eastAsia="Arial" w:hAnsi="Arial"/>
                <w:sz w:val="13"/>
                <w:szCs w:val="13"/>
                <w:b w:val="1"/>
                <w:bCs w:val="1"/>
                <w:color w:val="auto"/>
              </w:rPr>
              <w:t>Insurance premiums and claims</w:t>
            </w: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20" w:type="dxa"/>
            <w:vAlign w:val="bottom"/>
            <w:shd w:val="clear" w:color="auto" w:fill="CCFFCC"/>
          </w:tcPr>
          <w:p>
            <w:pPr>
              <w:ind w:left="160"/>
              <w:spacing w:after="0" w:line="135" w:lineRule="exact"/>
              <w:rPr>
                <w:sz w:val="20"/>
                <w:szCs w:val="20"/>
                <w:color w:val="auto"/>
              </w:rPr>
            </w:pPr>
            <w:r>
              <w:rPr>
                <w:rFonts w:ascii="Arial" w:cs="Arial" w:eastAsia="Arial" w:hAnsi="Arial"/>
                <w:sz w:val="13"/>
                <w:szCs w:val="13"/>
                <w:color w:val="auto"/>
              </w:rPr>
              <w:t>Net premiums earned</w:t>
            </w:r>
          </w:p>
        </w:tc>
        <w:tc>
          <w:tcPr>
            <w:tcW w:w="96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115,107</w:t>
            </w:r>
          </w:p>
        </w:tc>
        <w:tc>
          <w:tcPr>
            <w:tcW w:w="68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108,965</w:t>
            </w:r>
          </w:p>
        </w:tc>
        <w:tc>
          <w:tcPr>
            <w:tcW w:w="220" w:type="dxa"/>
            <w:vAlign w:val="bottom"/>
            <w:shd w:val="clear" w:color="auto" w:fill="CCFFCC"/>
          </w:tcPr>
          <w:p>
            <w:pPr>
              <w:spacing w:after="0"/>
              <w:rPr>
                <w:sz w:val="11"/>
                <w:szCs w:val="11"/>
                <w:color w:val="auto"/>
              </w:rPr>
            </w:pPr>
          </w:p>
        </w:tc>
        <w:tc>
          <w:tcPr>
            <w:tcW w:w="9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105,044</w:t>
            </w:r>
          </w:p>
        </w:tc>
        <w:tc>
          <w:tcPr>
            <w:tcW w:w="90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9.6%</w:t>
            </w:r>
          </w:p>
        </w:tc>
        <w:tc>
          <w:tcPr>
            <w:tcW w:w="9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5.6%</w:t>
            </w:r>
          </w:p>
        </w:tc>
        <w:tc>
          <w:tcPr>
            <w:tcW w:w="68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424,682</w:t>
            </w:r>
          </w:p>
        </w:tc>
        <w:tc>
          <w:tcPr>
            <w:tcW w:w="220" w:type="dxa"/>
            <w:vAlign w:val="bottom"/>
            <w:shd w:val="clear" w:color="auto" w:fill="CCFFCC"/>
          </w:tcPr>
          <w:p>
            <w:pPr>
              <w:spacing w:after="0"/>
              <w:rPr>
                <w:sz w:val="11"/>
                <w:szCs w:val="11"/>
                <w:color w:val="auto"/>
              </w:rPr>
            </w:pPr>
          </w:p>
        </w:tc>
        <w:tc>
          <w:tcPr>
            <w:tcW w:w="88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393,903</w:t>
            </w:r>
          </w:p>
        </w:tc>
        <w:tc>
          <w:tcPr>
            <w:tcW w:w="820" w:type="dxa"/>
            <w:vAlign w:val="bottom"/>
            <w:gridSpan w:val="2"/>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7.8%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20" w:type="dxa"/>
            <w:vAlign w:val="bottom"/>
          </w:tcPr>
          <w:p>
            <w:pPr>
              <w:ind w:left="160"/>
              <w:spacing w:after="0" w:line="135" w:lineRule="exact"/>
              <w:rPr>
                <w:sz w:val="20"/>
                <w:szCs w:val="20"/>
                <w:color w:val="auto"/>
              </w:rPr>
            </w:pPr>
            <w:r>
              <w:rPr>
                <w:rFonts w:ascii="Arial" w:cs="Arial" w:eastAsia="Arial" w:hAnsi="Arial"/>
                <w:sz w:val="13"/>
                <w:szCs w:val="13"/>
                <w:color w:val="auto"/>
              </w:rPr>
              <w:t>Net claims incurred</w:t>
            </w:r>
          </w:p>
        </w:tc>
        <w:tc>
          <w:tcPr>
            <w:tcW w:w="9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(7,967)</w:t>
            </w:r>
          </w:p>
        </w:tc>
        <w:tc>
          <w:tcPr>
            <w:tcW w:w="9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(13,522)</w:t>
            </w:r>
          </w:p>
        </w:tc>
        <w:tc>
          <w:tcPr>
            <w:tcW w:w="9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(24,435)</w:t>
            </w:r>
          </w:p>
        </w:tc>
        <w:tc>
          <w:tcPr>
            <w:tcW w:w="9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-67.4%</w:t>
            </w:r>
          </w:p>
        </w:tc>
        <w:tc>
          <w:tcPr>
            <w:tcW w:w="9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-41.1%</w:t>
            </w:r>
          </w:p>
        </w:tc>
        <w:tc>
          <w:tcPr>
            <w:tcW w:w="9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(59,248)</w:t>
            </w:r>
          </w:p>
        </w:tc>
        <w:tc>
          <w:tcPr>
            <w:tcW w:w="8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(101,890)</w:t>
            </w:r>
          </w:p>
        </w:tc>
        <w:tc>
          <w:tcPr>
            <w:tcW w:w="82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-41.9%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20" w:type="dxa"/>
            <w:vAlign w:val="bottom"/>
            <w:shd w:val="clear" w:color="auto" w:fill="CCFFCC"/>
          </w:tcPr>
          <w:p>
            <w:pPr>
              <w:ind w:left="160"/>
              <w:spacing w:after="0" w:line="135" w:lineRule="exact"/>
              <w:rPr>
                <w:sz w:val="20"/>
                <w:szCs w:val="20"/>
                <w:color w:val="auto"/>
              </w:rPr>
            </w:pPr>
            <w:r>
              <w:rPr>
                <w:rFonts w:ascii="Arial" w:cs="Arial" w:eastAsia="Arial" w:hAnsi="Arial"/>
                <w:sz w:val="13"/>
                <w:szCs w:val="13"/>
                <w:color w:val="auto"/>
              </w:rPr>
              <w:t>Increase in cost for life and health policies</w:t>
            </w:r>
          </w:p>
        </w:tc>
        <w:tc>
          <w:tcPr>
            <w:tcW w:w="96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(62,111)</w:t>
            </w:r>
          </w:p>
        </w:tc>
        <w:tc>
          <w:tcPr>
            <w:tcW w:w="90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(59,425)</w:t>
            </w:r>
          </w:p>
        </w:tc>
        <w:tc>
          <w:tcPr>
            <w:tcW w:w="90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(60,324)</w:t>
            </w:r>
          </w:p>
        </w:tc>
        <w:tc>
          <w:tcPr>
            <w:tcW w:w="90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3.0%</w:t>
            </w:r>
          </w:p>
        </w:tc>
        <w:tc>
          <w:tcPr>
            <w:tcW w:w="9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4.5%</w:t>
            </w:r>
          </w:p>
        </w:tc>
        <w:tc>
          <w:tcPr>
            <w:tcW w:w="90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(227,210)</w:t>
            </w:r>
          </w:p>
        </w:tc>
        <w:tc>
          <w:tcPr>
            <w:tcW w:w="880" w:type="dxa"/>
            <w:vAlign w:val="bottom"/>
            <w:gridSpan w:val="2"/>
            <w:shd w:val="clear" w:color="auto" w:fill="CCFFCC"/>
          </w:tcPr>
          <w:p>
            <w:pPr>
              <w:jc w:val="right"/>
              <w:ind w:right="160"/>
              <w:spacing w:after="0" w:line="135" w:lineRule="exact"/>
              <w:rPr>
                <w:sz w:val="20"/>
                <w:szCs w:val="20"/>
                <w:color w:val="auto"/>
              </w:rPr>
            </w:pPr>
            <w:r>
              <w:rPr>
                <w:rFonts w:ascii="Arial" w:cs="Arial" w:eastAsia="Arial" w:hAnsi="Arial"/>
                <w:sz w:val="13"/>
                <w:szCs w:val="13"/>
                <w:color w:val="auto"/>
              </w:rPr>
              <w:t>(240,020)</w:t>
            </w:r>
          </w:p>
        </w:tc>
        <w:tc>
          <w:tcPr>
            <w:tcW w:w="820" w:type="dxa"/>
            <w:vAlign w:val="bottom"/>
            <w:gridSpan w:val="2"/>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-5.3%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20" w:type="dxa"/>
            <w:vAlign w:val="bottom"/>
          </w:tcPr>
          <w:p>
            <w:pPr>
              <w:ind w:left="480"/>
              <w:spacing w:after="0" w:line="135" w:lineRule="exact"/>
              <w:rPr>
                <w:sz w:val="20"/>
                <w:szCs w:val="20"/>
                <w:color w:val="auto"/>
              </w:rPr>
            </w:pPr>
            <w:r>
              <w:rPr>
                <w:rFonts w:ascii="Arial" w:cs="Arial" w:eastAsia="Arial" w:hAnsi="Arial"/>
                <w:sz w:val="13"/>
                <w:szCs w:val="13"/>
                <w:b w:val="1"/>
                <w:bCs w:val="1"/>
                <w:color w:val="auto"/>
              </w:rPr>
              <w:t>Total other operating income, net</w:t>
            </w:r>
          </w:p>
        </w:tc>
        <w:tc>
          <w:tcPr>
            <w:tcW w:w="960" w:type="dxa"/>
            <w:vAlign w:val="bottom"/>
            <w:gridSpan w:val="2"/>
          </w:tcPr>
          <w:p>
            <w:pPr>
              <w:jc w:val="right"/>
              <w:ind w:right="240"/>
              <w:spacing w:after="0" w:line="135" w:lineRule="exact"/>
              <w:rPr>
                <w:sz w:val="20"/>
                <w:szCs w:val="20"/>
                <w:color w:val="auto"/>
              </w:rPr>
            </w:pPr>
            <w:r>
              <w:rPr>
                <w:rFonts w:ascii="Arial" w:cs="Arial" w:eastAsia="Arial" w:hAnsi="Arial"/>
                <w:sz w:val="13"/>
                <w:szCs w:val="13"/>
                <w:b w:val="1"/>
                <w:bCs w:val="1"/>
                <w:color w:val="auto"/>
              </w:rPr>
              <w:t>45,029</w:t>
            </w: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3"/>
                <w:szCs w:val="13"/>
                <w:b w:val="1"/>
                <w:bCs w:val="1"/>
                <w:color w:val="auto"/>
              </w:rPr>
              <w:t>36,018</w:t>
            </w: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3"/>
                <w:szCs w:val="13"/>
                <w:b w:val="1"/>
                <w:bCs w:val="1"/>
                <w:color w:val="auto"/>
              </w:rPr>
              <w:t>20,284</w:t>
            </w:r>
          </w:p>
        </w:tc>
        <w:tc>
          <w:tcPr>
            <w:tcW w:w="900" w:type="dxa"/>
            <w:vAlign w:val="bottom"/>
            <w:gridSpan w:val="2"/>
          </w:tcPr>
          <w:p>
            <w:pPr>
              <w:jc w:val="right"/>
              <w:ind w:right="100"/>
              <w:spacing w:after="0" w:line="135" w:lineRule="exact"/>
              <w:rPr>
                <w:sz w:val="20"/>
                <w:szCs w:val="20"/>
                <w:color w:val="auto"/>
              </w:rPr>
            </w:pPr>
            <w:r>
              <w:rPr>
                <w:rFonts w:ascii="Arial" w:cs="Arial" w:eastAsia="Arial" w:hAnsi="Arial"/>
                <w:sz w:val="13"/>
                <w:szCs w:val="13"/>
                <w:b w:val="1"/>
                <w:bCs w:val="1"/>
                <w:color w:val="auto"/>
              </w:rPr>
              <w:t>122.0%</w:t>
            </w:r>
          </w:p>
        </w:tc>
        <w:tc>
          <w:tcPr>
            <w:tcW w:w="920" w:type="dxa"/>
            <w:vAlign w:val="bottom"/>
            <w:gridSpan w:val="2"/>
          </w:tcPr>
          <w:p>
            <w:pPr>
              <w:jc w:val="right"/>
              <w:ind w:right="120"/>
              <w:spacing w:after="0" w:line="135" w:lineRule="exact"/>
              <w:rPr>
                <w:sz w:val="20"/>
                <w:szCs w:val="20"/>
                <w:color w:val="auto"/>
              </w:rPr>
            </w:pPr>
            <w:r>
              <w:rPr>
                <w:rFonts w:ascii="Arial" w:cs="Arial" w:eastAsia="Arial" w:hAnsi="Arial"/>
                <w:sz w:val="13"/>
                <w:szCs w:val="13"/>
                <w:b w:val="1"/>
                <w:bCs w:val="1"/>
                <w:color w:val="auto"/>
              </w:rPr>
              <w:t>25.0%</w:t>
            </w:r>
          </w:p>
        </w:tc>
        <w:tc>
          <w:tcPr>
            <w:tcW w:w="68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138,225</w:t>
            </w:r>
          </w:p>
        </w:tc>
        <w:tc>
          <w:tcPr>
            <w:tcW w:w="220" w:type="dxa"/>
            <w:vAlign w:val="bottom"/>
          </w:tcPr>
          <w:p>
            <w:pPr>
              <w:spacing w:after="0"/>
              <w:rPr>
                <w:sz w:val="11"/>
                <w:szCs w:val="11"/>
                <w:color w:val="auto"/>
              </w:rPr>
            </w:pPr>
          </w:p>
        </w:tc>
        <w:tc>
          <w:tcPr>
            <w:tcW w:w="880" w:type="dxa"/>
            <w:vAlign w:val="bottom"/>
            <w:gridSpan w:val="2"/>
          </w:tcPr>
          <w:p>
            <w:pPr>
              <w:jc w:val="right"/>
              <w:ind w:right="200"/>
              <w:spacing w:after="0" w:line="135" w:lineRule="exact"/>
              <w:rPr>
                <w:sz w:val="20"/>
                <w:szCs w:val="20"/>
                <w:color w:val="auto"/>
              </w:rPr>
            </w:pPr>
            <w:r>
              <w:rPr>
                <w:rFonts w:ascii="Arial" w:cs="Arial" w:eastAsia="Arial" w:hAnsi="Arial"/>
                <w:sz w:val="13"/>
                <w:szCs w:val="13"/>
                <w:b w:val="1"/>
                <w:bCs w:val="1"/>
                <w:color w:val="auto"/>
              </w:rPr>
              <w:t>51,992</w:t>
            </w:r>
          </w:p>
        </w:tc>
        <w:tc>
          <w:tcPr>
            <w:tcW w:w="820" w:type="dxa"/>
            <w:vAlign w:val="bottom"/>
            <w:gridSpan w:val="2"/>
          </w:tcPr>
          <w:p>
            <w:pPr>
              <w:jc w:val="right"/>
              <w:spacing w:after="0" w:line="135" w:lineRule="exact"/>
              <w:rPr>
                <w:sz w:val="20"/>
                <w:szCs w:val="20"/>
                <w:color w:val="auto"/>
              </w:rPr>
            </w:pPr>
            <w:r>
              <w:rPr>
                <w:rFonts w:ascii="Arial" w:cs="Arial" w:eastAsia="Arial" w:hAnsi="Arial"/>
                <w:sz w:val="13"/>
                <w:szCs w:val="13"/>
                <w:b w:val="1"/>
                <w:bCs w:val="1"/>
                <w:color w:val="auto"/>
              </w:rPr>
              <w:t>165.9%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20" w:type="dxa"/>
            <w:vAlign w:val="bottom"/>
            <w:shd w:val="clear" w:color="auto" w:fill="CCFFCC"/>
          </w:tcPr>
          <w:p>
            <w:pPr>
              <w:spacing w:after="0" w:line="135" w:lineRule="exact"/>
              <w:rPr>
                <w:sz w:val="20"/>
                <w:szCs w:val="20"/>
                <w:color w:val="auto"/>
              </w:rPr>
            </w:pPr>
            <w:r>
              <w:rPr>
                <w:rFonts w:ascii="Arial" w:cs="Arial" w:eastAsia="Arial" w:hAnsi="Arial"/>
                <w:sz w:val="13"/>
                <w:szCs w:val="13"/>
                <w:b w:val="1"/>
                <w:bCs w:val="1"/>
                <w:color w:val="auto"/>
              </w:rPr>
              <w:t>Operating expenses</w:t>
            </w:r>
          </w:p>
        </w:tc>
        <w:tc>
          <w:tcPr>
            <w:tcW w:w="72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20" w:type="dxa"/>
            <w:vAlign w:val="bottom"/>
          </w:tcPr>
          <w:p>
            <w:pPr>
              <w:ind w:left="160"/>
              <w:spacing w:after="0" w:line="135" w:lineRule="exact"/>
              <w:rPr>
                <w:sz w:val="20"/>
                <w:szCs w:val="20"/>
                <w:color w:val="auto"/>
              </w:rPr>
            </w:pPr>
            <w:r>
              <w:rPr>
                <w:rFonts w:ascii="Arial" w:cs="Arial" w:eastAsia="Arial" w:hAnsi="Arial"/>
                <w:sz w:val="13"/>
                <w:szCs w:val="13"/>
                <w:color w:val="auto"/>
              </w:rPr>
              <w:t>Salaries and employees benefits</w:t>
            </w:r>
          </w:p>
        </w:tc>
        <w:tc>
          <w:tcPr>
            <w:tcW w:w="9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(108,303)</w:t>
            </w:r>
          </w:p>
        </w:tc>
        <w:tc>
          <w:tcPr>
            <w:tcW w:w="9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(95,765)</w:t>
            </w:r>
          </w:p>
        </w:tc>
        <w:tc>
          <w:tcPr>
            <w:tcW w:w="9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(107,010)</w:t>
            </w:r>
          </w:p>
        </w:tc>
        <w:tc>
          <w:tcPr>
            <w:tcW w:w="9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1.2%</w:t>
            </w:r>
          </w:p>
        </w:tc>
        <w:tc>
          <w:tcPr>
            <w:tcW w:w="9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13.1%</w:t>
            </w:r>
          </w:p>
        </w:tc>
        <w:tc>
          <w:tcPr>
            <w:tcW w:w="9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(392,365)</w:t>
            </w:r>
          </w:p>
        </w:tc>
        <w:tc>
          <w:tcPr>
            <w:tcW w:w="8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(387,701)</w:t>
            </w:r>
          </w:p>
        </w:tc>
        <w:tc>
          <w:tcPr>
            <w:tcW w:w="82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20" w:type="dxa"/>
            <w:vAlign w:val="bottom"/>
            <w:shd w:val="clear" w:color="auto" w:fill="CCFFCC"/>
          </w:tcPr>
          <w:p>
            <w:pPr>
              <w:ind w:left="160"/>
              <w:spacing w:after="0" w:line="135" w:lineRule="exact"/>
              <w:rPr>
                <w:sz w:val="20"/>
                <w:szCs w:val="20"/>
                <w:color w:val="auto"/>
              </w:rPr>
            </w:pPr>
            <w:r>
              <w:rPr>
                <w:rFonts w:ascii="Arial" w:cs="Arial" w:eastAsia="Arial" w:hAnsi="Arial"/>
                <w:sz w:val="13"/>
                <w:szCs w:val="13"/>
                <w:color w:val="auto"/>
              </w:rPr>
              <w:t>Administrative, general and tax expenses</w:t>
            </w:r>
          </w:p>
        </w:tc>
        <w:tc>
          <w:tcPr>
            <w:tcW w:w="96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(93,152)</w:t>
            </w:r>
          </w:p>
        </w:tc>
        <w:tc>
          <w:tcPr>
            <w:tcW w:w="90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(70,436)</w:t>
            </w:r>
          </w:p>
        </w:tc>
        <w:tc>
          <w:tcPr>
            <w:tcW w:w="90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(83,270)</w:t>
            </w:r>
          </w:p>
        </w:tc>
        <w:tc>
          <w:tcPr>
            <w:tcW w:w="90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11.9%</w:t>
            </w:r>
          </w:p>
        </w:tc>
        <w:tc>
          <w:tcPr>
            <w:tcW w:w="9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32.3%</w:t>
            </w:r>
          </w:p>
        </w:tc>
        <w:tc>
          <w:tcPr>
            <w:tcW w:w="90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(312,256)</w:t>
            </w:r>
          </w:p>
        </w:tc>
        <w:tc>
          <w:tcPr>
            <w:tcW w:w="880" w:type="dxa"/>
            <w:vAlign w:val="bottom"/>
            <w:gridSpan w:val="2"/>
            <w:shd w:val="clear" w:color="auto" w:fill="CCFFCC"/>
          </w:tcPr>
          <w:p>
            <w:pPr>
              <w:jc w:val="right"/>
              <w:ind w:right="160"/>
              <w:spacing w:after="0" w:line="135" w:lineRule="exact"/>
              <w:rPr>
                <w:sz w:val="20"/>
                <w:szCs w:val="20"/>
                <w:color w:val="auto"/>
              </w:rPr>
            </w:pPr>
            <w:r>
              <w:rPr>
                <w:rFonts w:ascii="Arial" w:cs="Arial" w:eastAsia="Arial" w:hAnsi="Arial"/>
                <w:sz w:val="13"/>
                <w:szCs w:val="13"/>
                <w:color w:val="auto"/>
              </w:rPr>
              <w:t>(269,291)</w:t>
            </w:r>
          </w:p>
        </w:tc>
        <w:tc>
          <w:tcPr>
            <w:tcW w:w="820" w:type="dxa"/>
            <w:vAlign w:val="bottom"/>
            <w:gridSpan w:val="2"/>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16.0%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20" w:type="dxa"/>
            <w:vAlign w:val="bottom"/>
          </w:tcPr>
          <w:p>
            <w:pPr>
              <w:ind w:left="160"/>
              <w:spacing w:after="0" w:line="135" w:lineRule="exact"/>
              <w:rPr>
                <w:sz w:val="20"/>
                <w:szCs w:val="20"/>
                <w:color w:val="auto"/>
              </w:rPr>
            </w:pPr>
            <w:r>
              <w:rPr>
                <w:rFonts w:ascii="Arial" w:cs="Arial" w:eastAsia="Arial" w:hAnsi="Arial"/>
                <w:sz w:val="13"/>
                <w:szCs w:val="13"/>
                <w:color w:val="auto"/>
              </w:rPr>
              <w:t>Depreciation and amortization</w:t>
            </w:r>
          </w:p>
        </w:tc>
        <w:tc>
          <w:tcPr>
            <w:tcW w:w="9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(19,890)</w:t>
            </w:r>
          </w:p>
        </w:tc>
        <w:tc>
          <w:tcPr>
            <w:tcW w:w="9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(18,343)</w:t>
            </w:r>
          </w:p>
        </w:tc>
        <w:tc>
          <w:tcPr>
            <w:tcW w:w="9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(16,224)</w:t>
            </w:r>
          </w:p>
        </w:tc>
        <w:tc>
          <w:tcPr>
            <w:tcW w:w="9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22.6%</w:t>
            </w:r>
          </w:p>
        </w:tc>
        <w:tc>
          <w:tcPr>
            <w:tcW w:w="9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8.4%</w:t>
            </w:r>
          </w:p>
        </w:tc>
        <w:tc>
          <w:tcPr>
            <w:tcW w:w="9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(73,222)</w:t>
            </w:r>
          </w:p>
        </w:tc>
        <w:tc>
          <w:tcPr>
            <w:tcW w:w="8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(59,724)</w:t>
            </w:r>
          </w:p>
        </w:tc>
        <w:tc>
          <w:tcPr>
            <w:tcW w:w="82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22.6%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20" w:type="dxa"/>
            <w:vAlign w:val="bottom"/>
            <w:shd w:val="clear" w:color="auto" w:fill="CCFFCC"/>
          </w:tcPr>
          <w:p>
            <w:pPr>
              <w:ind w:left="160"/>
              <w:spacing w:after="0" w:line="135" w:lineRule="exact"/>
              <w:rPr>
                <w:sz w:val="20"/>
                <w:szCs w:val="20"/>
                <w:color w:val="auto"/>
              </w:rPr>
            </w:pPr>
            <w:r>
              <w:rPr>
                <w:rFonts w:ascii="Arial" w:cs="Arial" w:eastAsia="Arial" w:hAnsi="Arial"/>
                <w:sz w:val="13"/>
                <w:szCs w:val="13"/>
                <w:color w:val="auto"/>
              </w:rPr>
              <w:t>Merger Expenses</w:t>
            </w:r>
          </w:p>
        </w:tc>
        <w:tc>
          <w:tcPr>
            <w:tcW w:w="96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100.0%</w:t>
            </w:r>
          </w:p>
        </w:tc>
        <w:tc>
          <w:tcPr>
            <w:tcW w:w="9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100.0%</w:t>
            </w:r>
          </w:p>
        </w:tc>
        <w:tc>
          <w:tcPr>
            <w:tcW w:w="9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8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68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20" w:type="dxa"/>
            <w:vAlign w:val="bottom"/>
          </w:tcPr>
          <w:p>
            <w:pPr>
              <w:ind w:left="160"/>
              <w:spacing w:after="0" w:line="135" w:lineRule="exact"/>
              <w:rPr>
                <w:sz w:val="20"/>
                <w:szCs w:val="20"/>
                <w:color w:val="auto"/>
              </w:rPr>
            </w:pPr>
            <w:r>
              <w:rPr>
                <w:rFonts w:ascii="Arial" w:cs="Arial" w:eastAsia="Arial" w:hAnsi="Arial"/>
                <w:sz w:val="13"/>
                <w:szCs w:val="13"/>
                <w:color w:val="auto"/>
              </w:rPr>
              <w:t>Other</w:t>
            </w:r>
          </w:p>
        </w:tc>
        <w:tc>
          <w:tcPr>
            <w:tcW w:w="9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(38,719)</w:t>
            </w:r>
          </w:p>
        </w:tc>
        <w:tc>
          <w:tcPr>
            <w:tcW w:w="9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(27,025)</w:t>
            </w:r>
          </w:p>
        </w:tc>
        <w:tc>
          <w:tcPr>
            <w:tcW w:w="9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(13,757)</w:t>
            </w:r>
          </w:p>
        </w:tc>
        <w:tc>
          <w:tcPr>
            <w:tcW w:w="9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181.5%</w:t>
            </w:r>
          </w:p>
        </w:tc>
        <w:tc>
          <w:tcPr>
            <w:tcW w:w="9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43.3%</w:t>
            </w:r>
          </w:p>
        </w:tc>
        <w:tc>
          <w:tcPr>
            <w:tcW w:w="9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(120,797)</w:t>
            </w:r>
          </w:p>
        </w:tc>
        <w:tc>
          <w:tcPr>
            <w:tcW w:w="8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(93,824)</w:t>
            </w:r>
          </w:p>
        </w:tc>
        <w:tc>
          <w:tcPr>
            <w:tcW w:w="82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28.7%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20" w:type="dxa"/>
            <w:vAlign w:val="bottom"/>
            <w:shd w:val="clear" w:color="auto" w:fill="CCFFCC"/>
          </w:tcPr>
          <w:p>
            <w:pPr>
              <w:ind w:left="480"/>
              <w:spacing w:after="0" w:line="135" w:lineRule="exact"/>
              <w:rPr>
                <w:sz w:val="20"/>
                <w:szCs w:val="20"/>
                <w:color w:val="auto"/>
              </w:rPr>
            </w:pPr>
            <w:r>
              <w:rPr>
                <w:rFonts w:ascii="Arial" w:cs="Arial" w:eastAsia="Arial" w:hAnsi="Arial"/>
                <w:sz w:val="13"/>
                <w:szCs w:val="13"/>
                <w:b w:val="1"/>
                <w:bCs w:val="1"/>
                <w:color w:val="auto"/>
              </w:rPr>
              <w:t>Total operating expenses</w:t>
            </w:r>
          </w:p>
        </w:tc>
        <w:tc>
          <w:tcPr>
            <w:tcW w:w="96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b w:val="1"/>
                <w:bCs w:val="1"/>
                <w:color w:val="auto"/>
              </w:rPr>
              <w:t>(260,064)</w:t>
            </w:r>
          </w:p>
        </w:tc>
        <w:tc>
          <w:tcPr>
            <w:tcW w:w="90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b w:val="1"/>
                <w:bCs w:val="1"/>
                <w:color w:val="auto"/>
              </w:rPr>
              <w:t>(211,568)</w:t>
            </w:r>
          </w:p>
        </w:tc>
        <w:tc>
          <w:tcPr>
            <w:tcW w:w="90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b w:val="1"/>
                <w:bCs w:val="1"/>
                <w:color w:val="auto"/>
              </w:rPr>
              <w:t>(220,261)</w:t>
            </w:r>
          </w:p>
        </w:tc>
        <w:tc>
          <w:tcPr>
            <w:tcW w:w="90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b w:val="1"/>
                <w:bCs w:val="1"/>
                <w:color w:val="auto"/>
              </w:rPr>
              <w:t>18.1%</w:t>
            </w:r>
          </w:p>
        </w:tc>
        <w:tc>
          <w:tcPr>
            <w:tcW w:w="92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b w:val="1"/>
                <w:bCs w:val="1"/>
                <w:color w:val="auto"/>
              </w:rPr>
              <w:t>22.9%</w:t>
            </w:r>
          </w:p>
        </w:tc>
        <w:tc>
          <w:tcPr>
            <w:tcW w:w="90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b w:val="1"/>
                <w:bCs w:val="1"/>
                <w:color w:val="auto"/>
              </w:rPr>
              <w:t>(898,639)</w:t>
            </w:r>
          </w:p>
        </w:tc>
        <w:tc>
          <w:tcPr>
            <w:tcW w:w="880" w:type="dxa"/>
            <w:vAlign w:val="bottom"/>
            <w:gridSpan w:val="2"/>
            <w:shd w:val="clear" w:color="auto" w:fill="CCFFCC"/>
          </w:tcPr>
          <w:p>
            <w:pPr>
              <w:jc w:val="right"/>
              <w:ind w:right="160"/>
              <w:spacing w:after="0" w:line="135" w:lineRule="exact"/>
              <w:rPr>
                <w:sz w:val="20"/>
                <w:szCs w:val="20"/>
                <w:color w:val="auto"/>
              </w:rPr>
            </w:pPr>
            <w:r>
              <w:rPr>
                <w:rFonts w:ascii="Arial" w:cs="Arial" w:eastAsia="Arial" w:hAnsi="Arial"/>
                <w:sz w:val="13"/>
                <w:szCs w:val="13"/>
                <w:b w:val="1"/>
                <w:bCs w:val="1"/>
                <w:color w:val="auto"/>
              </w:rPr>
              <w:t>(810,540)</w:t>
            </w:r>
          </w:p>
        </w:tc>
        <w:tc>
          <w:tcPr>
            <w:tcW w:w="820" w:type="dxa"/>
            <w:vAlign w:val="bottom"/>
            <w:gridSpan w:val="2"/>
            <w:shd w:val="clear" w:color="auto" w:fill="CCFFCC"/>
          </w:tcPr>
          <w:p>
            <w:pPr>
              <w:jc w:val="right"/>
              <w:spacing w:after="0" w:line="135" w:lineRule="exact"/>
              <w:rPr>
                <w:sz w:val="20"/>
                <w:szCs w:val="20"/>
                <w:color w:val="auto"/>
              </w:rPr>
            </w:pPr>
            <w:r>
              <w:rPr>
                <w:rFonts w:ascii="Arial" w:cs="Arial" w:eastAsia="Arial" w:hAnsi="Arial"/>
                <w:sz w:val="13"/>
                <w:szCs w:val="13"/>
                <w:b w:val="1"/>
                <w:bCs w:val="1"/>
                <w:color w:val="auto"/>
              </w:rPr>
              <w:t>10.9%</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220" w:type="dxa"/>
            <w:vAlign w:val="bottom"/>
          </w:tcPr>
          <w:p>
            <w:pPr>
              <w:spacing w:after="0" w:line="117" w:lineRule="exact"/>
              <w:rPr>
                <w:sz w:val="20"/>
                <w:szCs w:val="20"/>
                <w:color w:val="auto"/>
              </w:rPr>
            </w:pPr>
            <w:r>
              <w:rPr>
                <w:rFonts w:ascii="Arial" w:cs="Arial" w:eastAsia="Arial" w:hAnsi="Arial"/>
                <w:sz w:val="13"/>
                <w:szCs w:val="13"/>
                <w:b w:val="1"/>
                <w:bCs w:val="1"/>
                <w:color w:val="auto"/>
                <w:w w:val="94"/>
              </w:rPr>
              <w:t>Income before translation results,employees' profit sharing and income</w:t>
            </w:r>
          </w:p>
        </w:tc>
        <w:tc>
          <w:tcPr>
            <w:tcW w:w="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4240" w:type="dxa"/>
            <w:vAlign w:val="bottom"/>
            <w:gridSpan w:val="2"/>
          </w:tcPr>
          <w:p>
            <w:pPr>
              <w:spacing w:after="0"/>
              <w:rPr>
                <w:sz w:val="20"/>
                <w:szCs w:val="20"/>
                <w:color w:val="auto"/>
              </w:rPr>
            </w:pPr>
            <w:r>
              <w:rPr>
                <w:rFonts w:ascii="Arial" w:cs="Arial" w:eastAsia="Arial" w:hAnsi="Arial"/>
                <w:sz w:val="13"/>
                <w:szCs w:val="13"/>
                <w:b w:val="1"/>
                <w:bCs w:val="1"/>
                <w:color w:val="auto"/>
              </w:rPr>
              <w:t>taxes</w:t>
            </w:r>
          </w:p>
        </w:tc>
        <w:tc>
          <w:tcPr>
            <w:tcW w:w="96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155,669</w:t>
            </w:r>
          </w:p>
        </w:tc>
        <w:tc>
          <w:tcPr>
            <w:tcW w:w="680" w:type="dxa"/>
            <w:vAlign w:val="bottom"/>
          </w:tcPr>
          <w:p>
            <w:pPr>
              <w:jc w:val="right"/>
              <w:spacing w:after="0"/>
              <w:rPr>
                <w:sz w:val="20"/>
                <w:szCs w:val="20"/>
                <w:color w:val="auto"/>
              </w:rPr>
            </w:pPr>
            <w:r>
              <w:rPr>
                <w:rFonts w:ascii="Arial" w:cs="Arial" w:eastAsia="Arial" w:hAnsi="Arial"/>
                <w:sz w:val="13"/>
                <w:szCs w:val="13"/>
                <w:b w:val="1"/>
                <w:bCs w:val="1"/>
                <w:color w:val="auto"/>
              </w:rPr>
              <w:t>164,322</w:t>
            </w:r>
          </w:p>
        </w:tc>
        <w:tc>
          <w:tcPr>
            <w:tcW w:w="220" w:type="dxa"/>
            <w:vAlign w:val="bottom"/>
          </w:tcPr>
          <w:p>
            <w:pPr>
              <w:spacing w:after="0"/>
              <w:rPr>
                <w:sz w:val="13"/>
                <w:szCs w:val="1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168,018</w:t>
            </w:r>
          </w:p>
        </w:tc>
        <w:tc>
          <w:tcPr>
            <w:tcW w:w="90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-7.3%</w:t>
            </w:r>
          </w:p>
        </w:tc>
        <w:tc>
          <w:tcPr>
            <w:tcW w:w="92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-5.3%</w:t>
            </w:r>
          </w:p>
        </w:tc>
        <w:tc>
          <w:tcPr>
            <w:tcW w:w="680" w:type="dxa"/>
            <w:vAlign w:val="bottom"/>
          </w:tcPr>
          <w:p>
            <w:pPr>
              <w:jc w:val="right"/>
              <w:spacing w:after="0"/>
              <w:rPr>
                <w:sz w:val="20"/>
                <w:szCs w:val="20"/>
                <w:color w:val="auto"/>
              </w:rPr>
            </w:pPr>
            <w:r>
              <w:rPr>
                <w:rFonts w:ascii="Arial" w:cs="Arial" w:eastAsia="Arial" w:hAnsi="Arial"/>
                <w:sz w:val="13"/>
                <w:szCs w:val="13"/>
                <w:b w:val="1"/>
                <w:bCs w:val="1"/>
                <w:color w:val="auto"/>
              </w:rPr>
              <w:t>658,802</w:t>
            </w:r>
          </w:p>
        </w:tc>
        <w:tc>
          <w:tcPr>
            <w:tcW w:w="220" w:type="dxa"/>
            <w:vAlign w:val="bottom"/>
          </w:tcPr>
          <w:p>
            <w:pPr>
              <w:spacing w:after="0"/>
              <w:rPr>
                <w:sz w:val="13"/>
                <w:szCs w:val="13"/>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609,096</w:t>
            </w:r>
          </w:p>
        </w:tc>
        <w:tc>
          <w:tcPr>
            <w:tcW w:w="820" w:type="dxa"/>
            <w:vAlign w:val="bottom"/>
            <w:gridSpan w:val="2"/>
          </w:tcPr>
          <w:p>
            <w:pPr>
              <w:jc w:val="right"/>
              <w:spacing w:after="0"/>
              <w:rPr>
                <w:sz w:val="20"/>
                <w:szCs w:val="20"/>
                <w:color w:val="auto"/>
              </w:rPr>
            </w:pPr>
            <w:r>
              <w:rPr>
                <w:rFonts w:ascii="Arial" w:cs="Arial" w:eastAsia="Arial" w:hAnsi="Arial"/>
                <w:sz w:val="13"/>
                <w:szCs w:val="13"/>
                <w:b w:val="1"/>
                <w:bCs w:val="1"/>
                <w:color w:val="auto"/>
              </w:rPr>
              <w:t>8.2%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20" w:type="dxa"/>
            <w:vAlign w:val="bottom"/>
            <w:shd w:val="clear" w:color="auto" w:fill="CCFFCC"/>
          </w:tcPr>
          <w:p>
            <w:pPr>
              <w:ind w:left="160"/>
              <w:spacing w:after="0" w:line="135" w:lineRule="exact"/>
              <w:rPr>
                <w:sz w:val="20"/>
                <w:szCs w:val="20"/>
                <w:color w:val="auto"/>
              </w:rPr>
            </w:pPr>
            <w:r>
              <w:rPr>
                <w:rFonts w:ascii="Arial" w:cs="Arial" w:eastAsia="Arial" w:hAnsi="Arial"/>
                <w:sz w:val="13"/>
                <w:szCs w:val="13"/>
                <w:color w:val="auto"/>
              </w:rPr>
              <w:t>Translation result</w:t>
            </w:r>
          </w:p>
        </w:tc>
        <w:tc>
          <w:tcPr>
            <w:tcW w:w="96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1,075</w:t>
            </w:r>
          </w:p>
        </w:tc>
        <w:tc>
          <w:tcPr>
            <w:tcW w:w="9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12,046</w:t>
            </w:r>
          </w:p>
        </w:tc>
        <w:tc>
          <w:tcPr>
            <w:tcW w:w="90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(31,813)</w:t>
            </w:r>
          </w:p>
        </w:tc>
        <w:tc>
          <w:tcPr>
            <w:tcW w:w="90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103.4%</w:t>
            </w:r>
          </w:p>
        </w:tc>
        <w:tc>
          <w:tcPr>
            <w:tcW w:w="9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-91.1%</w:t>
            </w:r>
          </w:p>
        </w:tc>
        <w:tc>
          <w:tcPr>
            <w:tcW w:w="9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12,371</w:t>
            </w:r>
          </w:p>
        </w:tc>
        <w:tc>
          <w:tcPr>
            <w:tcW w:w="880" w:type="dxa"/>
            <w:vAlign w:val="bottom"/>
            <w:gridSpan w:val="2"/>
            <w:shd w:val="clear" w:color="auto" w:fill="CCFFCC"/>
          </w:tcPr>
          <w:p>
            <w:pPr>
              <w:jc w:val="right"/>
              <w:ind w:right="160"/>
              <w:spacing w:after="0" w:line="135" w:lineRule="exact"/>
              <w:rPr>
                <w:sz w:val="20"/>
                <w:szCs w:val="20"/>
                <w:color w:val="auto"/>
              </w:rPr>
            </w:pPr>
            <w:r>
              <w:rPr>
                <w:rFonts w:ascii="Arial" w:cs="Arial" w:eastAsia="Arial" w:hAnsi="Arial"/>
                <w:sz w:val="13"/>
                <w:szCs w:val="13"/>
                <w:color w:val="auto"/>
              </w:rPr>
              <w:t>(17,650)</w:t>
            </w:r>
          </w:p>
        </w:tc>
        <w:tc>
          <w:tcPr>
            <w:tcW w:w="820" w:type="dxa"/>
            <w:vAlign w:val="bottom"/>
            <w:gridSpan w:val="2"/>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170.1%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20" w:type="dxa"/>
            <w:vAlign w:val="bottom"/>
          </w:tcPr>
          <w:p>
            <w:pPr>
              <w:ind w:left="160"/>
              <w:spacing w:after="0" w:line="135" w:lineRule="exact"/>
              <w:rPr>
                <w:sz w:val="20"/>
                <w:szCs w:val="20"/>
                <w:color w:val="auto"/>
              </w:rPr>
            </w:pPr>
            <w:r>
              <w:rPr>
                <w:rFonts w:ascii="Arial" w:cs="Arial" w:eastAsia="Arial" w:hAnsi="Arial"/>
                <w:sz w:val="13"/>
                <w:szCs w:val="13"/>
                <w:color w:val="auto"/>
              </w:rPr>
              <w:t>Impairment</w:t>
            </w:r>
          </w:p>
        </w:tc>
        <w:tc>
          <w:tcPr>
            <w:tcW w:w="9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(2,661)</w:t>
            </w:r>
          </w:p>
        </w:tc>
        <w:tc>
          <w:tcPr>
            <w:tcW w:w="9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(945)</w:t>
            </w:r>
          </w:p>
        </w:tc>
        <w:tc>
          <w:tcPr>
            <w:tcW w:w="9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(40,856)</w:t>
            </w:r>
          </w:p>
        </w:tc>
        <w:tc>
          <w:tcPr>
            <w:tcW w:w="9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-93.5%</w:t>
            </w:r>
          </w:p>
        </w:tc>
        <w:tc>
          <w:tcPr>
            <w:tcW w:w="9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181.6%</w:t>
            </w:r>
          </w:p>
        </w:tc>
        <w:tc>
          <w:tcPr>
            <w:tcW w:w="9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(9,825)</w:t>
            </w:r>
          </w:p>
        </w:tc>
        <w:tc>
          <w:tcPr>
            <w:tcW w:w="8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(50,274)</w:t>
            </w:r>
          </w:p>
        </w:tc>
        <w:tc>
          <w:tcPr>
            <w:tcW w:w="82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-80.5%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20" w:type="dxa"/>
            <w:vAlign w:val="bottom"/>
            <w:shd w:val="clear" w:color="auto" w:fill="CCFFCC"/>
          </w:tcPr>
          <w:p>
            <w:pPr>
              <w:ind w:left="160"/>
              <w:spacing w:after="0" w:line="135" w:lineRule="exact"/>
              <w:rPr>
                <w:sz w:val="20"/>
                <w:szCs w:val="20"/>
                <w:color w:val="auto"/>
              </w:rPr>
            </w:pPr>
            <w:r>
              <w:rPr>
                <w:rFonts w:ascii="Arial" w:cs="Arial" w:eastAsia="Arial" w:hAnsi="Arial"/>
                <w:sz w:val="13"/>
                <w:szCs w:val="13"/>
                <w:color w:val="auto"/>
              </w:rPr>
              <w:t>Provision Atlantic Blue Chip Fund propietary exposure</w:t>
            </w:r>
          </w:p>
        </w:tc>
        <w:tc>
          <w:tcPr>
            <w:tcW w:w="72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90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(43,489)</w:t>
            </w:r>
          </w:p>
        </w:tc>
        <w:tc>
          <w:tcPr>
            <w:tcW w:w="90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100.0%</w:t>
            </w:r>
          </w:p>
        </w:tc>
        <w:tc>
          <w:tcPr>
            <w:tcW w:w="68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880" w:type="dxa"/>
            <w:vAlign w:val="bottom"/>
            <w:gridSpan w:val="2"/>
            <w:shd w:val="clear" w:color="auto" w:fill="CCFFCC"/>
          </w:tcPr>
          <w:p>
            <w:pPr>
              <w:jc w:val="right"/>
              <w:ind w:right="160"/>
              <w:spacing w:after="0" w:line="135" w:lineRule="exact"/>
              <w:rPr>
                <w:sz w:val="20"/>
                <w:szCs w:val="20"/>
                <w:color w:val="auto"/>
              </w:rPr>
            </w:pPr>
            <w:r>
              <w:rPr>
                <w:rFonts w:ascii="Arial" w:cs="Arial" w:eastAsia="Arial" w:hAnsi="Arial"/>
                <w:sz w:val="13"/>
                <w:szCs w:val="13"/>
                <w:color w:val="auto"/>
              </w:rPr>
              <w:t>(43,489)</w:t>
            </w:r>
          </w:p>
        </w:tc>
        <w:tc>
          <w:tcPr>
            <w:tcW w:w="820" w:type="dxa"/>
            <w:vAlign w:val="bottom"/>
            <w:gridSpan w:val="2"/>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100.0%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20" w:type="dxa"/>
            <w:vAlign w:val="bottom"/>
          </w:tcPr>
          <w:p>
            <w:pPr>
              <w:ind w:left="160"/>
              <w:spacing w:after="0" w:line="135" w:lineRule="exact"/>
              <w:rPr>
                <w:sz w:val="20"/>
                <w:szCs w:val="20"/>
                <w:color w:val="auto"/>
              </w:rPr>
            </w:pPr>
            <w:r>
              <w:rPr>
                <w:rFonts w:ascii="Arial" w:cs="Arial" w:eastAsia="Arial" w:hAnsi="Arial"/>
                <w:sz w:val="13"/>
                <w:szCs w:val="13"/>
                <w:color w:val="auto"/>
              </w:rPr>
              <w:t>Workers’ profit sharing</w:t>
            </w:r>
          </w:p>
        </w:tc>
        <w:tc>
          <w:tcPr>
            <w:tcW w:w="9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(1,734)</w:t>
            </w:r>
          </w:p>
        </w:tc>
        <w:tc>
          <w:tcPr>
            <w:tcW w:w="9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(5,747)</w:t>
            </w:r>
          </w:p>
        </w:tc>
        <w:tc>
          <w:tcPr>
            <w:tcW w:w="9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(4,260)</w:t>
            </w:r>
          </w:p>
        </w:tc>
        <w:tc>
          <w:tcPr>
            <w:tcW w:w="9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-59.3%</w:t>
            </w:r>
          </w:p>
        </w:tc>
        <w:tc>
          <w:tcPr>
            <w:tcW w:w="9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-69.8%</w:t>
            </w:r>
          </w:p>
        </w:tc>
        <w:tc>
          <w:tcPr>
            <w:tcW w:w="9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(18,412)</w:t>
            </w:r>
          </w:p>
        </w:tc>
        <w:tc>
          <w:tcPr>
            <w:tcW w:w="8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(14,845)</w:t>
            </w:r>
          </w:p>
        </w:tc>
        <w:tc>
          <w:tcPr>
            <w:tcW w:w="82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24.0%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20" w:type="dxa"/>
            <w:vAlign w:val="bottom"/>
            <w:shd w:val="clear" w:color="auto" w:fill="CCFFCC"/>
          </w:tcPr>
          <w:p>
            <w:pPr>
              <w:ind w:left="160"/>
              <w:spacing w:after="0" w:line="135" w:lineRule="exact"/>
              <w:rPr>
                <w:sz w:val="20"/>
                <w:szCs w:val="20"/>
                <w:color w:val="auto"/>
              </w:rPr>
            </w:pPr>
            <w:r>
              <w:rPr>
                <w:rFonts w:ascii="Arial" w:cs="Arial" w:eastAsia="Arial" w:hAnsi="Arial"/>
                <w:sz w:val="13"/>
                <w:szCs w:val="13"/>
                <w:color w:val="auto"/>
              </w:rPr>
              <w:t>Income taxes</w:t>
            </w:r>
          </w:p>
        </w:tc>
        <w:tc>
          <w:tcPr>
            <w:tcW w:w="96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(19,378)</w:t>
            </w:r>
          </w:p>
        </w:tc>
        <w:tc>
          <w:tcPr>
            <w:tcW w:w="90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(39,538)</w:t>
            </w:r>
          </w:p>
        </w:tc>
        <w:tc>
          <w:tcPr>
            <w:tcW w:w="90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(29,512)</w:t>
            </w:r>
          </w:p>
        </w:tc>
        <w:tc>
          <w:tcPr>
            <w:tcW w:w="90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-34.3%</w:t>
            </w:r>
          </w:p>
        </w:tc>
        <w:tc>
          <w:tcPr>
            <w:tcW w:w="9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-51.0%</w:t>
            </w:r>
          </w:p>
        </w:tc>
        <w:tc>
          <w:tcPr>
            <w:tcW w:w="90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(138,500)</w:t>
            </w:r>
          </w:p>
        </w:tc>
        <w:tc>
          <w:tcPr>
            <w:tcW w:w="880" w:type="dxa"/>
            <w:vAlign w:val="bottom"/>
            <w:gridSpan w:val="2"/>
            <w:shd w:val="clear" w:color="auto" w:fill="CCFFCC"/>
          </w:tcPr>
          <w:p>
            <w:pPr>
              <w:jc w:val="right"/>
              <w:ind w:right="160"/>
              <w:spacing w:after="0" w:line="135" w:lineRule="exact"/>
              <w:rPr>
                <w:sz w:val="20"/>
                <w:szCs w:val="20"/>
                <w:color w:val="auto"/>
              </w:rPr>
            </w:pPr>
            <w:r>
              <w:rPr>
                <w:rFonts w:ascii="Arial" w:cs="Arial" w:eastAsia="Arial" w:hAnsi="Arial"/>
                <w:sz w:val="13"/>
                <w:szCs w:val="13"/>
                <w:color w:val="auto"/>
              </w:rPr>
              <w:t>(109,508)</w:t>
            </w:r>
          </w:p>
        </w:tc>
        <w:tc>
          <w:tcPr>
            <w:tcW w:w="820" w:type="dxa"/>
            <w:vAlign w:val="bottom"/>
            <w:gridSpan w:val="2"/>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26.5%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20" w:type="dxa"/>
            <w:vAlign w:val="bottom"/>
          </w:tcPr>
          <w:p>
            <w:pPr>
              <w:spacing w:after="0" w:line="135" w:lineRule="exact"/>
              <w:rPr>
                <w:sz w:val="20"/>
                <w:szCs w:val="20"/>
                <w:color w:val="auto"/>
              </w:rPr>
            </w:pPr>
            <w:r>
              <w:rPr>
                <w:rFonts w:ascii="Arial" w:cs="Arial" w:eastAsia="Arial" w:hAnsi="Arial"/>
                <w:sz w:val="13"/>
                <w:szCs w:val="13"/>
                <w:b w:val="1"/>
                <w:bCs w:val="1"/>
                <w:color w:val="auto"/>
              </w:rPr>
              <w:t>Net income</w:t>
            </w:r>
          </w:p>
        </w:tc>
        <w:tc>
          <w:tcPr>
            <w:tcW w:w="960" w:type="dxa"/>
            <w:vAlign w:val="bottom"/>
            <w:gridSpan w:val="2"/>
          </w:tcPr>
          <w:p>
            <w:pPr>
              <w:jc w:val="right"/>
              <w:ind w:right="240"/>
              <w:spacing w:after="0" w:line="135" w:lineRule="exact"/>
              <w:rPr>
                <w:sz w:val="20"/>
                <w:szCs w:val="20"/>
                <w:color w:val="auto"/>
              </w:rPr>
            </w:pPr>
            <w:r>
              <w:rPr>
                <w:rFonts w:ascii="Arial" w:cs="Arial" w:eastAsia="Arial" w:hAnsi="Arial"/>
                <w:sz w:val="13"/>
                <w:szCs w:val="13"/>
                <w:b w:val="1"/>
                <w:bCs w:val="1"/>
                <w:color w:val="auto"/>
              </w:rPr>
              <w:t>132,971</w:t>
            </w:r>
          </w:p>
        </w:tc>
        <w:tc>
          <w:tcPr>
            <w:tcW w:w="68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130,139</w:t>
            </w:r>
          </w:p>
        </w:tc>
        <w:tc>
          <w:tcPr>
            <w:tcW w:w="220" w:type="dxa"/>
            <w:vAlign w:val="bottom"/>
          </w:tcPr>
          <w:p>
            <w:pPr>
              <w:spacing w:after="0"/>
              <w:rPr>
                <w:sz w:val="11"/>
                <w:szCs w:val="11"/>
                <w:color w:val="auto"/>
              </w:rPr>
            </w:pP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3"/>
                <w:szCs w:val="13"/>
                <w:b w:val="1"/>
                <w:bCs w:val="1"/>
                <w:color w:val="auto"/>
              </w:rPr>
              <w:t>18,089</w:t>
            </w:r>
          </w:p>
        </w:tc>
        <w:tc>
          <w:tcPr>
            <w:tcW w:w="900" w:type="dxa"/>
            <w:vAlign w:val="bottom"/>
            <w:gridSpan w:val="2"/>
          </w:tcPr>
          <w:p>
            <w:pPr>
              <w:jc w:val="right"/>
              <w:ind w:right="100"/>
              <w:spacing w:after="0" w:line="135" w:lineRule="exact"/>
              <w:rPr>
                <w:sz w:val="20"/>
                <w:szCs w:val="20"/>
                <w:color w:val="auto"/>
              </w:rPr>
            </w:pPr>
            <w:r>
              <w:rPr>
                <w:rFonts w:ascii="Arial" w:cs="Arial" w:eastAsia="Arial" w:hAnsi="Arial"/>
                <w:sz w:val="13"/>
                <w:szCs w:val="13"/>
                <w:b w:val="1"/>
                <w:bCs w:val="1"/>
                <w:color w:val="auto"/>
              </w:rPr>
              <w:t>635.1%</w:t>
            </w:r>
          </w:p>
        </w:tc>
        <w:tc>
          <w:tcPr>
            <w:tcW w:w="920" w:type="dxa"/>
            <w:vAlign w:val="bottom"/>
            <w:gridSpan w:val="2"/>
          </w:tcPr>
          <w:p>
            <w:pPr>
              <w:jc w:val="right"/>
              <w:ind w:right="120"/>
              <w:spacing w:after="0" w:line="135" w:lineRule="exact"/>
              <w:rPr>
                <w:sz w:val="20"/>
                <w:szCs w:val="20"/>
                <w:color w:val="auto"/>
              </w:rPr>
            </w:pPr>
            <w:r>
              <w:rPr>
                <w:rFonts w:ascii="Arial" w:cs="Arial" w:eastAsia="Arial" w:hAnsi="Arial"/>
                <w:sz w:val="13"/>
                <w:szCs w:val="13"/>
                <w:b w:val="1"/>
                <w:bCs w:val="1"/>
                <w:color w:val="auto"/>
              </w:rPr>
              <w:t>2.2%</w:t>
            </w:r>
          </w:p>
        </w:tc>
        <w:tc>
          <w:tcPr>
            <w:tcW w:w="68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504,435</w:t>
            </w:r>
          </w:p>
        </w:tc>
        <w:tc>
          <w:tcPr>
            <w:tcW w:w="220" w:type="dxa"/>
            <w:vAlign w:val="bottom"/>
          </w:tcPr>
          <w:p>
            <w:pPr>
              <w:spacing w:after="0"/>
              <w:rPr>
                <w:sz w:val="11"/>
                <w:szCs w:val="11"/>
                <w:color w:val="auto"/>
              </w:rPr>
            </w:pPr>
          </w:p>
        </w:tc>
        <w:tc>
          <w:tcPr>
            <w:tcW w:w="880" w:type="dxa"/>
            <w:vAlign w:val="bottom"/>
            <w:gridSpan w:val="2"/>
          </w:tcPr>
          <w:p>
            <w:pPr>
              <w:jc w:val="right"/>
              <w:ind w:right="200"/>
              <w:spacing w:after="0" w:line="135" w:lineRule="exact"/>
              <w:rPr>
                <w:sz w:val="20"/>
                <w:szCs w:val="20"/>
                <w:color w:val="auto"/>
              </w:rPr>
            </w:pPr>
            <w:r>
              <w:rPr>
                <w:rFonts w:ascii="Arial" w:cs="Arial" w:eastAsia="Arial" w:hAnsi="Arial"/>
                <w:sz w:val="13"/>
                <w:szCs w:val="13"/>
                <w:b w:val="1"/>
                <w:bCs w:val="1"/>
                <w:color w:val="auto"/>
              </w:rPr>
              <w:t>373,331</w:t>
            </w:r>
          </w:p>
        </w:tc>
        <w:tc>
          <w:tcPr>
            <w:tcW w:w="820" w:type="dxa"/>
            <w:vAlign w:val="bottom"/>
            <w:gridSpan w:val="2"/>
          </w:tcPr>
          <w:p>
            <w:pPr>
              <w:jc w:val="right"/>
              <w:spacing w:after="0" w:line="135" w:lineRule="exact"/>
              <w:rPr>
                <w:sz w:val="20"/>
                <w:szCs w:val="20"/>
                <w:color w:val="auto"/>
              </w:rPr>
            </w:pPr>
            <w:r>
              <w:rPr>
                <w:rFonts w:ascii="Arial" w:cs="Arial" w:eastAsia="Arial" w:hAnsi="Arial"/>
                <w:sz w:val="13"/>
                <w:szCs w:val="13"/>
                <w:b w:val="1"/>
                <w:bCs w:val="1"/>
                <w:color w:val="auto"/>
              </w:rPr>
              <w:t>35.1%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2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Minority interest</w:t>
            </w:r>
          </w:p>
        </w:tc>
        <w:tc>
          <w:tcPr>
            <w:tcW w:w="96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10,675</w:t>
            </w:r>
          </w:p>
        </w:tc>
        <w:tc>
          <w:tcPr>
            <w:tcW w:w="68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8,432</w:t>
            </w:r>
          </w:p>
        </w:tc>
        <w:tc>
          <w:tcPr>
            <w:tcW w:w="220" w:type="dxa"/>
            <w:vAlign w:val="bottom"/>
            <w:shd w:val="clear" w:color="auto" w:fill="CCFFCC"/>
          </w:tcPr>
          <w:p>
            <w:pPr>
              <w:spacing w:after="0"/>
              <w:rPr>
                <w:sz w:val="11"/>
                <w:szCs w:val="11"/>
                <w:color w:val="auto"/>
              </w:rPr>
            </w:pPr>
          </w:p>
        </w:tc>
        <w:tc>
          <w:tcPr>
            <w:tcW w:w="9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4,597</w:t>
            </w:r>
          </w:p>
        </w:tc>
        <w:tc>
          <w:tcPr>
            <w:tcW w:w="90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132.2%</w:t>
            </w:r>
          </w:p>
        </w:tc>
        <w:tc>
          <w:tcPr>
            <w:tcW w:w="9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26.6%</w:t>
            </w:r>
          </w:p>
        </w:tc>
        <w:tc>
          <w:tcPr>
            <w:tcW w:w="9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34,651</w:t>
            </w:r>
          </w:p>
        </w:tc>
        <w:tc>
          <w:tcPr>
            <w:tcW w:w="88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15,575</w:t>
            </w:r>
          </w:p>
        </w:tc>
        <w:tc>
          <w:tcPr>
            <w:tcW w:w="820" w:type="dxa"/>
            <w:vAlign w:val="bottom"/>
            <w:gridSpan w:val="2"/>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122.5%</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220" w:type="dxa"/>
            <w:vAlign w:val="bottom"/>
          </w:tcPr>
          <w:p>
            <w:pPr>
              <w:spacing w:after="0"/>
              <w:rPr>
                <w:sz w:val="20"/>
                <w:szCs w:val="20"/>
                <w:color w:val="auto"/>
              </w:rPr>
            </w:pPr>
            <w:r>
              <w:rPr>
                <w:rFonts w:ascii="Arial" w:cs="Arial" w:eastAsia="Arial" w:hAnsi="Arial"/>
                <w:sz w:val="13"/>
                <w:szCs w:val="13"/>
                <w:b w:val="1"/>
                <w:bCs w:val="1"/>
                <w:color w:val="auto"/>
              </w:rPr>
              <w:t>Net income attributed to Credicorp</w:t>
            </w:r>
          </w:p>
        </w:tc>
        <w:tc>
          <w:tcPr>
            <w:tcW w:w="96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122,296</w:t>
            </w:r>
          </w:p>
        </w:tc>
        <w:tc>
          <w:tcPr>
            <w:tcW w:w="680" w:type="dxa"/>
            <w:vAlign w:val="bottom"/>
          </w:tcPr>
          <w:p>
            <w:pPr>
              <w:jc w:val="right"/>
              <w:spacing w:after="0"/>
              <w:rPr>
                <w:sz w:val="20"/>
                <w:szCs w:val="20"/>
                <w:color w:val="auto"/>
              </w:rPr>
            </w:pPr>
            <w:r>
              <w:rPr>
                <w:rFonts w:ascii="Arial" w:cs="Arial" w:eastAsia="Arial" w:hAnsi="Arial"/>
                <w:sz w:val="13"/>
                <w:szCs w:val="13"/>
                <w:b w:val="1"/>
                <w:bCs w:val="1"/>
                <w:color w:val="auto"/>
              </w:rPr>
              <w:t>121,707</w:t>
            </w:r>
          </w:p>
        </w:tc>
        <w:tc>
          <w:tcPr>
            <w:tcW w:w="220" w:type="dxa"/>
            <w:vAlign w:val="bottom"/>
          </w:tcPr>
          <w:p>
            <w:pPr>
              <w:spacing w:after="0"/>
              <w:rPr>
                <w:sz w:val="14"/>
                <w:szCs w:val="1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13,491</w:t>
            </w:r>
          </w:p>
        </w:tc>
        <w:tc>
          <w:tcPr>
            <w:tcW w:w="90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806.5%</w:t>
            </w:r>
          </w:p>
        </w:tc>
        <w:tc>
          <w:tcPr>
            <w:tcW w:w="92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0.5%</w:t>
            </w:r>
          </w:p>
        </w:tc>
        <w:tc>
          <w:tcPr>
            <w:tcW w:w="680" w:type="dxa"/>
            <w:vAlign w:val="bottom"/>
          </w:tcPr>
          <w:p>
            <w:pPr>
              <w:jc w:val="right"/>
              <w:spacing w:after="0"/>
              <w:rPr>
                <w:sz w:val="20"/>
                <w:szCs w:val="20"/>
                <w:color w:val="auto"/>
              </w:rPr>
            </w:pPr>
            <w:r>
              <w:rPr>
                <w:rFonts w:ascii="Arial" w:cs="Arial" w:eastAsia="Arial" w:hAnsi="Arial"/>
                <w:sz w:val="13"/>
                <w:szCs w:val="13"/>
                <w:b w:val="1"/>
                <w:bCs w:val="1"/>
                <w:color w:val="auto"/>
              </w:rPr>
              <w:t>469,783</w:t>
            </w:r>
          </w:p>
        </w:tc>
        <w:tc>
          <w:tcPr>
            <w:tcW w:w="220" w:type="dxa"/>
            <w:vAlign w:val="bottom"/>
          </w:tcPr>
          <w:p>
            <w:pPr>
              <w:spacing w:after="0"/>
              <w:rPr>
                <w:sz w:val="14"/>
                <w:szCs w:val="1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357,756</w:t>
            </w:r>
          </w:p>
        </w:tc>
        <w:tc>
          <w:tcPr>
            <w:tcW w:w="820" w:type="dxa"/>
            <w:vAlign w:val="bottom"/>
            <w:gridSpan w:val="2"/>
          </w:tcPr>
          <w:p>
            <w:pPr>
              <w:jc w:val="right"/>
              <w:spacing w:after="0"/>
              <w:rPr>
                <w:sz w:val="20"/>
                <w:szCs w:val="20"/>
                <w:color w:val="auto"/>
              </w:rPr>
            </w:pPr>
            <w:r>
              <w:rPr>
                <w:rFonts w:ascii="Arial" w:cs="Arial" w:eastAsia="Arial" w:hAnsi="Arial"/>
                <w:sz w:val="13"/>
                <w:szCs w:val="13"/>
                <w:b w:val="1"/>
                <w:bCs w:val="1"/>
                <w:color w:val="auto"/>
              </w:rPr>
              <w:t>31.3%</w:t>
            </w:r>
          </w:p>
        </w:tc>
        <w:tc>
          <w:tcPr>
            <w:tcW w:w="0" w:type="dxa"/>
            <w:vAlign w:val="bottom"/>
          </w:tcPr>
          <w:p>
            <w:pPr>
              <w:spacing w:after="0"/>
              <w:rPr>
                <w:sz w:val="1"/>
                <w:szCs w:val="1"/>
                <w:color w:val="auto"/>
              </w:rPr>
            </w:pPr>
          </w:p>
        </w:tc>
      </w:tr>
    </w:tbl>
    <w:p>
      <w:pPr>
        <w:spacing w:after="0" w:line="34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6" w:right="239" w:bottom="1440" w:gutter="0" w:footer="0" w:header="0"/>
        </w:sectPr>
      </w:pPr>
    </w:p>
    <w:bookmarkStart w:id="40" w:name="page41"/>
    <w:bookmarkEnd w:id="40"/>
    <w:p>
      <w:pPr>
        <w:ind w:left="40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6254750</wp:posOffset>
            </wp:positionH>
            <wp:positionV relativeFrom="page">
              <wp:posOffset>337820</wp:posOffset>
            </wp:positionV>
            <wp:extent cx="1149350" cy="3175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clrChange>
                        <a:clrFrom>
                          <a:srgbClr val="FFFFFF"/>
                        </a:clrFrom>
                        <a:clrTo>
                          <a:srgbClr val="FFFFFF">
                            <a:alpha val="0"/>
                          </a:srgbClr>
                        </a:clrTo>
                      </a:clrChange>
                      <a:extLst>
                        <a:ext uri="{28A0092B-C50C-407E-A947-70E740481C1C}"/>
                      </a:extLst>
                    </a:blip>
                    <a:srcRect/>
                    <a:stretch>
                      <a:fillRect/>
                    </a:stretch>
                  </pic:blipFill>
                  <pic:spPr bwMode="auto">
                    <a:xfrm>
                      <a:off x="0" y="0"/>
                      <a:ext cx="1149350" cy="317500"/>
                    </a:xfrm>
                    <a:prstGeom prst="rect">
                      <a:avLst/>
                    </a:prstGeom>
                    <a:noFill/>
                  </pic:spPr>
                </pic:pic>
              </a:graphicData>
            </a:graphic>
          </wp:anchor>
        </w:drawing>
        <w:t>CREDICORP LTD. AND SUBSIDIARIES</w:t>
      </w:r>
    </w:p>
    <w:p>
      <w:pPr>
        <w:spacing w:after="0" w:line="27"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SELECTED FINANCIAL INDICATORS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Quarter</w:t>
            </w: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60" w:type="dxa"/>
            <w:vAlign w:val="bottom"/>
            <w:gridSpan w:val="4"/>
          </w:tcPr>
          <w:p>
            <w:pPr>
              <w:jc w:val="right"/>
              <w:ind w:right="880"/>
              <w:spacing w:after="0"/>
              <w:rPr>
                <w:sz w:val="20"/>
                <w:szCs w:val="20"/>
                <w:color w:val="auto"/>
              </w:rPr>
            </w:pPr>
            <w:r>
              <w:rPr>
                <w:rFonts w:ascii="Arial" w:cs="Arial" w:eastAsia="Arial" w:hAnsi="Arial"/>
                <w:sz w:val="18"/>
                <w:szCs w:val="18"/>
                <w:b w:val="1"/>
                <w:bCs w:val="1"/>
                <w:color w:val="auto"/>
              </w:rPr>
              <w:t>Year to end</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00" w:type="dxa"/>
            <w:vAlign w:val="bottom"/>
          </w:tcPr>
          <w:p>
            <w:pPr>
              <w:spacing w:after="0"/>
              <w:rPr>
                <w:sz w:val="19"/>
                <w:szCs w:val="19"/>
                <w:color w:val="auto"/>
              </w:rPr>
            </w:pPr>
          </w:p>
        </w:tc>
        <w:tc>
          <w:tcPr>
            <w:tcW w:w="1280" w:type="dxa"/>
            <w:vAlign w:val="bottom"/>
            <w:tcBorders>
              <w:top w:val="single" w:sz="8" w:color="auto"/>
            </w:tcBorders>
            <w:gridSpan w:val="2"/>
          </w:tcPr>
          <w:p>
            <w:pPr>
              <w:jc w:val="right"/>
              <w:ind w:right="520"/>
              <w:spacing w:after="0"/>
              <w:rPr>
                <w:sz w:val="20"/>
                <w:szCs w:val="20"/>
                <w:color w:val="auto"/>
              </w:rPr>
            </w:pPr>
            <w:r>
              <w:rPr>
                <w:rFonts w:ascii="Arial" w:cs="Arial" w:eastAsia="Arial" w:hAnsi="Arial"/>
                <w:sz w:val="18"/>
                <w:szCs w:val="18"/>
                <w:b w:val="1"/>
                <w:bCs w:val="1"/>
                <w:color w:val="auto"/>
              </w:rPr>
              <w:t>4Q09</w:t>
            </w:r>
          </w:p>
        </w:tc>
        <w:tc>
          <w:tcPr>
            <w:tcW w:w="1280" w:type="dxa"/>
            <w:vAlign w:val="bottom"/>
            <w:tcBorders>
              <w:top w:val="single" w:sz="8" w:color="auto"/>
            </w:tcBorders>
            <w:gridSpan w:val="2"/>
          </w:tcPr>
          <w:p>
            <w:pPr>
              <w:jc w:val="right"/>
              <w:ind w:right="520"/>
              <w:spacing w:after="0"/>
              <w:rPr>
                <w:sz w:val="20"/>
                <w:szCs w:val="20"/>
                <w:color w:val="auto"/>
              </w:rPr>
            </w:pPr>
            <w:r>
              <w:rPr>
                <w:rFonts w:ascii="Arial" w:cs="Arial" w:eastAsia="Arial" w:hAnsi="Arial"/>
                <w:sz w:val="18"/>
                <w:szCs w:val="18"/>
                <w:b w:val="1"/>
                <w:bCs w:val="1"/>
                <w:color w:val="auto"/>
              </w:rPr>
              <w:t>3Q09</w:t>
            </w:r>
          </w:p>
        </w:tc>
        <w:tc>
          <w:tcPr>
            <w:tcW w:w="102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4Q08</w:t>
            </w:r>
          </w:p>
        </w:tc>
        <w:tc>
          <w:tcPr>
            <w:tcW w:w="260" w:type="dxa"/>
            <w:vAlign w:val="bottom"/>
          </w:tcPr>
          <w:p>
            <w:pPr>
              <w:spacing w:after="0"/>
              <w:rPr>
                <w:sz w:val="19"/>
                <w:szCs w:val="19"/>
                <w:color w:val="auto"/>
              </w:rPr>
            </w:pPr>
          </w:p>
        </w:tc>
        <w:tc>
          <w:tcPr>
            <w:tcW w:w="102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2009</w:t>
            </w:r>
          </w:p>
        </w:tc>
        <w:tc>
          <w:tcPr>
            <w:tcW w:w="26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2008</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0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Profitability</w:t>
            </w:r>
          </w:p>
        </w:tc>
        <w:tc>
          <w:tcPr>
            <w:tcW w:w="10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160"/>
              <w:spacing w:after="0"/>
              <w:rPr>
                <w:sz w:val="20"/>
                <w:szCs w:val="20"/>
                <w:color w:val="auto"/>
              </w:rPr>
            </w:pPr>
            <w:r>
              <w:rPr>
                <w:rFonts w:ascii="Arial" w:cs="Arial" w:eastAsia="Arial" w:hAnsi="Arial"/>
                <w:sz w:val="18"/>
                <w:szCs w:val="18"/>
                <w:color w:val="auto"/>
              </w:rPr>
              <w:t>Net income per common share (US$ per share)(1)</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1.53</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1.53</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0.17</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5.89</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4.49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Net interest margin on interest earning assets (2)</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5.06%</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4.72%</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4.89%</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4.79%</w:t>
            </w:r>
          </w:p>
        </w:tc>
        <w:tc>
          <w:tcPr>
            <w:tcW w:w="11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4.62%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160"/>
              <w:spacing w:after="0"/>
              <w:rPr>
                <w:sz w:val="20"/>
                <w:szCs w:val="20"/>
                <w:color w:val="auto"/>
              </w:rPr>
            </w:pPr>
            <w:r>
              <w:rPr>
                <w:rFonts w:ascii="Arial" w:cs="Arial" w:eastAsia="Arial" w:hAnsi="Arial"/>
                <w:sz w:val="18"/>
                <w:szCs w:val="18"/>
                <w:color w:val="auto"/>
              </w:rPr>
              <w:t>Return on average total assets (2)(3)</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2.28%</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2.34%</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0.26%</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2.22%</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Return on average shareholders' equity (2)(3)</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22.03%</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23.96%</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3.10%</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24.10%</w:t>
            </w:r>
          </w:p>
        </w:tc>
        <w:tc>
          <w:tcPr>
            <w:tcW w:w="11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160"/>
              <w:spacing w:after="0"/>
              <w:rPr>
                <w:sz w:val="20"/>
                <w:szCs w:val="20"/>
                <w:color w:val="auto"/>
              </w:rPr>
            </w:pPr>
            <w:r>
              <w:rPr>
                <w:rFonts w:ascii="Arial" w:cs="Arial" w:eastAsia="Arial" w:hAnsi="Arial"/>
                <w:sz w:val="18"/>
                <w:szCs w:val="18"/>
                <w:color w:val="auto"/>
              </w:rPr>
              <w:t>No. of outstanding shares (millions)(4)</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79.76</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79.76</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79.76</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79.76</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79.76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0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b w:val="1"/>
                <w:bCs w:val="1"/>
                <w:color w:val="auto"/>
              </w:rPr>
              <w:t>Quality of loan portfolio</w:t>
            </w: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Past due loans as a percentage of total loans</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1.59%</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1.55%</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0.79%</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1.59%</w:t>
            </w:r>
          </w:p>
        </w:tc>
        <w:tc>
          <w:tcPr>
            <w:tcW w:w="11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0.79%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160"/>
              <w:spacing w:after="0"/>
              <w:rPr>
                <w:sz w:val="20"/>
                <w:szCs w:val="20"/>
                <w:color w:val="auto"/>
              </w:rPr>
            </w:pPr>
            <w:r>
              <w:rPr>
                <w:rFonts w:ascii="Arial" w:cs="Arial" w:eastAsia="Arial" w:hAnsi="Arial"/>
                <w:sz w:val="18"/>
                <w:szCs w:val="18"/>
                <w:color w:val="auto"/>
                <w:w w:val="96"/>
              </w:rPr>
              <w:t>Reserves for loan losses as a percentage of total past due loans</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192.04%</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191.74%</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270.73%</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192.04%</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270.73%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Reserves for loan losses as a percentage of total loans</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3.06%</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2.98%</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2.13%</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3.06%</w:t>
            </w:r>
          </w:p>
        </w:tc>
        <w:tc>
          <w:tcPr>
            <w:tcW w:w="11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Operating efficiency</w:t>
            </w:r>
          </w:p>
        </w:tc>
        <w:tc>
          <w:tcPr>
            <w:tcW w:w="10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160"/>
              <w:spacing w:after="0"/>
              <w:rPr>
                <w:sz w:val="20"/>
                <w:szCs w:val="20"/>
                <w:color w:val="auto"/>
              </w:rPr>
            </w:pPr>
            <w:r>
              <w:rPr>
                <w:rFonts w:ascii="Arial" w:cs="Arial" w:eastAsia="Arial" w:hAnsi="Arial"/>
                <w:sz w:val="18"/>
                <w:szCs w:val="18"/>
                <w:color w:val="auto"/>
              </w:rPr>
              <w:t>Oper. expense as a percent. of total income (5)</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44.05%</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39.78%</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46.35%</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42.14%</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41.67%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Oper. expense as a percent. of av. tot. assets(2)(3)(5)</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4.13%</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3.54%</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3.95%</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3.68%</w:t>
            </w:r>
          </w:p>
        </w:tc>
        <w:tc>
          <w:tcPr>
            <w:tcW w:w="11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Average balances (millions of US$) (3)</w:t>
            </w:r>
          </w:p>
        </w:tc>
        <w:tc>
          <w:tcPr>
            <w:tcW w:w="10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160"/>
              <w:spacing w:after="0"/>
              <w:rPr>
                <w:sz w:val="20"/>
                <w:szCs w:val="20"/>
                <w:color w:val="auto"/>
              </w:rPr>
            </w:pPr>
            <w:r>
              <w:rPr>
                <w:rFonts w:ascii="Arial" w:cs="Arial" w:eastAsia="Arial" w:hAnsi="Arial"/>
                <w:sz w:val="18"/>
                <w:szCs w:val="18"/>
                <w:color w:val="auto"/>
              </w:rPr>
              <w:t>Interest earning assets</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18,814.34</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18,172.09</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17,519.39</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18,604.03</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17,817.49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Total Assets</w:t>
            </w:r>
          </w:p>
        </w:tc>
        <w:tc>
          <w:tcPr>
            <w:tcW w:w="128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21,459.41</w:t>
            </w:r>
          </w:p>
        </w:tc>
        <w:tc>
          <w:tcPr>
            <w:tcW w:w="128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20,835.65</w:t>
            </w:r>
          </w:p>
        </w:tc>
        <w:tc>
          <w:tcPr>
            <w:tcW w:w="128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20,916.29</w:t>
            </w:r>
          </w:p>
        </w:tc>
        <w:tc>
          <w:tcPr>
            <w:tcW w:w="128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21,147.53</w:t>
            </w:r>
          </w:p>
        </w:tc>
        <w:tc>
          <w:tcPr>
            <w:tcW w:w="11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20,770.53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100" w:type="dxa"/>
            <w:vAlign w:val="bottom"/>
          </w:tcPr>
          <w:p>
            <w:pPr>
              <w:ind w:left="160"/>
              <w:spacing w:after="0"/>
              <w:rPr>
                <w:sz w:val="20"/>
                <w:szCs w:val="20"/>
                <w:color w:val="auto"/>
              </w:rPr>
            </w:pPr>
            <w:r>
              <w:rPr>
                <w:rFonts w:ascii="Arial" w:cs="Arial" w:eastAsia="Arial" w:hAnsi="Arial"/>
                <w:sz w:val="18"/>
                <w:szCs w:val="18"/>
                <w:color w:val="auto"/>
              </w:rPr>
              <w:t>Net equity</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2,220.34</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2,031.43</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1,741.59</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2,125.89</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1,767.01</w:t>
            </w:r>
          </w:p>
        </w:tc>
        <w:tc>
          <w:tcPr>
            <w:tcW w:w="0" w:type="dxa"/>
            <w:vAlign w:val="bottom"/>
          </w:tcPr>
          <w:p>
            <w:pPr>
              <w:spacing w:after="0"/>
              <w:rPr>
                <w:sz w:val="1"/>
                <w:szCs w:val="1"/>
                <w:color w:val="auto"/>
              </w:rPr>
            </w:pPr>
          </w:p>
        </w:tc>
      </w:tr>
    </w:tbl>
    <w:p>
      <w:pPr>
        <w:ind w:left="260" w:hanging="252"/>
        <w:spacing w:after="0"/>
        <w:tabs>
          <w:tab w:leader="none" w:pos="260"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Based on Net Income attributed to BAP. Number of shares outstanding of 79.8 million in all periods.</w:t>
      </w:r>
    </w:p>
    <w:p>
      <w:pPr>
        <w:spacing w:after="0" w:line="7" w:lineRule="exact"/>
        <w:rPr>
          <w:rFonts w:ascii="Arial" w:cs="Arial" w:eastAsia="Arial" w:hAnsi="Arial"/>
          <w:sz w:val="18"/>
          <w:szCs w:val="18"/>
          <w:i w:val="1"/>
          <w:iCs w:val="1"/>
          <w:color w:val="auto"/>
        </w:rPr>
      </w:pPr>
    </w:p>
    <w:p>
      <w:pPr>
        <w:ind w:left="260" w:hanging="252"/>
        <w:spacing w:after="0"/>
        <w:tabs>
          <w:tab w:leader="none" w:pos="260"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Ratios are annualized.</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Averages are determined as the average of period-beginning and period-ending balances.</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Net of treasury shares. The total number of shares was of 94.38 million.</w:t>
      </w:r>
    </w:p>
    <w:p>
      <w:pPr>
        <w:spacing w:after="0" w:line="9" w:lineRule="exact"/>
        <w:rPr>
          <w:rFonts w:ascii="Arial" w:cs="Arial" w:eastAsia="Arial" w:hAnsi="Arial"/>
          <w:sz w:val="18"/>
          <w:szCs w:val="18"/>
          <w:i w:val="1"/>
          <w:iCs w:val="1"/>
          <w:color w:val="auto"/>
        </w:rPr>
      </w:pPr>
    </w:p>
    <w:p>
      <w:pPr>
        <w:ind w:right="220" w:firstLine="8"/>
        <w:spacing w:after="0" w:line="261" w:lineRule="auto"/>
        <w:tabs>
          <w:tab w:leader="none" w:pos="255"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Total income includes net interest income, fee income, net gain on foreign exchange transactions and net premiums earned. Operating expense does not include Other expenses.</w:t>
      </w:r>
    </w:p>
    <w:p>
      <w:pPr>
        <w:spacing w:after="0" w:line="35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6" w:right="23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6254750</wp:posOffset>
            </wp:positionH>
            <wp:positionV relativeFrom="page">
              <wp:posOffset>337820</wp:posOffset>
            </wp:positionV>
            <wp:extent cx="1149350" cy="3175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clrChange>
                        <a:clrFrom>
                          <a:srgbClr val="FFFFFF"/>
                        </a:clrFrom>
                        <a:clrTo>
                          <a:srgbClr val="FFFFFF">
                            <a:alpha val="0"/>
                          </a:srgbClr>
                        </a:clrTo>
                      </a:clrChange>
                      <a:extLst>
                        <a:ext uri="{28A0092B-C50C-407E-A947-70E740481C1C}"/>
                      </a:extLst>
                    </a:blip>
                    <a:srcRect/>
                    <a:stretch>
                      <a:fillRect/>
                    </a:stretch>
                  </pic:blipFill>
                  <pic:spPr bwMode="auto">
                    <a:xfrm>
                      <a:off x="0" y="0"/>
                      <a:ext cx="1149350" cy="317500"/>
                    </a:xfrm>
                    <a:prstGeom prst="rect">
                      <a:avLst/>
                    </a:prstGeom>
                    <a:noFill/>
                  </pic:spPr>
                </pic:pic>
              </a:graphicData>
            </a:graphic>
          </wp:anchor>
        </w:drawing>
        <w:t>BANCO DE CREDITO DEL PERU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US$ thousands, IFRS)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5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560"/>
              <w:spacing w:after="0"/>
              <w:rPr>
                <w:sz w:val="20"/>
                <w:szCs w:val="20"/>
                <w:color w:val="auto"/>
              </w:rPr>
            </w:pPr>
            <w:r>
              <w:rPr>
                <w:rFonts w:ascii="Arial" w:cs="Arial" w:eastAsia="Arial" w:hAnsi="Arial"/>
                <w:sz w:val="16"/>
                <w:szCs w:val="16"/>
                <w:b w:val="1"/>
                <w:bCs w:val="1"/>
                <w:color w:val="auto"/>
              </w:rPr>
              <w:t>As of</w:t>
            </w: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80" w:type="dxa"/>
            <w:vAlign w:val="bottom"/>
            <w:gridSpan w:val="5"/>
          </w:tcPr>
          <w:p>
            <w:pPr>
              <w:jc w:val="right"/>
              <w:ind w:right="960"/>
              <w:spacing w:after="0"/>
              <w:rPr>
                <w:sz w:val="20"/>
                <w:szCs w:val="20"/>
                <w:color w:val="auto"/>
              </w:rPr>
            </w:pPr>
            <w:r>
              <w:rPr>
                <w:rFonts w:ascii="Arial" w:cs="Arial" w:eastAsia="Arial" w:hAnsi="Arial"/>
                <w:sz w:val="16"/>
                <w:szCs w:val="16"/>
                <w:b w:val="1"/>
                <w:bCs w:val="1"/>
                <w:color w:val="auto"/>
              </w:rPr>
              <w:t>Change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1220" w:type="dxa"/>
            <w:vAlign w:val="bottom"/>
            <w:tcBorders>
              <w:top w:val="single" w:sz="8" w:color="auto"/>
            </w:tcBorders>
            <w:gridSpan w:val="2"/>
          </w:tcPr>
          <w:p>
            <w:pPr>
              <w:jc w:val="right"/>
              <w:ind w:right="480"/>
              <w:spacing w:after="0"/>
              <w:rPr>
                <w:sz w:val="20"/>
                <w:szCs w:val="20"/>
                <w:color w:val="auto"/>
              </w:rPr>
            </w:pPr>
            <w:r>
              <w:rPr>
                <w:rFonts w:ascii="Arial" w:cs="Arial" w:eastAsia="Arial" w:hAnsi="Arial"/>
                <w:sz w:val="16"/>
                <w:szCs w:val="16"/>
                <w:b w:val="1"/>
                <w:bCs w:val="1"/>
                <w:color w:val="auto"/>
              </w:rPr>
              <w:t>Dec 09</w:t>
            </w:r>
          </w:p>
        </w:tc>
        <w:tc>
          <w:tcPr>
            <w:tcW w:w="1240" w:type="dxa"/>
            <w:vAlign w:val="bottom"/>
            <w:tcBorders>
              <w:top w:val="single" w:sz="8" w:color="auto"/>
            </w:tcBorders>
            <w:gridSpan w:val="2"/>
          </w:tcPr>
          <w:p>
            <w:pPr>
              <w:jc w:val="right"/>
              <w:ind w:right="520"/>
              <w:spacing w:after="0"/>
              <w:rPr>
                <w:sz w:val="20"/>
                <w:szCs w:val="20"/>
                <w:color w:val="auto"/>
              </w:rPr>
            </w:pPr>
            <w:r>
              <w:rPr>
                <w:rFonts w:ascii="Arial" w:cs="Arial" w:eastAsia="Arial" w:hAnsi="Arial"/>
                <w:sz w:val="16"/>
                <w:szCs w:val="16"/>
                <w:b w:val="1"/>
                <w:bCs w:val="1"/>
                <w:color w:val="auto"/>
              </w:rPr>
              <w:t>Set 09</w:t>
            </w:r>
          </w:p>
        </w:tc>
        <w:tc>
          <w:tcPr>
            <w:tcW w:w="1000" w:type="dxa"/>
            <w:vAlign w:val="bottom"/>
            <w:tcBorders>
              <w:top w:val="single" w:sz="8" w:color="auto"/>
            </w:tcBorders>
          </w:tcPr>
          <w:p>
            <w:pPr>
              <w:ind w:left="260"/>
              <w:spacing w:after="0"/>
              <w:rPr>
                <w:sz w:val="20"/>
                <w:szCs w:val="20"/>
                <w:color w:val="auto"/>
              </w:rPr>
            </w:pPr>
            <w:r>
              <w:rPr>
                <w:rFonts w:ascii="Arial" w:cs="Arial" w:eastAsia="Arial" w:hAnsi="Arial"/>
                <w:sz w:val="16"/>
                <w:szCs w:val="16"/>
                <w:b w:val="1"/>
                <w:bCs w:val="1"/>
                <w:color w:val="auto"/>
              </w:rPr>
              <w:t>Dec 08</w:t>
            </w:r>
          </w:p>
        </w:tc>
        <w:tc>
          <w:tcPr>
            <w:tcW w:w="220" w:type="dxa"/>
            <w:vAlign w:val="bottom"/>
          </w:tcPr>
          <w:p>
            <w:pPr>
              <w:spacing w:after="0"/>
              <w:rPr>
                <w:sz w:val="18"/>
                <w:szCs w:val="18"/>
                <w:color w:val="auto"/>
              </w:rPr>
            </w:pPr>
          </w:p>
        </w:tc>
        <w:tc>
          <w:tcPr>
            <w:tcW w:w="1280" w:type="dxa"/>
            <w:vAlign w:val="bottom"/>
            <w:tcBorders>
              <w:top w:val="single" w:sz="8" w:color="auto"/>
            </w:tcBorders>
            <w:gridSpan w:val="2"/>
          </w:tcPr>
          <w:p>
            <w:pPr>
              <w:jc w:val="right"/>
              <w:ind w:right="280"/>
              <w:spacing w:after="0"/>
              <w:rPr>
                <w:sz w:val="20"/>
                <w:szCs w:val="20"/>
                <w:color w:val="auto"/>
              </w:rPr>
            </w:pPr>
            <w:r>
              <w:rPr>
                <w:rFonts w:ascii="Arial" w:cs="Arial" w:eastAsia="Arial" w:hAnsi="Arial"/>
                <w:sz w:val="16"/>
                <w:szCs w:val="16"/>
                <w:b w:val="1"/>
                <w:bCs w:val="1"/>
                <w:color w:val="auto"/>
                <w:w w:val="91"/>
              </w:rPr>
              <w:t>Dec 09/Dec 08</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93"/>
              </w:rPr>
              <w:t>Dec 09/Set 09</w:t>
            </w:r>
          </w:p>
        </w:tc>
        <w:tc>
          <w:tcPr>
            <w:tcW w:w="1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60" w:type="dxa"/>
            <w:vAlign w:val="bottom"/>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60" w:type="dxa"/>
            <w:vAlign w:val="bottom"/>
            <w:shd w:val="clear" w:color="auto" w:fill="CCFFCC"/>
          </w:tcPr>
          <w:p>
            <w:pPr>
              <w:jc w:val="center"/>
              <w:ind w:right="59"/>
              <w:spacing w:after="0"/>
              <w:rPr>
                <w:sz w:val="20"/>
                <w:szCs w:val="20"/>
                <w:color w:val="auto"/>
              </w:rPr>
            </w:pPr>
            <w:r>
              <w:rPr>
                <w:rFonts w:ascii="Arial" w:cs="Arial" w:eastAsia="Arial" w:hAnsi="Arial"/>
                <w:sz w:val="16"/>
                <w:szCs w:val="16"/>
                <w:b w:val="1"/>
                <w:bCs w:val="1"/>
                <w:color w:val="auto"/>
                <w:w w:val="93"/>
              </w:rPr>
              <w:t>ASSETS</w:t>
            </w:r>
          </w:p>
        </w:tc>
        <w:tc>
          <w:tcPr>
            <w:tcW w:w="100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02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00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02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102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60" w:type="dxa"/>
            <w:vAlign w:val="bottom"/>
          </w:tcPr>
          <w:p>
            <w:pPr>
              <w:spacing w:after="0"/>
              <w:rPr>
                <w:sz w:val="20"/>
                <w:szCs w:val="20"/>
                <w:color w:val="auto"/>
              </w:rPr>
            </w:pPr>
            <w:r>
              <w:rPr>
                <w:rFonts w:ascii="Arial" w:cs="Arial" w:eastAsia="Arial" w:hAnsi="Arial"/>
                <w:sz w:val="16"/>
                <w:szCs w:val="16"/>
                <w:b w:val="1"/>
                <w:bCs w:val="1"/>
                <w:color w:val="auto"/>
              </w:rPr>
              <w:t>Cash and due from banks</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3,724,635</w:t>
            </w: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3,368,733</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3,526,552</w:t>
            </w:r>
          </w:p>
        </w:tc>
        <w:tc>
          <w:tcPr>
            <w:tcW w:w="1280" w:type="dxa"/>
            <w:vAlign w:val="bottom"/>
            <w:gridSpan w:val="2"/>
          </w:tcPr>
          <w:p>
            <w:pPr>
              <w:jc w:val="right"/>
              <w:ind w:right="140"/>
              <w:spacing w:after="0"/>
              <w:rPr>
                <w:sz w:val="20"/>
                <w:szCs w:val="20"/>
                <w:color w:val="auto"/>
              </w:rPr>
            </w:pPr>
            <w:r>
              <w:rPr>
                <w:rFonts w:ascii="Arial" w:cs="Arial" w:eastAsia="Arial" w:hAnsi="Arial"/>
                <w:sz w:val="16"/>
                <w:szCs w:val="16"/>
                <w:color w:val="auto"/>
              </w:rPr>
              <w:t>5.6%</w:t>
            </w:r>
          </w:p>
        </w:tc>
        <w:tc>
          <w:tcPr>
            <w:tcW w:w="1180" w:type="dxa"/>
            <w:vAlign w:val="bottom"/>
            <w:gridSpan w:val="2"/>
          </w:tcPr>
          <w:p>
            <w:pPr>
              <w:jc w:val="right"/>
              <w:ind w:right="20"/>
              <w:spacing w:after="0"/>
              <w:rPr>
                <w:sz w:val="20"/>
                <w:szCs w:val="20"/>
                <w:color w:val="auto"/>
              </w:rPr>
            </w:pPr>
            <w:r>
              <w:rPr>
                <w:rFonts w:ascii="Arial" w:cs="Arial" w:eastAsia="Arial" w:hAnsi="Arial"/>
                <w:sz w:val="16"/>
                <w:szCs w:val="16"/>
                <w:color w:val="auto"/>
              </w:rPr>
              <w:t>10.6%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60" w:type="dxa"/>
            <w:vAlign w:val="bottom"/>
            <w:shd w:val="clear" w:color="auto" w:fill="CCFFCC"/>
          </w:tcPr>
          <w:p>
            <w:pPr>
              <w:ind w:left="160"/>
              <w:spacing w:after="0"/>
              <w:rPr>
                <w:sz w:val="20"/>
                <w:szCs w:val="20"/>
                <w:color w:val="auto"/>
              </w:rPr>
            </w:pPr>
            <w:r>
              <w:rPr>
                <w:rFonts w:ascii="Arial" w:cs="Arial" w:eastAsia="Arial" w:hAnsi="Arial"/>
                <w:sz w:val="16"/>
                <w:szCs w:val="16"/>
                <w:color w:val="auto"/>
              </w:rPr>
              <w:t>Cash and BCRP</w:t>
            </w:r>
          </w:p>
        </w:tc>
        <w:tc>
          <w:tcPr>
            <w:tcW w:w="1220" w:type="dxa"/>
            <w:vAlign w:val="bottom"/>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2,964,509</w:t>
            </w:r>
          </w:p>
        </w:tc>
        <w:tc>
          <w:tcPr>
            <w:tcW w:w="1240" w:type="dxa"/>
            <w:vAlign w:val="bottom"/>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2,757,898</w:t>
            </w:r>
          </w:p>
        </w:tc>
        <w:tc>
          <w:tcPr>
            <w:tcW w:w="1220" w:type="dxa"/>
            <w:vAlign w:val="bottom"/>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2,620,166</w:t>
            </w:r>
          </w:p>
        </w:tc>
        <w:tc>
          <w:tcPr>
            <w:tcW w:w="1280" w:type="dxa"/>
            <w:vAlign w:val="bottom"/>
            <w:gridSpan w:val="2"/>
            <w:shd w:val="clear" w:color="auto" w:fill="CCFFCC"/>
          </w:tcPr>
          <w:p>
            <w:pPr>
              <w:jc w:val="right"/>
              <w:ind w:right="140"/>
              <w:spacing w:after="0"/>
              <w:rPr>
                <w:sz w:val="20"/>
                <w:szCs w:val="20"/>
                <w:color w:val="auto"/>
              </w:rPr>
            </w:pPr>
            <w:r>
              <w:rPr>
                <w:rFonts w:ascii="Arial" w:cs="Arial" w:eastAsia="Arial" w:hAnsi="Arial"/>
                <w:sz w:val="16"/>
                <w:szCs w:val="16"/>
                <w:color w:val="auto"/>
              </w:rPr>
              <w:t>13.1%</w:t>
            </w:r>
          </w:p>
        </w:tc>
        <w:tc>
          <w:tcPr>
            <w:tcW w:w="1180" w:type="dxa"/>
            <w:vAlign w:val="bottom"/>
            <w:gridSpan w:val="2"/>
            <w:shd w:val="clear" w:color="auto" w:fill="CCFFCC"/>
          </w:tcPr>
          <w:p>
            <w:pPr>
              <w:jc w:val="right"/>
              <w:ind w:right="20"/>
              <w:spacing w:after="0"/>
              <w:rPr>
                <w:sz w:val="20"/>
                <w:szCs w:val="20"/>
                <w:color w:val="auto"/>
              </w:rPr>
            </w:pPr>
            <w:r>
              <w:rPr>
                <w:rFonts w:ascii="Arial" w:cs="Arial" w:eastAsia="Arial" w:hAnsi="Arial"/>
                <w:sz w:val="16"/>
                <w:szCs w:val="16"/>
                <w:color w:val="auto"/>
              </w:rPr>
              <w:t>7.5%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60" w:type="dxa"/>
            <w:vAlign w:val="bottom"/>
          </w:tcPr>
          <w:p>
            <w:pPr>
              <w:ind w:left="160"/>
              <w:spacing w:after="0"/>
              <w:rPr>
                <w:sz w:val="20"/>
                <w:szCs w:val="20"/>
                <w:color w:val="auto"/>
              </w:rPr>
            </w:pPr>
            <w:r>
              <w:rPr>
                <w:rFonts w:ascii="Arial" w:cs="Arial" w:eastAsia="Arial" w:hAnsi="Arial"/>
                <w:sz w:val="16"/>
                <w:szCs w:val="16"/>
                <w:color w:val="auto"/>
              </w:rPr>
              <w:t>Deposits in other Banks</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683,527</w:t>
            </w: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540,877</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875,302</w:t>
            </w:r>
          </w:p>
        </w:tc>
        <w:tc>
          <w:tcPr>
            <w:tcW w:w="1280" w:type="dxa"/>
            <w:vAlign w:val="bottom"/>
            <w:gridSpan w:val="2"/>
          </w:tcPr>
          <w:p>
            <w:pPr>
              <w:jc w:val="right"/>
              <w:ind w:right="140"/>
              <w:spacing w:after="0"/>
              <w:rPr>
                <w:sz w:val="20"/>
                <w:szCs w:val="20"/>
                <w:color w:val="auto"/>
              </w:rPr>
            </w:pPr>
            <w:r>
              <w:rPr>
                <w:rFonts w:ascii="Arial" w:cs="Arial" w:eastAsia="Arial" w:hAnsi="Arial"/>
                <w:sz w:val="16"/>
                <w:szCs w:val="16"/>
                <w:color w:val="auto"/>
              </w:rPr>
              <w:t>-21.9%</w:t>
            </w:r>
          </w:p>
        </w:tc>
        <w:tc>
          <w:tcPr>
            <w:tcW w:w="1180" w:type="dxa"/>
            <w:vAlign w:val="bottom"/>
            <w:gridSpan w:val="2"/>
          </w:tcPr>
          <w:p>
            <w:pPr>
              <w:jc w:val="right"/>
              <w:ind w:right="20"/>
              <w:spacing w:after="0"/>
              <w:rPr>
                <w:sz w:val="20"/>
                <w:szCs w:val="20"/>
                <w:color w:val="auto"/>
              </w:rPr>
            </w:pPr>
            <w:r>
              <w:rPr>
                <w:rFonts w:ascii="Arial" w:cs="Arial" w:eastAsia="Arial" w:hAnsi="Arial"/>
                <w:sz w:val="16"/>
                <w:szCs w:val="16"/>
                <w:color w:val="auto"/>
              </w:rPr>
              <w:t>26.4%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60" w:type="dxa"/>
            <w:vAlign w:val="bottom"/>
            <w:shd w:val="clear" w:color="auto" w:fill="CCFFCC"/>
          </w:tcPr>
          <w:p>
            <w:pPr>
              <w:ind w:left="160"/>
              <w:spacing w:after="0"/>
              <w:rPr>
                <w:sz w:val="20"/>
                <w:szCs w:val="20"/>
                <w:color w:val="auto"/>
              </w:rPr>
            </w:pPr>
            <w:r>
              <w:rPr>
                <w:rFonts w:ascii="Arial" w:cs="Arial" w:eastAsia="Arial" w:hAnsi="Arial"/>
                <w:sz w:val="16"/>
                <w:szCs w:val="16"/>
                <w:color w:val="auto"/>
              </w:rPr>
              <w:t>Interbanks</w:t>
            </w:r>
          </w:p>
        </w:tc>
        <w:tc>
          <w:tcPr>
            <w:tcW w:w="1220" w:type="dxa"/>
            <w:vAlign w:val="bottom"/>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75,000</w:t>
            </w:r>
          </w:p>
        </w:tc>
        <w:tc>
          <w:tcPr>
            <w:tcW w:w="1240" w:type="dxa"/>
            <w:vAlign w:val="bottom"/>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68,132</w:t>
            </w:r>
          </w:p>
        </w:tc>
        <w:tc>
          <w:tcPr>
            <w:tcW w:w="1220" w:type="dxa"/>
            <w:vAlign w:val="bottom"/>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28,662</w:t>
            </w:r>
          </w:p>
        </w:tc>
        <w:tc>
          <w:tcPr>
            <w:tcW w:w="1280" w:type="dxa"/>
            <w:vAlign w:val="bottom"/>
            <w:gridSpan w:val="2"/>
            <w:shd w:val="clear" w:color="auto" w:fill="CCFFCC"/>
          </w:tcPr>
          <w:p>
            <w:pPr>
              <w:jc w:val="right"/>
              <w:ind w:right="140"/>
              <w:spacing w:after="0"/>
              <w:rPr>
                <w:sz w:val="20"/>
                <w:szCs w:val="20"/>
                <w:color w:val="auto"/>
              </w:rPr>
            </w:pPr>
            <w:r>
              <w:rPr>
                <w:rFonts w:ascii="Arial" w:cs="Arial" w:eastAsia="Arial" w:hAnsi="Arial"/>
                <w:sz w:val="16"/>
                <w:szCs w:val="16"/>
                <w:color w:val="auto"/>
              </w:rPr>
              <w:t>161.7%</w:t>
            </w:r>
          </w:p>
        </w:tc>
        <w:tc>
          <w:tcPr>
            <w:tcW w:w="1180" w:type="dxa"/>
            <w:vAlign w:val="bottom"/>
            <w:gridSpan w:val="2"/>
            <w:shd w:val="clear" w:color="auto" w:fill="CCFFCC"/>
          </w:tcPr>
          <w:p>
            <w:pPr>
              <w:jc w:val="right"/>
              <w:ind w:right="20"/>
              <w:spacing w:after="0"/>
              <w:rPr>
                <w:sz w:val="20"/>
                <w:szCs w:val="20"/>
                <w:color w:val="auto"/>
              </w:rPr>
            </w:pPr>
            <w:r>
              <w:rPr>
                <w:rFonts w:ascii="Arial" w:cs="Arial" w:eastAsia="Arial" w:hAnsi="Arial"/>
                <w:sz w:val="16"/>
                <w:szCs w:val="16"/>
                <w:color w:val="auto"/>
              </w:rPr>
              <w:t>10.1%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60" w:type="dxa"/>
            <w:vAlign w:val="bottom"/>
          </w:tcPr>
          <w:p>
            <w:pPr>
              <w:ind w:left="160"/>
              <w:spacing w:after="0"/>
              <w:rPr>
                <w:sz w:val="20"/>
                <w:szCs w:val="20"/>
                <w:color w:val="auto"/>
              </w:rPr>
            </w:pPr>
            <w:r>
              <w:rPr>
                <w:rFonts w:ascii="Arial" w:cs="Arial" w:eastAsia="Arial" w:hAnsi="Arial"/>
                <w:sz w:val="16"/>
                <w:szCs w:val="16"/>
                <w:color w:val="auto"/>
              </w:rPr>
              <w:t>Accrued interest on cash and due from banks</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1,599</w:t>
            </w: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1,826</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2,422</w:t>
            </w:r>
          </w:p>
        </w:tc>
        <w:tc>
          <w:tcPr>
            <w:tcW w:w="1280" w:type="dxa"/>
            <w:vAlign w:val="bottom"/>
            <w:gridSpan w:val="2"/>
          </w:tcPr>
          <w:p>
            <w:pPr>
              <w:jc w:val="right"/>
              <w:ind w:right="140"/>
              <w:spacing w:after="0"/>
              <w:rPr>
                <w:sz w:val="20"/>
                <w:szCs w:val="20"/>
                <w:color w:val="auto"/>
              </w:rPr>
            </w:pPr>
            <w:r>
              <w:rPr>
                <w:rFonts w:ascii="Arial" w:cs="Arial" w:eastAsia="Arial" w:hAnsi="Arial"/>
                <w:sz w:val="16"/>
                <w:szCs w:val="16"/>
                <w:color w:val="auto"/>
              </w:rPr>
              <w:t>-34.0%</w:t>
            </w:r>
          </w:p>
        </w:tc>
        <w:tc>
          <w:tcPr>
            <w:tcW w:w="1180" w:type="dxa"/>
            <w:vAlign w:val="bottom"/>
            <w:gridSpan w:val="2"/>
          </w:tcPr>
          <w:p>
            <w:pPr>
              <w:jc w:val="right"/>
              <w:ind w:right="20"/>
              <w:spacing w:after="0"/>
              <w:rPr>
                <w:sz w:val="20"/>
                <w:szCs w:val="20"/>
                <w:color w:val="auto"/>
              </w:rPr>
            </w:pPr>
            <w:r>
              <w:rPr>
                <w:rFonts w:ascii="Arial" w:cs="Arial" w:eastAsia="Arial" w:hAnsi="Arial"/>
                <w:sz w:val="16"/>
                <w:szCs w:val="16"/>
                <w:color w:val="auto"/>
              </w:rPr>
              <w:t>-12.4%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5260" w:type="dxa"/>
            <w:vAlign w:val="bottom"/>
            <w:shd w:val="clear" w:color="auto" w:fill="CCFFCC"/>
          </w:tcPr>
          <w:p>
            <w:pPr>
              <w:spacing w:after="0"/>
              <w:rPr>
                <w:sz w:val="17"/>
                <w:szCs w:val="17"/>
                <w:color w:val="auto"/>
              </w:rPr>
            </w:pPr>
          </w:p>
        </w:tc>
        <w:tc>
          <w:tcPr>
            <w:tcW w:w="100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02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00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02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102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260" w:type="dxa"/>
            <w:vAlign w:val="bottom"/>
          </w:tcPr>
          <w:p>
            <w:pPr>
              <w:spacing w:after="0"/>
              <w:rPr>
                <w:sz w:val="20"/>
                <w:szCs w:val="20"/>
                <w:color w:val="auto"/>
              </w:rPr>
            </w:pPr>
            <w:r>
              <w:rPr>
                <w:rFonts w:ascii="Arial" w:cs="Arial" w:eastAsia="Arial" w:hAnsi="Arial"/>
                <w:sz w:val="16"/>
                <w:szCs w:val="16"/>
                <w:b w:val="1"/>
                <w:bCs w:val="1"/>
                <w:color w:val="auto"/>
              </w:rPr>
              <w:t>Marketable securities, net</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70,318</w:t>
            </w:r>
          </w:p>
        </w:tc>
        <w:tc>
          <w:tcPr>
            <w:tcW w:w="124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89,718</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36,084</w:t>
            </w:r>
          </w:p>
        </w:tc>
        <w:tc>
          <w:tcPr>
            <w:tcW w:w="128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94.9%</w:t>
            </w:r>
          </w:p>
        </w:tc>
        <w:tc>
          <w:tcPr>
            <w:tcW w:w="1180" w:type="dxa"/>
            <w:vAlign w:val="bottom"/>
            <w:gridSpan w:val="2"/>
          </w:tcPr>
          <w:p>
            <w:pPr>
              <w:jc w:val="right"/>
              <w:spacing w:after="0"/>
              <w:rPr>
                <w:sz w:val="20"/>
                <w:szCs w:val="20"/>
                <w:color w:val="auto"/>
              </w:rPr>
            </w:pPr>
            <w:r>
              <w:rPr>
                <w:rFonts w:ascii="Arial" w:cs="Arial" w:eastAsia="Arial" w:hAnsi="Arial"/>
                <w:sz w:val="16"/>
                <w:szCs w:val="16"/>
                <w:b w:val="1"/>
                <w:bCs w:val="1"/>
                <w:color w:val="auto"/>
              </w:rPr>
              <w:t>-21.6%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5260" w:type="dxa"/>
            <w:vAlign w:val="bottom"/>
            <w:shd w:val="clear" w:color="auto" w:fill="CCFFCC"/>
          </w:tcPr>
          <w:p>
            <w:pPr>
              <w:spacing w:after="0"/>
              <w:rPr>
                <w:sz w:val="17"/>
                <w:szCs w:val="17"/>
                <w:color w:val="auto"/>
              </w:rPr>
            </w:pPr>
          </w:p>
        </w:tc>
        <w:tc>
          <w:tcPr>
            <w:tcW w:w="100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02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00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02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102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260" w:type="dxa"/>
            <w:vAlign w:val="bottom"/>
          </w:tcPr>
          <w:p>
            <w:pPr>
              <w:spacing w:after="0"/>
              <w:rPr>
                <w:sz w:val="20"/>
                <w:szCs w:val="20"/>
                <w:color w:val="auto"/>
              </w:rPr>
            </w:pPr>
            <w:r>
              <w:rPr>
                <w:rFonts w:ascii="Arial" w:cs="Arial" w:eastAsia="Arial" w:hAnsi="Arial"/>
                <w:sz w:val="16"/>
                <w:szCs w:val="16"/>
                <w:b w:val="1"/>
                <w:bCs w:val="1"/>
                <w:color w:val="auto"/>
              </w:rPr>
              <w:t>Loans</w:t>
            </w: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60" w:type="dxa"/>
            <w:vAlign w:val="bottom"/>
            <w:shd w:val="clear" w:color="auto" w:fill="CCFFCC"/>
          </w:tcPr>
          <w:p>
            <w:pPr>
              <w:ind w:left="160"/>
              <w:spacing w:after="0"/>
              <w:rPr>
                <w:sz w:val="20"/>
                <w:szCs w:val="20"/>
                <w:color w:val="auto"/>
              </w:rPr>
            </w:pPr>
            <w:r>
              <w:rPr>
                <w:rFonts w:ascii="Arial" w:cs="Arial" w:eastAsia="Arial" w:hAnsi="Arial"/>
                <w:sz w:val="16"/>
                <w:szCs w:val="16"/>
                <w:color w:val="auto"/>
              </w:rPr>
              <w:t>Current</w:t>
            </w:r>
          </w:p>
        </w:tc>
        <w:tc>
          <w:tcPr>
            <w:tcW w:w="1220" w:type="dxa"/>
            <w:vAlign w:val="bottom"/>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11,393,557</w:t>
            </w:r>
          </w:p>
        </w:tc>
        <w:tc>
          <w:tcPr>
            <w:tcW w:w="1240" w:type="dxa"/>
            <w:vAlign w:val="bottom"/>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10,406,954</w:t>
            </w:r>
          </w:p>
        </w:tc>
        <w:tc>
          <w:tcPr>
            <w:tcW w:w="1220" w:type="dxa"/>
            <w:vAlign w:val="bottom"/>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10,362,659</w:t>
            </w:r>
          </w:p>
        </w:tc>
        <w:tc>
          <w:tcPr>
            <w:tcW w:w="1280" w:type="dxa"/>
            <w:vAlign w:val="bottom"/>
            <w:gridSpan w:val="2"/>
            <w:shd w:val="clear" w:color="auto" w:fill="CCFFCC"/>
          </w:tcPr>
          <w:p>
            <w:pPr>
              <w:jc w:val="right"/>
              <w:ind w:right="140"/>
              <w:spacing w:after="0"/>
              <w:rPr>
                <w:sz w:val="20"/>
                <w:szCs w:val="20"/>
                <w:color w:val="auto"/>
              </w:rPr>
            </w:pPr>
            <w:r>
              <w:rPr>
                <w:rFonts w:ascii="Arial" w:cs="Arial" w:eastAsia="Arial" w:hAnsi="Arial"/>
                <w:sz w:val="16"/>
                <w:szCs w:val="16"/>
                <w:color w:val="auto"/>
              </w:rPr>
              <w:t>9.9%</w:t>
            </w:r>
          </w:p>
        </w:tc>
        <w:tc>
          <w:tcPr>
            <w:tcW w:w="1180" w:type="dxa"/>
            <w:vAlign w:val="bottom"/>
            <w:gridSpan w:val="2"/>
            <w:shd w:val="clear" w:color="auto" w:fill="CCFFCC"/>
          </w:tcPr>
          <w:p>
            <w:pPr>
              <w:jc w:val="right"/>
              <w:ind w:right="20"/>
              <w:spacing w:after="0"/>
              <w:rPr>
                <w:sz w:val="20"/>
                <w:szCs w:val="20"/>
                <w:color w:val="auto"/>
              </w:rPr>
            </w:pPr>
            <w:r>
              <w:rPr>
                <w:rFonts w:ascii="Arial" w:cs="Arial" w:eastAsia="Arial" w:hAnsi="Arial"/>
                <w:sz w:val="16"/>
                <w:szCs w:val="16"/>
                <w:color w:val="auto"/>
              </w:rPr>
              <w:t>9.5%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60" w:type="dxa"/>
            <w:vAlign w:val="bottom"/>
          </w:tcPr>
          <w:p>
            <w:pPr>
              <w:ind w:left="160"/>
              <w:spacing w:after="0"/>
              <w:rPr>
                <w:sz w:val="20"/>
                <w:szCs w:val="20"/>
                <w:color w:val="auto"/>
              </w:rPr>
            </w:pPr>
            <w:r>
              <w:rPr>
                <w:rFonts w:ascii="Arial" w:cs="Arial" w:eastAsia="Arial" w:hAnsi="Arial"/>
                <w:sz w:val="16"/>
                <w:szCs w:val="16"/>
                <w:color w:val="auto"/>
              </w:rPr>
              <w:t>Past Due</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183,746</w:t>
            </w: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165,109</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82,064</w:t>
            </w:r>
          </w:p>
        </w:tc>
        <w:tc>
          <w:tcPr>
            <w:tcW w:w="1280" w:type="dxa"/>
            <w:vAlign w:val="bottom"/>
            <w:gridSpan w:val="2"/>
          </w:tcPr>
          <w:p>
            <w:pPr>
              <w:jc w:val="right"/>
              <w:ind w:right="140"/>
              <w:spacing w:after="0"/>
              <w:rPr>
                <w:sz w:val="20"/>
                <w:szCs w:val="20"/>
                <w:color w:val="auto"/>
              </w:rPr>
            </w:pPr>
            <w:r>
              <w:rPr>
                <w:rFonts w:ascii="Arial" w:cs="Arial" w:eastAsia="Arial" w:hAnsi="Arial"/>
                <w:sz w:val="16"/>
                <w:szCs w:val="16"/>
                <w:color w:val="auto"/>
              </w:rPr>
              <w:t>123.9%</w:t>
            </w:r>
          </w:p>
        </w:tc>
        <w:tc>
          <w:tcPr>
            <w:tcW w:w="1180" w:type="dxa"/>
            <w:vAlign w:val="bottom"/>
            <w:gridSpan w:val="2"/>
          </w:tcPr>
          <w:p>
            <w:pPr>
              <w:jc w:val="right"/>
              <w:ind w:right="20"/>
              <w:spacing w:after="0"/>
              <w:rPr>
                <w:sz w:val="20"/>
                <w:szCs w:val="20"/>
                <w:color w:val="auto"/>
              </w:rPr>
            </w:pPr>
            <w:r>
              <w:rPr>
                <w:rFonts w:ascii="Arial" w:cs="Arial" w:eastAsia="Arial" w:hAnsi="Arial"/>
                <w:sz w:val="16"/>
                <w:szCs w:val="16"/>
                <w:color w:val="auto"/>
              </w:rPr>
              <w:t>11.3%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60" w:type="dxa"/>
            <w:vAlign w:val="bottom"/>
            <w:shd w:val="clear" w:color="auto" w:fill="CCFFCC"/>
          </w:tcPr>
          <w:p>
            <w:pPr>
              <w:ind w:left="160"/>
              <w:spacing w:after="0"/>
              <w:rPr>
                <w:sz w:val="20"/>
                <w:szCs w:val="20"/>
                <w:color w:val="auto"/>
              </w:rPr>
            </w:pPr>
            <w:r>
              <w:rPr>
                <w:rFonts w:ascii="Arial" w:cs="Arial" w:eastAsia="Arial" w:hAnsi="Arial"/>
                <w:sz w:val="16"/>
                <w:szCs w:val="16"/>
                <w:color w:val="auto"/>
              </w:rPr>
              <w:t>Less - Reserve for possible loan losses</w:t>
            </w:r>
          </w:p>
        </w:tc>
        <w:tc>
          <w:tcPr>
            <w:tcW w:w="1220" w:type="dxa"/>
            <w:vAlign w:val="bottom"/>
            <w:gridSpan w:val="2"/>
            <w:shd w:val="clear" w:color="auto" w:fill="CCFFCC"/>
          </w:tcPr>
          <w:p>
            <w:pPr>
              <w:jc w:val="right"/>
              <w:ind w:right="160"/>
              <w:spacing w:after="0"/>
              <w:rPr>
                <w:sz w:val="20"/>
                <w:szCs w:val="20"/>
                <w:color w:val="auto"/>
              </w:rPr>
            </w:pPr>
            <w:r>
              <w:rPr>
                <w:rFonts w:ascii="Arial" w:cs="Arial" w:eastAsia="Arial" w:hAnsi="Arial"/>
                <w:sz w:val="16"/>
                <w:szCs w:val="16"/>
                <w:color w:val="auto"/>
              </w:rPr>
              <w:t>(353,348)</w:t>
            </w:r>
          </w:p>
        </w:tc>
        <w:tc>
          <w:tcPr>
            <w:tcW w:w="1240" w:type="dxa"/>
            <w:vAlign w:val="bottom"/>
            <w:gridSpan w:val="2"/>
            <w:shd w:val="clear" w:color="auto" w:fill="CCFFCC"/>
          </w:tcPr>
          <w:p>
            <w:pPr>
              <w:jc w:val="right"/>
              <w:ind w:right="160"/>
              <w:spacing w:after="0"/>
              <w:rPr>
                <w:sz w:val="20"/>
                <w:szCs w:val="20"/>
                <w:color w:val="auto"/>
              </w:rPr>
            </w:pPr>
            <w:r>
              <w:rPr>
                <w:rFonts w:ascii="Arial" w:cs="Arial" w:eastAsia="Arial" w:hAnsi="Arial"/>
                <w:sz w:val="16"/>
                <w:szCs w:val="16"/>
                <w:color w:val="auto"/>
              </w:rPr>
              <w:t>(316,718)</w:t>
            </w:r>
          </w:p>
        </w:tc>
        <w:tc>
          <w:tcPr>
            <w:tcW w:w="1220" w:type="dxa"/>
            <w:vAlign w:val="bottom"/>
            <w:gridSpan w:val="2"/>
            <w:shd w:val="clear" w:color="auto" w:fill="CCFFCC"/>
          </w:tcPr>
          <w:p>
            <w:pPr>
              <w:jc w:val="right"/>
              <w:ind w:right="160"/>
              <w:spacing w:after="0"/>
              <w:rPr>
                <w:sz w:val="20"/>
                <w:szCs w:val="20"/>
                <w:color w:val="auto"/>
              </w:rPr>
            </w:pPr>
            <w:r>
              <w:rPr>
                <w:rFonts w:ascii="Arial" w:cs="Arial" w:eastAsia="Arial" w:hAnsi="Arial"/>
                <w:sz w:val="16"/>
                <w:szCs w:val="16"/>
                <w:color w:val="auto"/>
              </w:rPr>
              <w:t>(223,161)</w:t>
            </w:r>
          </w:p>
        </w:tc>
        <w:tc>
          <w:tcPr>
            <w:tcW w:w="1280" w:type="dxa"/>
            <w:vAlign w:val="bottom"/>
            <w:gridSpan w:val="2"/>
            <w:shd w:val="clear" w:color="auto" w:fill="CCFFCC"/>
          </w:tcPr>
          <w:p>
            <w:pPr>
              <w:jc w:val="right"/>
              <w:ind w:right="140"/>
              <w:spacing w:after="0"/>
              <w:rPr>
                <w:sz w:val="20"/>
                <w:szCs w:val="20"/>
                <w:color w:val="auto"/>
              </w:rPr>
            </w:pPr>
            <w:r>
              <w:rPr>
                <w:rFonts w:ascii="Arial" w:cs="Arial" w:eastAsia="Arial" w:hAnsi="Arial"/>
                <w:sz w:val="16"/>
                <w:szCs w:val="16"/>
                <w:color w:val="auto"/>
              </w:rPr>
              <w:t>58.3%</w:t>
            </w:r>
          </w:p>
        </w:tc>
        <w:tc>
          <w:tcPr>
            <w:tcW w:w="1180" w:type="dxa"/>
            <w:vAlign w:val="bottom"/>
            <w:gridSpan w:val="2"/>
            <w:shd w:val="clear" w:color="auto" w:fill="CCFFCC"/>
          </w:tcPr>
          <w:p>
            <w:pPr>
              <w:jc w:val="right"/>
              <w:ind w:right="20"/>
              <w:spacing w:after="0"/>
              <w:rPr>
                <w:sz w:val="20"/>
                <w:szCs w:val="20"/>
                <w:color w:val="auto"/>
              </w:rPr>
            </w:pPr>
            <w:r>
              <w:rPr>
                <w:rFonts w:ascii="Arial" w:cs="Arial" w:eastAsia="Arial" w:hAnsi="Arial"/>
                <w:sz w:val="16"/>
                <w:szCs w:val="16"/>
                <w:color w:val="auto"/>
              </w:rPr>
              <w:t>11.6%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60" w:type="dxa"/>
            <w:vAlign w:val="bottom"/>
          </w:tcPr>
          <w:p>
            <w:pPr>
              <w:spacing w:after="0"/>
              <w:rPr>
                <w:sz w:val="20"/>
                <w:szCs w:val="20"/>
                <w:color w:val="auto"/>
              </w:rPr>
            </w:pPr>
            <w:r>
              <w:rPr>
                <w:rFonts w:ascii="Arial" w:cs="Arial" w:eastAsia="Arial" w:hAnsi="Arial"/>
                <w:sz w:val="16"/>
                <w:szCs w:val="16"/>
                <w:b w:val="1"/>
                <w:bCs w:val="1"/>
                <w:color w:val="auto"/>
              </w:rPr>
              <w:t>Loans, net</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11,223,955</w:t>
            </w:r>
          </w:p>
        </w:tc>
        <w:tc>
          <w:tcPr>
            <w:tcW w:w="124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10,255,345</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10,221,562</w:t>
            </w:r>
          </w:p>
        </w:tc>
        <w:tc>
          <w:tcPr>
            <w:tcW w:w="128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9.8%</w:t>
            </w:r>
          </w:p>
        </w:tc>
        <w:tc>
          <w:tcPr>
            <w:tcW w:w="1180" w:type="dxa"/>
            <w:vAlign w:val="bottom"/>
            <w:gridSpan w:val="2"/>
          </w:tcPr>
          <w:p>
            <w:pPr>
              <w:jc w:val="right"/>
              <w:spacing w:after="0"/>
              <w:rPr>
                <w:sz w:val="20"/>
                <w:szCs w:val="20"/>
                <w:color w:val="auto"/>
              </w:rPr>
            </w:pPr>
            <w:r>
              <w:rPr>
                <w:rFonts w:ascii="Arial" w:cs="Arial" w:eastAsia="Arial" w:hAnsi="Arial"/>
                <w:sz w:val="16"/>
                <w:szCs w:val="16"/>
                <w:b w:val="1"/>
                <w:bCs w:val="1"/>
                <w:color w:val="auto"/>
              </w:rPr>
              <w:t>9.4%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5260" w:type="dxa"/>
            <w:vAlign w:val="bottom"/>
            <w:shd w:val="clear" w:color="auto" w:fill="CCFFCC"/>
          </w:tcPr>
          <w:p>
            <w:pPr>
              <w:spacing w:after="0"/>
              <w:rPr>
                <w:sz w:val="17"/>
                <w:szCs w:val="17"/>
                <w:color w:val="auto"/>
              </w:rPr>
            </w:pPr>
          </w:p>
        </w:tc>
        <w:tc>
          <w:tcPr>
            <w:tcW w:w="100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02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00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02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102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260" w:type="dxa"/>
            <w:vAlign w:val="bottom"/>
          </w:tcPr>
          <w:p>
            <w:pPr>
              <w:spacing w:after="0"/>
              <w:rPr>
                <w:sz w:val="20"/>
                <w:szCs w:val="20"/>
                <w:color w:val="auto"/>
              </w:rPr>
            </w:pPr>
            <w:r>
              <w:rPr>
                <w:rFonts w:ascii="Arial" w:cs="Arial" w:eastAsia="Arial" w:hAnsi="Arial"/>
                <w:sz w:val="16"/>
                <w:szCs w:val="16"/>
                <w:b w:val="1"/>
                <w:bCs w:val="1"/>
                <w:color w:val="auto"/>
              </w:rPr>
              <w:t>Investment securities available for sale</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3,026,542</w:t>
            </w:r>
          </w:p>
        </w:tc>
        <w:tc>
          <w:tcPr>
            <w:tcW w:w="124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2,793,015</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3,406,248</w:t>
            </w:r>
          </w:p>
        </w:tc>
        <w:tc>
          <w:tcPr>
            <w:tcW w:w="128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-11.1%</w:t>
            </w:r>
          </w:p>
        </w:tc>
        <w:tc>
          <w:tcPr>
            <w:tcW w:w="1180" w:type="dxa"/>
            <w:vAlign w:val="bottom"/>
            <w:gridSpan w:val="2"/>
          </w:tcPr>
          <w:p>
            <w:pPr>
              <w:jc w:val="right"/>
              <w:spacing w:after="0"/>
              <w:rPr>
                <w:sz w:val="20"/>
                <w:szCs w:val="20"/>
                <w:color w:val="auto"/>
              </w:rPr>
            </w:pPr>
            <w:r>
              <w:rPr>
                <w:rFonts w:ascii="Arial" w:cs="Arial" w:eastAsia="Arial" w:hAnsi="Arial"/>
                <w:sz w:val="16"/>
                <w:szCs w:val="16"/>
                <w:b w:val="1"/>
                <w:bCs w:val="1"/>
                <w:color w:val="auto"/>
              </w:rPr>
              <w:t>8.4%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60" w:type="dxa"/>
            <w:vAlign w:val="bottom"/>
            <w:shd w:val="clear" w:color="auto" w:fill="CCFFCC"/>
          </w:tcPr>
          <w:p>
            <w:pPr>
              <w:spacing w:after="0"/>
              <w:rPr>
                <w:sz w:val="20"/>
                <w:szCs w:val="20"/>
                <w:color w:val="auto"/>
              </w:rPr>
            </w:pPr>
            <w:r>
              <w:rPr>
                <w:rFonts w:ascii="Arial" w:cs="Arial" w:eastAsia="Arial" w:hAnsi="Arial"/>
                <w:sz w:val="16"/>
                <w:szCs w:val="16"/>
                <w:b w:val="1"/>
                <w:bCs w:val="1"/>
                <w:color w:val="auto"/>
              </w:rPr>
              <w:t>Property, plant and equipment, net</w:t>
            </w:r>
          </w:p>
        </w:tc>
        <w:tc>
          <w:tcPr>
            <w:tcW w:w="1220" w:type="dxa"/>
            <w:vAlign w:val="bottom"/>
            <w:gridSpan w:val="2"/>
            <w:shd w:val="clear" w:color="auto" w:fill="CCFFCC"/>
          </w:tcPr>
          <w:p>
            <w:pPr>
              <w:jc w:val="right"/>
              <w:ind w:right="220"/>
              <w:spacing w:after="0"/>
              <w:rPr>
                <w:sz w:val="20"/>
                <w:szCs w:val="20"/>
                <w:color w:val="auto"/>
              </w:rPr>
            </w:pPr>
            <w:r>
              <w:rPr>
                <w:rFonts w:ascii="Arial" w:cs="Arial" w:eastAsia="Arial" w:hAnsi="Arial"/>
                <w:sz w:val="16"/>
                <w:szCs w:val="16"/>
                <w:b w:val="1"/>
                <w:bCs w:val="1"/>
                <w:color w:val="auto"/>
              </w:rPr>
              <w:t>278,202</w:t>
            </w:r>
          </w:p>
        </w:tc>
        <w:tc>
          <w:tcPr>
            <w:tcW w:w="1240" w:type="dxa"/>
            <w:vAlign w:val="bottom"/>
            <w:gridSpan w:val="2"/>
            <w:shd w:val="clear" w:color="auto" w:fill="CCFFCC"/>
          </w:tcPr>
          <w:p>
            <w:pPr>
              <w:jc w:val="right"/>
              <w:ind w:right="220"/>
              <w:spacing w:after="0"/>
              <w:rPr>
                <w:sz w:val="20"/>
                <w:szCs w:val="20"/>
                <w:color w:val="auto"/>
              </w:rPr>
            </w:pPr>
            <w:r>
              <w:rPr>
                <w:rFonts w:ascii="Arial" w:cs="Arial" w:eastAsia="Arial" w:hAnsi="Arial"/>
                <w:sz w:val="16"/>
                <w:szCs w:val="16"/>
                <w:b w:val="1"/>
                <w:bCs w:val="1"/>
                <w:color w:val="auto"/>
              </w:rPr>
              <w:t>257,201</w:t>
            </w:r>
          </w:p>
        </w:tc>
        <w:tc>
          <w:tcPr>
            <w:tcW w:w="1220" w:type="dxa"/>
            <w:vAlign w:val="bottom"/>
            <w:gridSpan w:val="2"/>
            <w:shd w:val="clear" w:color="auto" w:fill="CCFFCC"/>
          </w:tcPr>
          <w:p>
            <w:pPr>
              <w:jc w:val="right"/>
              <w:ind w:right="220"/>
              <w:spacing w:after="0"/>
              <w:rPr>
                <w:sz w:val="20"/>
                <w:szCs w:val="20"/>
                <w:color w:val="auto"/>
              </w:rPr>
            </w:pPr>
            <w:r>
              <w:rPr>
                <w:rFonts w:ascii="Arial" w:cs="Arial" w:eastAsia="Arial" w:hAnsi="Arial"/>
                <w:sz w:val="16"/>
                <w:szCs w:val="16"/>
                <w:b w:val="1"/>
                <w:bCs w:val="1"/>
                <w:color w:val="auto"/>
              </w:rPr>
              <w:t>261,967</w:t>
            </w:r>
          </w:p>
        </w:tc>
        <w:tc>
          <w:tcPr>
            <w:tcW w:w="1280" w:type="dxa"/>
            <w:vAlign w:val="bottom"/>
            <w:gridSpan w:val="2"/>
            <w:shd w:val="clear" w:color="auto" w:fill="CCFFCC"/>
          </w:tcPr>
          <w:p>
            <w:pPr>
              <w:jc w:val="right"/>
              <w:ind w:right="100"/>
              <w:spacing w:after="0"/>
              <w:rPr>
                <w:sz w:val="20"/>
                <w:szCs w:val="20"/>
                <w:color w:val="auto"/>
              </w:rPr>
            </w:pPr>
            <w:r>
              <w:rPr>
                <w:rFonts w:ascii="Arial" w:cs="Arial" w:eastAsia="Arial" w:hAnsi="Arial"/>
                <w:sz w:val="16"/>
                <w:szCs w:val="16"/>
                <w:b w:val="1"/>
                <w:bCs w:val="1"/>
                <w:color w:val="auto"/>
              </w:rPr>
              <w:t>6.2%</w:t>
            </w:r>
          </w:p>
        </w:tc>
        <w:tc>
          <w:tcPr>
            <w:tcW w:w="1180" w:type="dxa"/>
            <w:vAlign w:val="bottom"/>
            <w:gridSpan w:val="2"/>
            <w:shd w:val="clear" w:color="auto" w:fill="CCFFCC"/>
          </w:tcPr>
          <w:p>
            <w:pPr>
              <w:jc w:val="right"/>
              <w:spacing w:after="0"/>
              <w:rPr>
                <w:sz w:val="20"/>
                <w:szCs w:val="20"/>
                <w:color w:val="auto"/>
              </w:rPr>
            </w:pPr>
            <w:r>
              <w:rPr>
                <w:rFonts w:ascii="Arial" w:cs="Arial" w:eastAsia="Arial" w:hAnsi="Arial"/>
                <w:sz w:val="16"/>
                <w:szCs w:val="16"/>
                <w:b w:val="1"/>
                <w:bCs w:val="1"/>
                <w:color w:val="auto"/>
              </w:rPr>
              <w:t>8.2%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60" w:type="dxa"/>
            <w:vAlign w:val="bottom"/>
          </w:tcPr>
          <w:p>
            <w:pPr>
              <w:spacing w:after="0"/>
              <w:rPr>
                <w:sz w:val="20"/>
                <w:szCs w:val="20"/>
                <w:color w:val="auto"/>
              </w:rPr>
            </w:pPr>
            <w:r>
              <w:rPr>
                <w:rFonts w:ascii="Arial" w:cs="Arial" w:eastAsia="Arial" w:hAnsi="Arial"/>
                <w:sz w:val="16"/>
                <w:szCs w:val="16"/>
                <w:b w:val="1"/>
                <w:bCs w:val="1"/>
                <w:color w:val="auto"/>
              </w:rPr>
              <w:t>Due from customers acceptances</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96,423</w:t>
            </w:r>
          </w:p>
        </w:tc>
        <w:tc>
          <w:tcPr>
            <w:tcW w:w="124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63,901</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232,580</w:t>
            </w:r>
          </w:p>
        </w:tc>
        <w:tc>
          <w:tcPr>
            <w:tcW w:w="128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-58.5%</w:t>
            </w:r>
          </w:p>
        </w:tc>
        <w:tc>
          <w:tcPr>
            <w:tcW w:w="1180" w:type="dxa"/>
            <w:vAlign w:val="bottom"/>
            <w:gridSpan w:val="2"/>
          </w:tcPr>
          <w:p>
            <w:pPr>
              <w:jc w:val="right"/>
              <w:spacing w:after="0"/>
              <w:rPr>
                <w:sz w:val="20"/>
                <w:szCs w:val="20"/>
                <w:color w:val="auto"/>
              </w:rPr>
            </w:pPr>
            <w:r>
              <w:rPr>
                <w:rFonts w:ascii="Arial" w:cs="Arial" w:eastAsia="Arial" w:hAnsi="Arial"/>
                <w:sz w:val="16"/>
                <w:szCs w:val="16"/>
                <w:b w:val="1"/>
                <w:bCs w:val="1"/>
                <w:color w:val="auto"/>
              </w:rPr>
              <w:t>50.9%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60" w:type="dxa"/>
            <w:vAlign w:val="bottom"/>
            <w:shd w:val="clear" w:color="auto" w:fill="CCFFCC"/>
          </w:tcPr>
          <w:p>
            <w:pPr>
              <w:spacing w:after="0"/>
              <w:rPr>
                <w:sz w:val="20"/>
                <w:szCs w:val="20"/>
                <w:color w:val="auto"/>
              </w:rPr>
            </w:pPr>
            <w:r>
              <w:rPr>
                <w:rFonts w:ascii="Arial" w:cs="Arial" w:eastAsia="Arial" w:hAnsi="Arial"/>
                <w:sz w:val="16"/>
                <w:szCs w:val="16"/>
                <w:b w:val="1"/>
                <w:bCs w:val="1"/>
                <w:color w:val="auto"/>
              </w:rPr>
              <w:t>Other assets</w:t>
            </w:r>
          </w:p>
        </w:tc>
        <w:tc>
          <w:tcPr>
            <w:tcW w:w="1220" w:type="dxa"/>
            <w:vAlign w:val="bottom"/>
            <w:gridSpan w:val="2"/>
            <w:shd w:val="clear" w:color="auto" w:fill="CCFFCC"/>
          </w:tcPr>
          <w:p>
            <w:pPr>
              <w:jc w:val="right"/>
              <w:ind w:right="220"/>
              <w:spacing w:after="0"/>
              <w:rPr>
                <w:sz w:val="20"/>
                <w:szCs w:val="20"/>
                <w:color w:val="auto"/>
              </w:rPr>
            </w:pPr>
            <w:r>
              <w:rPr>
                <w:rFonts w:ascii="Arial" w:cs="Arial" w:eastAsia="Arial" w:hAnsi="Arial"/>
                <w:sz w:val="16"/>
                <w:szCs w:val="16"/>
                <w:b w:val="1"/>
                <w:bCs w:val="1"/>
                <w:color w:val="auto"/>
              </w:rPr>
              <w:t>1,143,234</w:t>
            </w:r>
          </w:p>
        </w:tc>
        <w:tc>
          <w:tcPr>
            <w:tcW w:w="1240" w:type="dxa"/>
            <w:vAlign w:val="bottom"/>
            <w:gridSpan w:val="2"/>
            <w:shd w:val="clear" w:color="auto" w:fill="CCFFCC"/>
          </w:tcPr>
          <w:p>
            <w:pPr>
              <w:jc w:val="right"/>
              <w:ind w:right="220"/>
              <w:spacing w:after="0"/>
              <w:rPr>
                <w:sz w:val="20"/>
                <w:szCs w:val="20"/>
                <w:color w:val="auto"/>
              </w:rPr>
            </w:pPr>
            <w:r>
              <w:rPr>
                <w:rFonts w:ascii="Arial" w:cs="Arial" w:eastAsia="Arial" w:hAnsi="Arial"/>
                <w:sz w:val="16"/>
                <w:szCs w:val="16"/>
                <w:b w:val="1"/>
                <w:bCs w:val="1"/>
                <w:color w:val="auto"/>
              </w:rPr>
              <w:t>1,052,317</w:t>
            </w:r>
          </w:p>
        </w:tc>
        <w:tc>
          <w:tcPr>
            <w:tcW w:w="1220" w:type="dxa"/>
            <w:vAlign w:val="bottom"/>
            <w:gridSpan w:val="2"/>
            <w:shd w:val="clear" w:color="auto" w:fill="CCFFCC"/>
          </w:tcPr>
          <w:p>
            <w:pPr>
              <w:jc w:val="right"/>
              <w:ind w:right="220"/>
              <w:spacing w:after="0"/>
              <w:rPr>
                <w:sz w:val="20"/>
                <w:szCs w:val="20"/>
                <w:color w:val="auto"/>
              </w:rPr>
            </w:pPr>
            <w:r>
              <w:rPr>
                <w:rFonts w:ascii="Arial" w:cs="Arial" w:eastAsia="Arial" w:hAnsi="Arial"/>
                <w:sz w:val="16"/>
                <w:szCs w:val="16"/>
                <w:b w:val="1"/>
                <w:bCs w:val="1"/>
                <w:color w:val="auto"/>
              </w:rPr>
              <w:t>822,440</w:t>
            </w:r>
          </w:p>
        </w:tc>
        <w:tc>
          <w:tcPr>
            <w:tcW w:w="1280" w:type="dxa"/>
            <w:vAlign w:val="bottom"/>
            <w:gridSpan w:val="2"/>
            <w:shd w:val="clear" w:color="auto" w:fill="CCFFCC"/>
          </w:tcPr>
          <w:p>
            <w:pPr>
              <w:jc w:val="right"/>
              <w:ind w:right="100"/>
              <w:spacing w:after="0"/>
              <w:rPr>
                <w:sz w:val="20"/>
                <w:szCs w:val="20"/>
                <w:color w:val="auto"/>
              </w:rPr>
            </w:pPr>
            <w:r>
              <w:rPr>
                <w:rFonts w:ascii="Arial" w:cs="Arial" w:eastAsia="Arial" w:hAnsi="Arial"/>
                <w:sz w:val="16"/>
                <w:szCs w:val="16"/>
                <w:b w:val="1"/>
                <w:bCs w:val="1"/>
                <w:color w:val="auto"/>
              </w:rPr>
              <w:t>39.0%</w:t>
            </w:r>
          </w:p>
        </w:tc>
        <w:tc>
          <w:tcPr>
            <w:tcW w:w="1180" w:type="dxa"/>
            <w:vAlign w:val="bottom"/>
            <w:gridSpan w:val="2"/>
            <w:shd w:val="clear" w:color="auto" w:fill="CCFFCC"/>
          </w:tcPr>
          <w:p>
            <w:pPr>
              <w:jc w:val="right"/>
              <w:spacing w:after="0"/>
              <w:rPr>
                <w:sz w:val="20"/>
                <w:szCs w:val="20"/>
                <w:color w:val="auto"/>
              </w:rPr>
            </w:pPr>
            <w:r>
              <w:rPr>
                <w:rFonts w:ascii="Arial" w:cs="Arial" w:eastAsia="Arial" w:hAnsi="Arial"/>
                <w:sz w:val="16"/>
                <w:szCs w:val="16"/>
                <w:b w:val="1"/>
                <w:bCs w:val="1"/>
                <w:color w:val="auto"/>
              </w:rPr>
              <w:t>8.6%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60" w:type="dxa"/>
            <w:vAlign w:val="bottom"/>
            <w:shd w:val="clear" w:color="auto" w:fill="CCFFCC"/>
          </w:tcPr>
          <w:p>
            <w:pPr>
              <w:jc w:val="center"/>
              <w:ind w:right="59"/>
              <w:spacing w:after="0"/>
              <w:rPr>
                <w:sz w:val="20"/>
                <w:szCs w:val="20"/>
                <w:color w:val="auto"/>
              </w:rPr>
            </w:pPr>
            <w:r>
              <w:rPr>
                <w:rFonts w:ascii="Arial" w:cs="Arial" w:eastAsia="Arial" w:hAnsi="Arial"/>
                <w:sz w:val="16"/>
                <w:szCs w:val="16"/>
                <w:b w:val="1"/>
                <w:bCs w:val="1"/>
                <w:color w:val="auto"/>
                <w:w w:val="88"/>
              </w:rPr>
              <w:t>Total Assets</w:t>
            </w:r>
          </w:p>
        </w:tc>
        <w:tc>
          <w:tcPr>
            <w:tcW w:w="1220" w:type="dxa"/>
            <w:vAlign w:val="bottom"/>
            <w:gridSpan w:val="2"/>
            <w:shd w:val="clear" w:color="auto" w:fill="CCFFCC"/>
          </w:tcPr>
          <w:p>
            <w:pPr>
              <w:jc w:val="right"/>
              <w:ind w:right="220"/>
              <w:spacing w:after="0"/>
              <w:rPr>
                <w:sz w:val="20"/>
                <w:szCs w:val="20"/>
                <w:color w:val="auto"/>
              </w:rPr>
            </w:pPr>
            <w:r>
              <w:rPr>
                <w:rFonts w:ascii="Arial" w:cs="Arial" w:eastAsia="Arial" w:hAnsi="Arial"/>
                <w:sz w:val="16"/>
                <w:szCs w:val="16"/>
                <w:b w:val="1"/>
                <w:bCs w:val="1"/>
                <w:color w:val="auto"/>
              </w:rPr>
              <w:t>19,563,309</w:t>
            </w:r>
          </w:p>
        </w:tc>
        <w:tc>
          <w:tcPr>
            <w:tcW w:w="1240" w:type="dxa"/>
            <w:vAlign w:val="bottom"/>
            <w:gridSpan w:val="2"/>
            <w:shd w:val="clear" w:color="auto" w:fill="CCFFCC"/>
          </w:tcPr>
          <w:p>
            <w:pPr>
              <w:jc w:val="right"/>
              <w:ind w:right="220"/>
              <w:spacing w:after="0"/>
              <w:rPr>
                <w:sz w:val="20"/>
                <w:szCs w:val="20"/>
                <w:color w:val="auto"/>
              </w:rPr>
            </w:pPr>
            <w:r>
              <w:rPr>
                <w:rFonts w:ascii="Arial" w:cs="Arial" w:eastAsia="Arial" w:hAnsi="Arial"/>
                <w:sz w:val="16"/>
                <w:szCs w:val="16"/>
                <w:b w:val="1"/>
                <w:bCs w:val="1"/>
                <w:color w:val="auto"/>
              </w:rPr>
              <w:t>17,880,230</w:t>
            </w:r>
          </w:p>
        </w:tc>
        <w:tc>
          <w:tcPr>
            <w:tcW w:w="1220" w:type="dxa"/>
            <w:vAlign w:val="bottom"/>
            <w:gridSpan w:val="2"/>
            <w:shd w:val="clear" w:color="auto" w:fill="CCFFCC"/>
          </w:tcPr>
          <w:p>
            <w:pPr>
              <w:jc w:val="right"/>
              <w:ind w:right="220"/>
              <w:spacing w:after="0"/>
              <w:rPr>
                <w:sz w:val="20"/>
                <w:szCs w:val="20"/>
                <w:color w:val="auto"/>
              </w:rPr>
            </w:pPr>
            <w:r>
              <w:rPr>
                <w:rFonts w:ascii="Arial" w:cs="Arial" w:eastAsia="Arial" w:hAnsi="Arial"/>
                <w:sz w:val="16"/>
                <w:szCs w:val="16"/>
                <w:b w:val="1"/>
                <w:bCs w:val="1"/>
                <w:color w:val="auto"/>
              </w:rPr>
              <w:t>18,507,433</w:t>
            </w:r>
          </w:p>
        </w:tc>
        <w:tc>
          <w:tcPr>
            <w:tcW w:w="1280" w:type="dxa"/>
            <w:vAlign w:val="bottom"/>
            <w:gridSpan w:val="2"/>
            <w:shd w:val="clear" w:color="auto" w:fill="CCFFCC"/>
          </w:tcPr>
          <w:p>
            <w:pPr>
              <w:jc w:val="right"/>
              <w:ind w:right="100"/>
              <w:spacing w:after="0"/>
              <w:rPr>
                <w:sz w:val="20"/>
                <w:szCs w:val="20"/>
                <w:color w:val="auto"/>
              </w:rPr>
            </w:pPr>
            <w:r>
              <w:rPr>
                <w:rFonts w:ascii="Arial" w:cs="Arial" w:eastAsia="Arial" w:hAnsi="Arial"/>
                <w:sz w:val="16"/>
                <w:szCs w:val="16"/>
                <w:b w:val="1"/>
                <w:bCs w:val="1"/>
                <w:color w:val="auto"/>
              </w:rPr>
              <w:t>5.7%</w:t>
            </w:r>
          </w:p>
        </w:tc>
        <w:tc>
          <w:tcPr>
            <w:tcW w:w="1180" w:type="dxa"/>
            <w:vAlign w:val="bottom"/>
            <w:gridSpan w:val="2"/>
            <w:shd w:val="clear" w:color="auto" w:fill="CCFFCC"/>
          </w:tcPr>
          <w:p>
            <w:pPr>
              <w:jc w:val="right"/>
              <w:spacing w:after="0"/>
              <w:rPr>
                <w:sz w:val="20"/>
                <w:szCs w:val="20"/>
                <w:color w:val="auto"/>
              </w:rPr>
            </w:pPr>
            <w:r>
              <w:rPr>
                <w:rFonts w:ascii="Arial" w:cs="Arial" w:eastAsia="Arial" w:hAnsi="Arial"/>
                <w:sz w:val="16"/>
                <w:szCs w:val="16"/>
                <w:b w:val="1"/>
                <w:bCs w:val="1"/>
                <w:color w:val="auto"/>
              </w:rPr>
              <w:t>9.4%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60" w:type="dxa"/>
            <w:vAlign w:val="bottom"/>
            <w:shd w:val="clear" w:color="auto" w:fill="CCFFCC"/>
          </w:tcPr>
          <w:p>
            <w:pPr>
              <w:jc w:val="center"/>
              <w:ind w:right="59"/>
              <w:spacing w:after="0"/>
              <w:rPr>
                <w:sz w:val="20"/>
                <w:szCs w:val="20"/>
                <w:color w:val="auto"/>
              </w:rPr>
            </w:pPr>
            <w:r>
              <w:rPr>
                <w:rFonts w:ascii="Arial" w:cs="Arial" w:eastAsia="Arial" w:hAnsi="Arial"/>
                <w:sz w:val="16"/>
                <w:szCs w:val="16"/>
                <w:b w:val="1"/>
                <w:bCs w:val="1"/>
                <w:color w:val="auto"/>
              </w:rPr>
              <w:t>LIABILITIES AND SHAREHOLDERS' EQUITY</w:t>
            </w:r>
          </w:p>
        </w:tc>
        <w:tc>
          <w:tcPr>
            <w:tcW w:w="100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02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00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02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102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5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260" w:type="dxa"/>
            <w:vAlign w:val="bottom"/>
            <w:shd w:val="clear" w:color="auto" w:fill="CCFFCC"/>
          </w:tcPr>
          <w:p>
            <w:pPr>
              <w:spacing w:after="0"/>
              <w:rPr>
                <w:sz w:val="20"/>
                <w:szCs w:val="20"/>
                <w:color w:val="auto"/>
              </w:rPr>
            </w:pPr>
            <w:r>
              <w:rPr>
                <w:rFonts w:ascii="Arial" w:cs="Arial" w:eastAsia="Arial" w:hAnsi="Arial"/>
                <w:sz w:val="16"/>
                <w:szCs w:val="16"/>
                <w:b w:val="1"/>
                <w:bCs w:val="1"/>
                <w:color w:val="auto"/>
              </w:rPr>
              <w:t>Deposits and obligations</w:t>
            </w:r>
          </w:p>
        </w:tc>
        <w:tc>
          <w:tcPr>
            <w:tcW w:w="1220" w:type="dxa"/>
            <w:vAlign w:val="bottom"/>
            <w:gridSpan w:val="2"/>
            <w:shd w:val="clear" w:color="auto" w:fill="CCFFCC"/>
          </w:tcPr>
          <w:p>
            <w:pPr>
              <w:jc w:val="right"/>
              <w:ind w:right="220"/>
              <w:spacing w:after="0"/>
              <w:rPr>
                <w:sz w:val="20"/>
                <w:szCs w:val="20"/>
                <w:color w:val="auto"/>
              </w:rPr>
            </w:pPr>
            <w:r>
              <w:rPr>
                <w:rFonts w:ascii="Arial" w:cs="Arial" w:eastAsia="Arial" w:hAnsi="Arial"/>
                <w:sz w:val="16"/>
                <w:szCs w:val="16"/>
                <w:b w:val="1"/>
                <w:bCs w:val="1"/>
                <w:color w:val="auto"/>
              </w:rPr>
              <w:t>14,465,809</w:t>
            </w:r>
          </w:p>
        </w:tc>
        <w:tc>
          <w:tcPr>
            <w:tcW w:w="1240" w:type="dxa"/>
            <w:vAlign w:val="bottom"/>
            <w:gridSpan w:val="2"/>
            <w:shd w:val="clear" w:color="auto" w:fill="CCFFCC"/>
          </w:tcPr>
          <w:p>
            <w:pPr>
              <w:jc w:val="right"/>
              <w:ind w:right="220"/>
              <w:spacing w:after="0"/>
              <w:rPr>
                <w:sz w:val="20"/>
                <w:szCs w:val="20"/>
                <w:color w:val="auto"/>
              </w:rPr>
            </w:pPr>
            <w:r>
              <w:rPr>
                <w:rFonts w:ascii="Arial" w:cs="Arial" w:eastAsia="Arial" w:hAnsi="Arial"/>
                <w:sz w:val="16"/>
                <w:szCs w:val="16"/>
                <w:b w:val="1"/>
                <w:bCs w:val="1"/>
                <w:color w:val="auto"/>
              </w:rPr>
              <w:t>13,946,714</w:t>
            </w:r>
          </w:p>
        </w:tc>
        <w:tc>
          <w:tcPr>
            <w:tcW w:w="1220" w:type="dxa"/>
            <w:vAlign w:val="bottom"/>
            <w:gridSpan w:val="2"/>
            <w:shd w:val="clear" w:color="auto" w:fill="CCFFCC"/>
          </w:tcPr>
          <w:p>
            <w:pPr>
              <w:jc w:val="right"/>
              <w:ind w:right="220"/>
              <w:spacing w:after="0"/>
              <w:rPr>
                <w:sz w:val="20"/>
                <w:szCs w:val="20"/>
                <w:color w:val="auto"/>
              </w:rPr>
            </w:pPr>
            <w:r>
              <w:rPr>
                <w:rFonts w:ascii="Arial" w:cs="Arial" w:eastAsia="Arial" w:hAnsi="Arial"/>
                <w:sz w:val="16"/>
                <w:szCs w:val="16"/>
                <w:b w:val="1"/>
                <w:bCs w:val="1"/>
                <w:color w:val="auto"/>
              </w:rPr>
              <w:t>14,063,720</w:t>
            </w:r>
          </w:p>
        </w:tc>
        <w:tc>
          <w:tcPr>
            <w:tcW w:w="1280" w:type="dxa"/>
            <w:vAlign w:val="bottom"/>
            <w:gridSpan w:val="2"/>
            <w:shd w:val="clear" w:color="auto" w:fill="CCFFCC"/>
          </w:tcPr>
          <w:p>
            <w:pPr>
              <w:jc w:val="right"/>
              <w:ind w:right="100"/>
              <w:spacing w:after="0"/>
              <w:rPr>
                <w:sz w:val="20"/>
                <w:szCs w:val="20"/>
                <w:color w:val="auto"/>
              </w:rPr>
            </w:pPr>
            <w:r>
              <w:rPr>
                <w:rFonts w:ascii="Arial" w:cs="Arial" w:eastAsia="Arial" w:hAnsi="Arial"/>
                <w:sz w:val="16"/>
                <w:szCs w:val="16"/>
                <w:b w:val="1"/>
                <w:bCs w:val="1"/>
                <w:color w:val="auto"/>
              </w:rPr>
              <w:t>2.9%</w:t>
            </w:r>
          </w:p>
        </w:tc>
        <w:tc>
          <w:tcPr>
            <w:tcW w:w="1180" w:type="dxa"/>
            <w:vAlign w:val="bottom"/>
            <w:gridSpan w:val="2"/>
            <w:shd w:val="clear" w:color="auto" w:fill="CCFFCC"/>
          </w:tcPr>
          <w:p>
            <w:pPr>
              <w:jc w:val="right"/>
              <w:spacing w:after="0"/>
              <w:rPr>
                <w:sz w:val="20"/>
                <w:szCs w:val="20"/>
                <w:color w:val="auto"/>
              </w:rPr>
            </w:pPr>
            <w:r>
              <w:rPr>
                <w:rFonts w:ascii="Arial" w:cs="Arial" w:eastAsia="Arial" w:hAnsi="Arial"/>
                <w:sz w:val="16"/>
                <w:szCs w:val="16"/>
                <w:b w:val="1"/>
                <w:bCs w:val="1"/>
                <w:color w:val="auto"/>
              </w:rPr>
              <w:t>3.7%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60" w:type="dxa"/>
            <w:vAlign w:val="bottom"/>
          </w:tcPr>
          <w:p>
            <w:pPr>
              <w:ind w:left="160"/>
              <w:spacing w:after="0"/>
              <w:rPr>
                <w:sz w:val="20"/>
                <w:szCs w:val="20"/>
                <w:color w:val="auto"/>
              </w:rPr>
            </w:pPr>
            <w:r>
              <w:rPr>
                <w:rFonts w:ascii="Arial" w:cs="Arial" w:eastAsia="Arial" w:hAnsi="Arial"/>
                <w:sz w:val="16"/>
                <w:szCs w:val="16"/>
                <w:color w:val="auto"/>
              </w:rPr>
              <w:t>Demand deposits</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4,440,643</w:t>
            </w: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4,298,914</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5,891,382</w:t>
            </w:r>
          </w:p>
        </w:tc>
        <w:tc>
          <w:tcPr>
            <w:tcW w:w="1280" w:type="dxa"/>
            <w:vAlign w:val="bottom"/>
            <w:gridSpan w:val="2"/>
          </w:tcPr>
          <w:p>
            <w:pPr>
              <w:jc w:val="right"/>
              <w:ind w:right="140"/>
              <w:spacing w:after="0"/>
              <w:rPr>
                <w:sz w:val="20"/>
                <w:szCs w:val="20"/>
                <w:color w:val="auto"/>
              </w:rPr>
            </w:pPr>
            <w:r>
              <w:rPr>
                <w:rFonts w:ascii="Arial" w:cs="Arial" w:eastAsia="Arial" w:hAnsi="Arial"/>
                <w:sz w:val="16"/>
                <w:szCs w:val="16"/>
                <w:color w:val="auto"/>
              </w:rPr>
              <w:t>-24.6%</w:t>
            </w:r>
          </w:p>
        </w:tc>
        <w:tc>
          <w:tcPr>
            <w:tcW w:w="1180" w:type="dxa"/>
            <w:vAlign w:val="bottom"/>
            <w:gridSpan w:val="2"/>
          </w:tcPr>
          <w:p>
            <w:pPr>
              <w:jc w:val="right"/>
              <w:ind w:right="20"/>
              <w:spacing w:after="0"/>
              <w:rPr>
                <w:sz w:val="20"/>
                <w:szCs w:val="20"/>
                <w:color w:val="auto"/>
              </w:rPr>
            </w:pPr>
            <w:r>
              <w:rPr>
                <w:rFonts w:ascii="Arial" w:cs="Arial" w:eastAsia="Arial" w:hAnsi="Arial"/>
                <w:sz w:val="16"/>
                <w:szCs w:val="16"/>
                <w:color w:val="auto"/>
              </w:rPr>
              <w:t>3.3%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60" w:type="dxa"/>
            <w:vAlign w:val="bottom"/>
            <w:shd w:val="clear" w:color="auto" w:fill="CCFFCC"/>
          </w:tcPr>
          <w:p>
            <w:pPr>
              <w:ind w:left="160"/>
              <w:spacing w:after="0"/>
              <w:rPr>
                <w:sz w:val="20"/>
                <w:szCs w:val="20"/>
                <w:color w:val="auto"/>
              </w:rPr>
            </w:pPr>
            <w:r>
              <w:rPr>
                <w:rFonts w:ascii="Arial" w:cs="Arial" w:eastAsia="Arial" w:hAnsi="Arial"/>
                <w:sz w:val="16"/>
                <w:szCs w:val="16"/>
                <w:color w:val="auto"/>
              </w:rPr>
              <w:t>Saving deposits</w:t>
            </w:r>
          </w:p>
        </w:tc>
        <w:tc>
          <w:tcPr>
            <w:tcW w:w="1220" w:type="dxa"/>
            <w:vAlign w:val="bottom"/>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3,539,917</w:t>
            </w:r>
          </w:p>
        </w:tc>
        <w:tc>
          <w:tcPr>
            <w:tcW w:w="1240" w:type="dxa"/>
            <w:vAlign w:val="bottom"/>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3,387,339</w:t>
            </w:r>
          </w:p>
        </w:tc>
        <w:tc>
          <w:tcPr>
            <w:tcW w:w="1220" w:type="dxa"/>
            <w:vAlign w:val="bottom"/>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2,968,842</w:t>
            </w:r>
          </w:p>
        </w:tc>
        <w:tc>
          <w:tcPr>
            <w:tcW w:w="1280" w:type="dxa"/>
            <w:vAlign w:val="bottom"/>
            <w:gridSpan w:val="2"/>
            <w:shd w:val="clear" w:color="auto" w:fill="CCFFCC"/>
          </w:tcPr>
          <w:p>
            <w:pPr>
              <w:jc w:val="right"/>
              <w:ind w:right="140"/>
              <w:spacing w:after="0"/>
              <w:rPr>
                <w:sz w:val="20"/>
                <w:szCs w:val="20"/>
                <w:color w:val="auto"/>
              </w:rPr>
            </w:pPr>
            <w:r>
              <w:rPr>
                <w:rFonts w:ascii="Arial" w:cs="Arial" w:eastAsia="Arial" w:hAnsi="Arial"/>
                <w:sz w:val="16"/>
                <w:szCs w:val="16"/>
                <w:color w:val="auto"/>
              </w:rPr>
              <w:t>19.2%</w:t>
            </w:r>
          </w:p>
        </w:tc>
        <w:tc>
          <w:tcPr>
            <w:tcW w:w="1180" w:type="dxa"/>
            <w:vAlign w:val="bottom"/>
            <w:gridSpan w:val="2"/>
            <w:shd w:val="clear" w:color="auto" w:fill="CCFFCC"/>
          </w:tcPr>
          <w:p>
            <w:pPr>
              <w:jc w:val="right"/>
              <w:ind w:right="20"/>
              <w:spacing w:after="0"/>
              <w:rPr>
                <w:sz w:val="20"/>
                <w:szCs w:val="20"/>
                <w:color w:val="auto"/>
              </w:rPr>
            </w:pPr>
            <w:r>
              <w:rPr>
                <w:rFonts w:ascii="Arial" w:cs="Arial" w:eastAsia="Arial" w:hAnsi="Arial"/>
                <w:sz w:val="16"/>
                <w:szCs w:val="16"/>
                <w:color w:val="auto"/>
              </w:rPr>
              <w:t>4.5%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60" w:type="dxa"/>
            <w:vAlign w:val="bottom"/>
          </w:tcPr>
          <w:p>
            <w:pPr>
              <w:ind w:left="160"/>
              <w:spacing w:after="0"/>
              <w:rPr>
                <w:sz w:val="20"/>
                <w:szCs w:val="20"/>
                <w:color w:val="auto"/>
              </w:rPr>
            </w:pPr>
            <w:r>
              <w:rPr>
                <w:rFonts w:ascii="Arial" w:cs="Arial" w:eastAsia="Arial" w:hAnsi="Arial"/>
                <w:sz w:val="16"/>
                <w:szCs w:val="16"/>
                <w:color w:val="auto"/>
              </w:rPr>
              <w:t>Time deposits</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5,361,410</w:t>
            </w: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5,179,047</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4,090,043</w:t>
            </w:r>
          </w:p>
        </w:tc>
        <w:tc>
          <w:tcPr>
            <w:tcW w:w="1280" w:type="dxa"/>
            <w:vAlign w:val="bottom"/>
            <w:gridSpan w:val="2"/>
          </w:tcPr>
          <w:p>
            <w:pPr>
              <w:jc w:val="right"/>
              <w:ind w:right="140"/>
              <w:spacing w:after="0"/>
              <w:rPr>
                <w:sz w:val="20"/>
                <w:szCs w:val="20"/>
                <w:color w:val="auto"/>
              </w:rPr>
            </w:pPr>
            <w:r>
              <w:rPr>
                <w:rFonts w:ascii="Arial" w:cs="Arial" w:eastAsia="Arial" w:hAnsi="Arial"/>
                <w:sz w:val="16"/>
                <w:szCs w:val="16"/>
                <w:color w:val="auto"/>
              </w:rPr>
              <w:t>31.1%</w:t>
            </w:r>
          </w:p>
        </w:tc>
        <w:tc>
          <w:tcPr>
            <w:tcW w:w="1180" w:type="dxa"/>
            <w:vAlign w:val="bottom"/>
            <w:gridSpan w:val="2"/>
          </w:tcPr>
          <w:p>
            <w:pPr>
              <w:jc w:val="right"/>
              <w:ind w:right="20"/>
              <w:spacing w:after="0"/>
              <w:rPr>
                <w:sz w:val="20"/>
                <w:szCs w:val="20"/>
                <w:color w:val="auto"/>
              </w:rPr>
            </w:pPr>
            <w:r>
              <w:rPr>
                <w:rFonts w:ascii="Arial" w:cs="Arial" w:eastAsia="Arial" w:hAnsi="Arial"/>
                <w:sz w:val="16"/>
                <w:szCs w:val="16"/>
                <w:color w:val="auto"/>
              </w:rPr>
              <w:t>3.5%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60" w:type="dxa"/>
            <w:vAlign w:val="bottom"/>
            <w:shd w:val="clear" w:color="auto" w:fill="CCFFCC"/>
          </w:tcPr>
          <w:p>
            <w:pPr>
              <w:ind w:left="160"/>
              <w:spacing w:after="0"/>
              <w:rPr>
                <w:sz w:val="20"/>
                <w:szCs w:val="20"/>
                <w:color w:val="auto"/>
              </w:rPr>
            </w:pPr>
            <w:r>
              <w:rPr>
                <w:rFonts w:ascii="Arial" w:cs="Arial" w:eastAsia="Arial" w:hAnsi="Arial"/>
                <w:sz w:val="16"/>
                <w:szCs w:val="16"/>
                <w:color w:val="auto"/>
              </w:rPr>
              <w:t>Severance indemnity deposits (CTS)</w:t>
            </w:r>
          </w:p>
        </w:tc>
        <w:tc>
          <w:tcPr>
            <w:tcW w:w="1220" w:type="dxa"/>
            <w:vAlign w:val="bottom"/>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1,069,267</w:t>
            </w:r>
          </w:p>
        </w:tc>
        <w:tc>
          <w:tcPr>
            <w:tcW w:w="1240" w:type="dxa"/>
            <w:vAlign w:val="bottom"/>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1,012,534</w:t>
            </w:r>
          </w:p>
        </w:tc>
        <w:tc>
          <w:tcPr>
            <w:tcW w:w="1220" w:type="dxa"/>
            <w:vAlign w:val="bottom"/>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1,039,887</w:t>
            </w:r>
          </w:p>
        </w:tc>
        <w:tc>
          <w:tcPr>
            <w:tcW w:w="1280" w:type="dxa"/>
            <w:vAlign w:val="bottom"/>
            <w:gridSpan w:val="2"/>
            <w:shd w:val="clear" w:color="auto" w:fill="CCFFCC"/>
          </w:tcPr>
          <w:p>
            <w:pPr>
              <w:jc w:val="right"/>
              <w:ind w:right="140"/>
              <w:spacing w:after="0"/>
              <w:rPr>
                <w:sz w:val="20"/>
                <w:szCs w:val="20"/>
                <w:color w:val="auto"/>
              </w:rPr>
            </w:pPr>
            <w:r>
              <w:rPr>
                <w:rFonts w:ascii="Arial" w:cs="Arial" w:eastAsia="Arial" w:hAnsi="Arial"/>
                <w:sz w:val="16"/>
                <w:szCs w:val="16"/>
                <w:color w:val="auto"/>
              </w:rPr>
              <w:t>2.8%</w:t>
            </w:r>
          </w:p>
        </w:tc>
        <w:tc>
          <w:tcPr>
            <w:tcW w:w="1180" w:type="dxa"/>
            <w:vAlign w:val="bottom"/>
            <w:gridSpan w:val="2"/>
            <w:shd w:val="clear" w:color="auto" w:fill="CCFFCC"/>
          </w:tcPr>
          <w:p>
            <w:pPr>
              <w:jc w:val="right"/>
              <w:ind w:right="20"/>
              <w:spacing w:after="0"/>
              <w:rPr>
                <w:sz w:val="20"/>
                <w:szCs w:val="20"/>
                <w:color w:val="auto"/>
              </w:rPr>
            </w:pPr>
            <w:r>
              <w:rPr>
                <w:rFonts w:ascii="Arial" w:cs="Arial" w:eastAsia="Arial" w:hAnsi="Arial"/>
                <w:sz w:val="16"/>
                <w:szCs w:val="16"/>
                <w:color w:val="auto"/>
              </w:rPr>
              <w:t>5.6%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60" w:type="dxa"/>
            <w:vAlign w:val="bottom"/>
          </w:tcPr>
          <w:p>
            <w:pPr>
              <w:ind w:left="160"/>
              <w:spacing w:after="0"/>
              <w:rPr>
                <w:sz w:val="20"/>
                <w:szCs w:val="20"/>
                <w:color w:val="auto"/>
              </w:rPr>
            </w:pPr>
            <w:r>
              <w:rPr>
                <w:rFonts w:ascii="Arial" w:cs="Arial" w:eastAsia="Arial" w:hAnsi="Arial"/>
                <w:sz w:val="16"/>
                <w:szCs w:val="16"/>
                <w:color w:val="auto"/>
              </w:rPr>
              <w:t>Interest payable</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54,572</w:t>
            </w: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68,880</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73,566</w:t>
            </w:r>
          </w:p>
        </w:tc>
        <w:tc>
          <w:tcPr>
            <w:tcW w:w="1280" w:type="dxa"/>
            <w:vAlign w:val="bottom"/>
            <w:gridSpan w:val="2"/>
          </w:tcPr>
          <w:p>
            <w:pPr>
              <w:jc w:val="right"/>
              <w:ind w:right="140"/>
              <w:spacing w:after="0"/>
              <w:rPr>
                <w:sz w:val="20"/>
                <w:szCs w:val="20"/>
                <w:color w:val="auto"/>
              </w:rPr>
            </w:pPr>
            <w:r>
              <w:rPr>
                <w:rFonts w:ascii="Arial" w:cs="Arial" w:eastAsia="Arial" w:hAnsi="Arial"/>
                <w:sz w:val="16"/>
                <w:szCs w:val="16"/>
                <w:color w:val="auto"/>
              </w:rPr>
              <w:t>-25.8%</w:t>
            </w:r>
          </w:p>
        </w:tc>
        <w:tc>
          <w:tcPr>
            <w:tcW w:w="1180" w:type="dxa"/>
            <w:vAlign w:val="bottom"/>
            <w:gridSpan w:val="2"/>
          </w:tcPr>
          <w:p>
            <w:pPr>
              <w:jc w:val="right"/>
              <w:ind w:right="20"/>
              <w:spacing w:after="0"/>
              <w:rPr>
                <w:sz w:val="20"/>
                <w:szCs w:val="20"/>
                <w:color w:val="auto"/>
              </w:rPr>
            </w:pPr>
            <w:r>
              <w:rPr>
                <w:rFonts w:ascii="Arial" w:cs="Arial" w:eastAsia="Arial" w:hAnsi="Arial"/>
                <w:sz w:val="16"/>
                <w:szCs w:val="16"/>
                <w:color w:val="auto"/>
              </w:rPr>
              <w:t>-20.8%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5260" w:type="dxa"/>
            <w:vAlign w:val="bottom"/>
            <w:shd w:val="clear" w:color="auto" w:fill="CCFFCC"/>
          </w:tcPr>
          <w:p>
            <w:pPr>
              <w:spacing w:after="0"/>
              <w:rPr>
                <w:sz w:val="17"/>
                <w:szCs w:val="17"/>
                <w:color w:val="auto"/>
              </w:rPr>
            </w:pPr>
          </w:p>
        </w:tc>
        <w:tc>
          <w:tcPr>
            <w:tcW w:w="100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02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00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02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102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260" w:type="dxa"/>
            <w:vAlign w:val="bottom"/>
          </w:tcPr>
          <w:p>
            <w:pPr>
              <w:spacing w:after="0"/>
              <w:rPr>
                <w:sz w:val="20"/>
                <w:szCs w:val="20"/>
                <w:color w:val="auto"/>
              </w:rPr>
            </w:pPr>
            <w:r>
              <w:rPr>
                <w:rFonts w:ascii="Arial" w:cs="Arial" w:eastAsia="Arial" w:hAnsi="Arial"/>
                <w:sz w:val="16"/>
                <w:szCs w:val="16"/>
                <w:b w:val="1"/>
                <w:bCs w:val="1"/>
                <w:color w:val="auto"/>
              </w:rPr>
              <w:t>Due to banks and correspondents</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1,278,245</w:t>
            </w:r>
          </w:p>
        </w:tc>
        <w:tc>
          <w:tcPr>
            <w:tcW w:w="124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603,152</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1,179,863</w:t>
            </w:r>
          </w:p>
        </w:tc>
        <w:tc>
          <w:tcPr>
            <w:tcW w:w="128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8.3%</w:t>
            </w:r>
          </w:p>
        </w:tc>
        <w:tc>
          <w:tcPr>
            <w:tcW w:w="1180" w:type="dxa"/>
            <w:vAlign w:val="bottom"/>
            <w:gridSpan w:val="2"/>
          </w:tcPr>
          <w:p>
            <w:pPr>
              <w:jc w:val="right"/>
              <w:spacing w:after="0"/>
              <w:rPr>
                <w:sz w:val="20"/>
                <w:szCs w:val="20"/>
                <w:color w:val="auto"/>
              </w:rPr>
            </w:pPr>
            <w:r>
              <w:rPr>
                <w:rFonts w:ascii="Arial" w:cs="Arial" w:eastAsia="Arial" w:hAnsi="Arial"/>
                <w:sz w:val="16"/>
                <w:szCs w:val="16"/>
                <w:b w:val="1"/>
                <w:bCs w:val="1"/>
                <w:color w:val="auto"/>
              </w:rPr>
              <w:t>111.9%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60" w:type="dxa"/>
            <w:vAlign w:val="bottom"/>
            <w:shd w:val="clear" w:color="auto" w:fill="CCFFCC"/>
          </w:tcPr>
          <w:p>
            <w:pPr>
              <w:spacing w:after="0"/>
              <w:rPr>
                <w:sz w:val="20"/>
                <w:szCs w:val="20"/>
                <w:color w:val="auto"/>
              </w:rPr>
            </w:pPr>
            <w:r>
              <w:rPr>
                <w:rFonts w:ascii="Arial" w:cs="Arial" w:eastAsia="Arial" w:hAnsi="Arial"/>
                <w:sz w:val="16"/>
                <w:szCs w:val="16"/>
                <w:b w:val="1"/>
                <w:bCs w:val="1"/>
                <w:color w:val="auto"/>
              </w:rPr>
              <w:t>Bonds and subordinated debt</w:t>
            </w:r>
          </w:p>
        </w:tc>
        <w:tc>
          <w:tcPr>
            <w:tcW w:w="1220" w:type="dxa"/>
            <w:vAlign w:val="bottom"/>
            <w:gridSpan w:val="2"/>
            <w:shd w:val="clear" w:color="auto" w:fill="CCFFCC"/>
          </w:tcPr>
          <w:p>
            <w:pPr>
              <w:jc w:val="right"/>
              <w:ind w:right="220"/>
              <w:spacing w:after="0"/>
              <w:rPr>
                <w:sz w:val="20"/>
                <w:szCs w:val="20"/>
                <w:color w:val="auto"/>
              </w:rPr>
            </w:pPr>
            <w:r>
              <w:rPr>
                <w:rFonts w:ascii="Arial" w:cs="Arial" w:eastAsia="Arial" w:hAnsi="Arial"/>
                <w:sz w:val="16"/>
                <w:szCs w:val="16"/>
                <w:b w:val="1"/>
                <w:bCs w:val="1"/>
                <w:color w:val="auto"/>
              </w:rPr>
              <w:t>1,228,901</w:t>
            </w:r>
          </w:p>
        </w:tc>
        <w:tc>
          <w:tcPr>
            <w:tcW w:w="1240" w:type="dxa"/>
            <w:vAlign w:val="bottom"/>
            <w:gridSpan w:val="2"/>
            <w:shd w:val="clear" w:color="auto" w:fill="CCFFCC"/>
          </w:tcPr>
          <w:p>
            <w:pPr>
              <w:jc w:val="right"/>
              <w:ind w:right="220"/>
              <w:spacing w:after="0"/>
              <w:rPr>
                <w:sz w:val="20"/>
                <w:szCs w:val="20"/>
                <w:color w:val="auto"/>
              </w:rPr>
            </w:pPr>
            <w:r>
              <w:rPr>
                <w:rFonts w:ascii="Arial" w:cs="Arial" w:eastAsia="Arial" w:hAnsi="Arial"/>
                <w:sz w:val="16"/>
                <w:szCs w:val="16"/>
                <w:b w:val="1"/>
                <w:bCs w:val="1"/>
                <w:color w:val="auto"/>
              </w:rPr>
              <w:t>941,027</w:t>
            </w:r>
          </w:p>
        </w:tc>
        <w:tc>
          <w:tcPr>
            <w:tcW w:w="1220" w:type="dxa"/>
            <w:vAlign w:val="bottom"/>
            <w:gridSpan w:val="2"/>
            <w:shd w:val="clear" w:color="auto" w:fill="CCFFCC"/>
          </w:tcPr>
          <w:p>
            <w:pPr>
              <w:jc w:val="right"/>
              <w:ind w:right="220"/>
              <w:spacing w:after="0"/>
              <w:rPr>
                <w:sz w:val="20"/>
                <w:szCs w:val="20"/>
                <w:color w:val="auto"/>
              </w:rPr>
            </w:pPr>
            <w:r>
              <w:rPr>
                <w:rFonts w:ascii="Arial" w:cs="Arial" w:eastAsia="Arial" w:hAnsi="Arial"/>
                <w:sz w:val="16"/>
                <w:szCs w:val="16"/>
                <w:b w:val="1"/>
                <w:bCs w:val="1"/>
                <w:color w:val="auto"/>
              </w:rPr>
              <w:t>809,148</w:t>
            </w:r>
          </w:p>
        </w:tc>
        <w:tc>
          <w:tcPr>
            <w:tcW w:w="1280" w:type="dxa"/>
            <w:vAlign w:val="bottom"/>
            <w:gridSpan w:val="2"/>
            <w:shd w:val="clear" w:color="auto" w:fill="CCFFCC"/>
          </w:tcPr>
          <w:p>
            <w:pPr>
              <w:jc w:val="right"/>
              <w:ind w:right="100"/>
              <w:spacing w:after="0"/>
              <w:rPr>
                <w:sz w:val="20"/>
                <w:szCs w:val="20"/>
                <w:color w:val="auto"/>
              </w:rPr>
            </w:pPr>
            <w:r>
              <w:rPr>
                <w:rFonts w:ascii="Arial" w:cs="Arial" w:eastAsia="Arial" w:hAnsi="Arial"/>
                <w:sz w:val="16"/>
                <w:szCs w:val="16"/>
                <w:b w:val="1"/>
                <w:bCs w:val="1"/>
                <w:color w:val="auto"/>
              </w:rPr>
              <w:t>51.9%</w:t>
            </w:r>
          </w:p>
        </w:tc>
        <w:tc>
          <w:tcPr>
            <w:tcW w:w="1180" w:type="dxa"/>
            <w:vAlign w:val="bottom"/>
            <w:gridSpan w:val="2"/>
            <w:shd w:val="clear" w:color="auto" w:fill="CCFFCC"/>
          </w:tcPr>
          <w:p>
            <w:pPr>
              <w:jc w:val="right"/>
              <w:spacing w:after="0"/>
              <w:rPr>
                <w:sz w:val="20"/>
                <w:szCs w:val="20"/>
                <w:color w:val="auto"/>
              </w:rPr>
            </w:pPr>
            <w:r>
              <w:rPr>
                <w:rFonts w:ascii="Arial" w:cs="Arial" w:eastAsia="Arial" w:hAnsi="Arial"/>
                <w:sz w:val="16"/>
                <w:szCs w:val="16"/>
                <w:b w:val="1"/>
                <w:bCs w:val="1"/>
                <w:color w:val="auto"/>
              </w:rPr>
              <w:t>30.6%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60" w:type="dxa"/>
            <w:vAlign w:val="bottom"/>
          </w:tcPr>
          <w:p>
            <w:pPr>
              <w:spacing w:after="0"/>
              <w:rPr>
                <w:sz w:val="20"/>
                <w:szCs w:val="20"/>
                <w:color w:val="auto"/>
              </w:rPr>
            </w:pPr>
            <w:r>
              <w:rPr>
                <w:rFonts w:ascii="Arial" w:cs="Arial" w:eastAsia="Arial" w:hAnsi="Arial"/>
                <w:sz w:val="16"/>
                <w:szCs w:val="16"/>
                <w:b w:val="1"/>
                <w:bCs w:val="1"/>
                <w:color w:val="auto"/>
              </w:rPr>
              <w:t>Acceptances outstanding</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96,423</w:t>
            </w:r>
          </w:p>
        </w:tc>
        <w:tc>
          <w:tcPr>
            <w:tcW w:w="124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63,901</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232,580</w:t>
            </w:r>
          </w:p>
        </w:tc>
        <w:tc>
          <w:tcPr>
            <w:tcW w:w="128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-58.5%</w:t>
            </w:r>
          </w:p>
        </w:tc>
        <w:tc>
          <w:tcPr>
            <w:tcW w:w="1180" w:type="dxa"/>
            <w:vAlign w:val="bottom"/>
            <w:gridSpan w:val="2"/>
          </w:tcPr>
          <w:p>
            <w:pPr>
              <w:jc w:val="right"/>
              <w:spacing w:after="0"/>
              <w:rPr>
                <w:sz w:val="20"/>
                <w:szCs w:val="20"/>
                <w:color w:val="auto"/>
              </w:rPr>
            </w:pPr>
            <w:r>
              <w:rPr>
                <w:rFonts w:ascii="Arial" w:cs="Arial" w:eastAsia="Arial" w:hAnsi="Arial"/>
                <w:sz w:val="16"/>
                <w:szCs w:val="16"/>
                <w:b w:val="1"/>
                <w:bCs w:val="1"/>
                <w:color w:val="auto"/>
              </w:rPr>
              <w:t>50.9%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60" w:type="dxa"/>
            <w:vAlign w:val="bottom"/>
            <w:shd w:val="clear" w:color="auto" w:fill="CCFFCC"/>
          </w:tcPr>
          <w:p>
            <w:pPr>
              <w:spacing w:after="0"/>
              <w:rPr>
                <w:sz w:val="20"/>
                <w:szCs w:val="20"/>
                <w:color w:val="auto"/>
              </w:rPr>
            </w:pPr>
            <w:r>
              <w:rPr>
                <w:rFonts w:ascii="Arial" w:cs="Arial" w:eastAsia="Arial" w:hAnsi="Arial"/>
                <w:sz w:val="16"/>
                <w:szCs w:val="16"/>
                <w:b w:val="1"/>
                <w:bCs w:val="1"/>
                <w:color w:val="auto"/>
              </w:rPr>
              <w:t>Other liabilities</w:t>
            </w:r>
          </w:p>
        </w:tc>
        <w:tc>
          <w:tcPr>
            <w:tcW w:w="1220" w:type="dxa"/>
            <w:vAlign w:val="bottom"/>
            <w:gridSpan w:val="2"/>
            <w:shd w:val="clear" w:color="auto" w:fill="CCFFCC"/>
          </w:tcPr>
          <w:p>
            <w:pPr>
              <w:jc w:val="right"/>
              <w:ind w:right="220"/>
              <w:spacing w:after="0"/>
              <w:rPr>
                <w:sz w:val="20"/>
                <w:szCs w:val="20"/>
                <w:color w:val="auto"/>
              </w:rPr>
            </w:pPr>
            <w:r>
              <w:rPr>
                <w:rFonts w:ascii="Arial" w:cs="Arial" w:eastAsia="Arial" w:hAnsi="Arial"/>
                <w:sz w:val="16"/>
                <w:szCs w:val="16"/>
                <w:b w:val="1"/>
                <w:bCs w:val="1"/>
                <w:color w:val="auto"/>
              </w:rPr>
              <w:t>813,959</w:t>
            </w:r>
          </w:p>
        </w:tc>
        <w:tc>
          <w:tcPr>
            <w:tcW w:w="1240" w:type="dxa"/>
            <w:vAlign w:val="bottom"/>
            <w:gridSpan w:val="2"/>
            <w:shd w:val="clear" w:color="auto" w:fill="CCFFCC"/>
          </w:tcPr>
          <w:p>
            <w:pPr>
              <w:jc w:val="right"/>
              <w:ind w:right="220"/>
              <w:spacing w:after="0"/>
              <w:rPr>
                <w:sz w:val="20"/>
                <w:szCs w:val="20"/>
                <w:color w:val="auto"/>
              </w:rPr>
            </w:pPr>
            <w:r>
              <w:rPr>
                <w:rFonts w:ascii="Arial" w:cs="Arial" w:eastAsia="Arial" w:hAnsi="Arial"/>
                <w:sz w:val="16"/>
                <w:szCs w:val="16"/>
                <w:b w:val="1"/>
                <w:bCs w:val="1"/>
                <w:color w:val="auto"/>
              </w:rPr>
              <w:t>765,086</w:t>
            </w:r>
          </w:p>
        </w:tc>
        <w:tc>
          <w:tcPr>
            <w:tcW w:w="1220" w:type="dxa"/>
            <w:vAlign w:val="bottom"/>
            <w:gridSpan w:val="2"/>
            <w:shd w:val="clear" w:color="auto" w:fill="CCFFCC"/>
          </w:tcPr>
          <w:p>
            <w:pPr>
              <w:jc w:val="right"/>
              <w:ind w:right="220"/>
              <w:spacing w:after="0"/>
              <w:rPr>
                <w:sz w:val="20"/>
                <w:szCs w:val="20"/>
                <w:color w:val="auto"/>
              </w:rPr>
            </w:pPr>
            <w:r>
              <w:rPr>
                <w:rFonts w:ascii="Arial" w:cs="Arial" w:eastAsia="Arial" w:hAnsi="Arial"/>
                <w:sz w:val="16"/>
                <w:szCs w:val="16"/>
                <w:b w:val="1"/>
                <w:bCs w:val="1"/>
                <w:color w:val="auto"/>
              </w:rPr>
              <w:t>817,304</w:t>
            </w:r>
          </w:p>
        </w:tc>
        <w:tc>
          <w:tcPr>
            <w:tcW w:w="1280" w:type="dxa"/>
            <w:vAlign w:val="bottom"/>
            <w:gridSpan w:val="2"/>
            <w:shd w:val="clear" w:color="auto" w:fill="CCFFCC"/>
          </w:tcPr>
          <w:p>
            <w:pPr>
              <w:jc w:val="right"/>
              <w:ind w:right="100"/>
              <w:spacing w:after="0"/>
              <w:rPr>
                <w:sz w:val="20"/>
                <w:szCs w:val="20"/>
                <w:color w:val="auto"/>
              </w:rPr>
            </w:pPr>
            <w:r>
              <w:rPr>
                <w:rFonts w:ascii="Arial" w:cs="Arial" w:eastAsia="Arial" w:hAnsi="Arial"/>
                <w:sz w:val="16"/>
                <w:szCs w:val="16"/>
                <w:b w:val="1"/>
                <w:bCs w:val="1"/>
                <w:color w:val="auto"/>
              </w:rPr>
              <w:t>-0.4%</w:t>
            </w:r>
          </w:p>
        </w:tc>
        <w:tc>
          <w:tcPr>
            <w:tcW w:w="1180" w:type="dxa"/>
            <w:vAlign w:val="bottom"/>
            <w:gridSpan w:val="2"/>
            <w:shd w:val="clear" w:color="auto" w:fill="CCFFCC"/>
          </w:tcPr>
          <w:p>
            <w:pPr>
              <w:jc w:val="right"/>
              <w:spacing w:after="0"/>
              <w:rPr>
                <w:sz w:val="20"/>
                <w:szCs w:val="20"/>
                <w:color w:val="auto"/>
              </w:rPr>
            </w:pPr>
            <w:r>
              <w:rPr>
                <w:rFonts w:ascii="Arial" w:cs="Arial" w:eastAsia="Arial" w:hAnsi="Arial"/>
                <w:sz w:val="16"/>
                <w:szCs w:val="16"/>
                <w:b w:val="1"/>
                <w:bCs w:val="1"/>
                <w:color w:val="auto"/>
              </w:rPr>
              <w:t>6.4%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60" w:type="dxa"/>
            <w:vAlign w:val="bottom"/>
            <w:shd w:val="clear" w:color="auto" w:fill="CCFFCC"/>
          </w:tcPr>
          <w:p>
            <w:pPr>
              <w:jc w:val="center"/>
              <w:ind w:right="59"/>
              <w:spacing w:after="0"/>
              <w:rPr>
                <w:sz w:val="20"/>
                <w:szCs w:val="20"/>
                <w:color w:val="auto"/>
              </w:rPr>
            </w:pPr>
            <w:r>
              <w:rPr>
                <w:rFonts w:ascii="Arial" w:cs="Arial" w:eastAsia="Arial" w:hAnsi="Arial"/>
                <w:sz w:val="16"/>
                <w:szCs w:val="16"/>
                <w:b w:val="1"/>
                <w:bCs w:val="1"/>
                <w:color w:val="auto"/>
                <w:w w:val="93"/>
              </w:rPr>
              <w:t>Total liabilities</w:t>
            </w:r>
          </w:p>
        </w:tc>
        <w:tc>
          <w:tcPr>
            <w:tcW w:w="1220" w:type="dxa"/>
            <w:vAlign w:val="bottom"/>
            <w:gridSpan w:val="2"/>
            <w:shd w:val="clear" w:color="auto" w:fill="CCFFCC"/>
          </w:tcPr>
          <w:p>
            <w:pPr>
              <w:jc w:val="right"/>
              <w:ind w:right="220"/>
              <w:spacing w:after="0"/>
              <w:rPr>
                <w:sz w:val="20"/>
                <w:szCs w:val="20"/>
                <w:color w:val="auto"/>
              </w:rPr>
            </w:pPr>
            <w:r>
              <w:rPr>
                <w:rFonts w:ascii="Arial" w:cs="Arial" w:eastAsia="Arial" w:hAnsi="Arial"/>
                <w:sz w:val="16"/>
                <w:szCs w:val="16"/>
                <w:b w:val="1"/>
                <w:bCs w:val="1"/>
                <w:color w:val="auto"/>
              </w:rPr>
              <w:t>17,883,337</w:t>
            </w:r>
          </w:p>
        </w:tc>
        <w:tc>
          <w:tcPr>
            <w:tcW w:w="1240" w:type="dxa"/>
            <w:vAlign w:val="bottom"/>
            <w:gridSpan w:val="2"/>
            <w:shd w:val="clear" w:color="auto" w:fill="CCFFCC"/>
          </w:tcPr>
          <w:p>
            <w:pPr>
              <w:jc w:val="right"/>
              <w:ind w:right="220"/>
              <w:spacing w:after="0"/>
              <w:rPr>
                <w:sz w:val="20"/>
                <w:szCs w:val="20"/>
                <w:color w:val="auto"/>
              </w:rPr>
            </w:pPr>
            <w:r>
              <w:rPr>
                <w:rFonts w:ascii="Arial" w:cs="Arial" w:eastAsia="Arial" w:hAnsi="Arial"/>
                <w:sz w:val="16"/>
                <w:szCs w:val="16"/>
                <w:b w:val="1"/>
                <w:bCs w:val="1"/>
                <w:color w:val="auto"/>
              </w:rPr>
              <w:t>16,319,880</w:t>
            </w:r>
          </w:p>
        </w:tc>
        <w:tc>
          <w:tcPr>
            <w:tcW w:w="1220" w:type="dxa"/>
            <w:vAlign w:val="bottom"/>
            <w:gridSpan w:val="2"/>
            <w:shd w:val="clear" w:color="auto" w:fill="CCFFCC"/>
          </w:tcPr>
          <w:p>
            <w:pPr>
              <w:jc w:val="right"/>
              <w:ind w:right="220"/>
              <w:spacing w:after="0"/>
              <w:rPr>
                <w:sz w:val="20"/>
                <w:szCs w:val="20"/>
                <w:color w:val="auto"/>
              </w:rPr>
            </w:pPr>
            <w:r>
              <w:rPr>
                <w:rFonts w:ascii="Arial" w:cs="Arial" w:eastAsia="Arial" w:hAnsi="Arial"/>
                <w:sz w:val="16"/>
                <w:szCs w:val="16"/>
                <w:b w:val="1"/>
                <w:bCs w:val="1"/>
                <w:color w:val="auto"/>
              </w:rPr>
              <w:t>17,102,615</w:t>
            </w:r>
          </w:p>
        </w:tc>
        <w:tc>
          <w:tcPr>
            <w:tcW w:w="1280" w:type="dxa"/>
            <w:vAlign w:val="bottom"/>
            <w:gridSpan w:val="2"/>
            <w:shd w:val="clear" w:color="auto" w:fill="CCFFCC"/>
          </w:tcPr>
          <w:p>
            <w:pPr>
              <w:jc w:val="right"/>
              <w:ind w:right="100"/>
              <w:spacing w:after="0"/>
              <w:rPr>
                <w:sz w:val="20"/>
                <w:szCs w:val="20"/>
                <w:color w:val="auto"/>
              </w:rPr>
            </w:pPr>
            <w:r>
              <w:rPr>
                <w:rFonts w:ascii="Arial" w:cs="Arial" w:eastAsia="Arial" w:hAnsi="Arial"/>
                <w:sz w:val="16"/>
                <w:szCs w:val="16"/>
                <w:b w:val="1"/>
                <w:bCs w:val="1"/>
                <w:color w:val="auto"/>
              </w:rPr>
              <w:t>4.6%</w:t>
            </w:r>
          </w:p>
        </w:tc>
        <w:tc>
          <w:tcPr>
            <w:tcW w:w="1180" w:type="dxa"/>
            <w:vAlign w:val="bottom"/>
            <w:gridSpan w:val="2"/>
            <w:shd w:val="clear" w:color="auto" w:fill="CCFFCC"/>
          </w:tcPr>
          <w:p>
            <w:pPr>
              <w:jc w:val="right"/>
              <w:spacing w:after="0"/>
              <w:rPr>
                <w:sz w:val="20"/>
                <w:szCs w:val="20"/>
                <w:color w:val="auto"/>
              </w:rPr>
            </w:pPr>
            <w:r>
              <w:rPr>
                <w:rFonts w:ascii="Arial" w:cs="Arial" w:eastAsia="Arial" w:hAnsi="Arial"/>
                <w:sz w:val="16"/>
                <w:szCs w:val="16"/>
                <w:b w:val="1"/>
                <w:bCs w:val="1"/>
                <w:color w:val="auto"/>
              </w:rPr>
              <w:t>9.6%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5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260" w:type="dxa"/>
            <w:vAlign w:val="bottom"/>
            <w:shd w:val="clear" w:color="auto" w:fill="CCFFCC"/>
          </w:tcPr>
          <w:p>
            <w:pPr>
              <w:spacing w:after="0"/>
              <w:rPr>
                <w:sz w:val="20"/>
                <w:szCs w:val="20"/>
                <w:color w:val="auto"/>
              </w:rPr>
            </w:pPr>
            <w:r>
              <w:rPr>
                <w:rFonts w:ascii="Arial" w:cs="Arial" w:eastAsia="Arial" w:hAnsi="Arial"/>
                <w:sz w:val="16"/>
                <w:szCs w:val="16"/>
                <w:b w:val="1"/>
                <w:bCs w:val="1"/>
                <w:color w:val="auto"/>
              </w:rPr>
              <w:t>NET SHAREHOLDERS' EQUITY</w:t>
            </w:r>
          </w:p>
        </w:tc>
        <w:tc>
          <w:tcPr>
            <w:tcW w:w="1220" w:type="dxa"/>
            <w:vAlign w:val="bottom"/>
            <w:gridSpan w:val="2"/>
            <w:shd w:val="clear" w:color="auto" w:fill="CCFFCC"/>
          </w:tcPr>
          <w:p>
            <w:pPr>
              <w:jc w:val="right"/>
              <w:ind w:right="220"/>
              <w:spacing w:after="0"/>
              <w:rPr>
                <w:sz w:val="20"/>
                <w:szCs w:val="20"/>
                <w:color w:val="auto"/>
              </w:rPr>
            </w:pPr>
            <w:r>
              <w:rPr>
                <w:rFonts w:ascii="Arial" w:cs="Arial" w:eastAsia="Arial" w:hAnsi="Arial"/>
                <w:sz w:val="16"/>
                <w:szCs w:val="16"/>
                <w:b w:val="1"/>
                <w:bCs w:val="1"/>
                <w:color w:val="auto"/>
              </w:rPr>
              <w:t>1,675,533</w:t>
            </w:r>
          </w:p>
        </w:tc>
        <w:tc>
          <w:tcPr>
            <w:tcW w:w="1240" w:type="dxa"/>
            <w:vAlign w:val="bottom"/>
            <w:gridSpan w:val="2"/>
            <w:shd w:val="clear" w:color="auto" w:fill="CCFFCC"/>
          </w:tcPr>
          <w:p>
            <w:pPr>
              <w:jc w:val="right"/>
              <w:ind w:right="220"/>
              <w:spacing w:after="0"/>
              <w:rPr>
                <w:sz w:val="20"/>
                <w:szCs w:val="20"/>
                <w:color w:val="auto"/>
              </w:rPr>
            </w:pPr>
            <w:r>
              <w:rPr>
                <w:rFonts w:ascii="Arial" w:cs="Arial" w:eastAsia="Arial" w:hAnsi="Arial"/>
                <w:sz w:val="16"/>
                <w:szCs w:val="16"/>
                <w:b w:val="1"/>
                <w:bCs w:val="1"/>
                <w:color w:val="auto"/>
              </w:rPr>
              <w:t>1,556,224</w:t>
            </w:r>
          </w:p>
        </w:tc>
        <w:tc>
          <w:tcPr>
            <w:tcW w:w="1220" w:type="dxa"/>
            <w:vAlign w:val="bottom"/>
            <w:gridSpan w:val="2"/>
            <w:shd w:val="clear" w:color="auto" w:fill="CCFFCC"/>
          </w:tcPr>
          <w:p>
            <w:pPr>
              <w:jc w:val="right"/>
              <w:ind w:right="220"/>
              <w:spacing w:after="0"/>
              <w:rPr>
                <w:sz w:val="20"/>
                <w:szCs w:val="20"/>
                <w:color w:val="auto"/>
              </w:rPr>
            </w:pPr>
            <w:r>
              <w:rPr>
                <w:rFonts w:ascii="Arial" w:cs="Arial" w:eastAsia="Arial" w:hAnsi="Arial"/>
                <w:sz w:val="16"/>
                <w:szCs w:val="16"/>
                <w:b w:val="1"/>
                <w:bCs w:val="1"/>
                <w:color w:val="auto"/>
              </w:rPr>
              <w:t>1,400,404</w:t>
            </w:r>
          </w:p>
        </w:tc>
        <w:tc>
          <w:tcPr>
            <w:tcW w:w="1280" w:type="dxa"/>
            <w:vAlign w:val="bottom"/>
            <w:gridSpan w:val="2"/>
            <w:shd w:val="clear" w:color="auto" w:fill="CCFFCC"/>
          </w:tcPr>
          <w:p>
            <w:pPr>
              <w:jc w:val="right"/>
              <w:ind w:right="100"/>
              <w:spacing w:after="0"/>
              <w:rPr>
                <w:sz w:val="20"/>
                <w:szCs w:val="20"/>
                <w:color w:val="auto"/>
              </w:rPr>
            </w:pPr>
            <w:r>
              <w:rPr>
                <w:rFonts w:ascii="Arial" w:cs="Arial" w:eastAsia="Arial" w:hAnsi="Arial"/>
                <w:sz w:val="16"/>
                <w:szCs w:val="16"/>
                <w:b w:val="1"/>
                <w:bCs w:val="1"/>
                <w:color w:val="auto"/>
              </w:rPr>
              <w:t>19.6%</w:t>
            </w:r>
          </w:p>
        </w:tc>
        <w:tc>
          <w:tcPr>
            <w:tcW w:w="1180" w:type="dxa"/>
            <w:vAlign w:val="bottom"/>
            <w:gridSpan w:val="2"/>
            <w:shd w:val="clear" w:color="auto" w:fill="CCFFCC"/>
          </w:tcPr>
          <w:p>
            <w:pPr>
              <w:jc w:val="right"/>
              <w:spacing w:after="0"/>
              <w:rPr>
                <w:sz w:val="20"/>
                <w:szCs w:val="20"/>
                <w:color w:val="auto"/>
              </w:rPr>
            </w:pPr>
            <w:r>
              <w:rPr>
                <w:rFonts w:ascii="Arial" w:cs="Arial" w:eastAsia="Arial" w:hAnsi="Arial"/>
                <w:sz w:val="16"/>
                <w:szCs w:val="16"/>
                <w:b w:val="1"/>
                <w:bCs w:val="1"/>
                <w:color w:val="auto"/>
              </w:rPr>
              <w:t>7.7%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60" w:type="dxa"/>
            <w:vAlign w:val="bottom"/>
          </w:tcPr>
          <w:p>
            <w:pPr>
              <w:ind w:left="160"/>
              <w:spacing w:after="0"/>
              <w:rPr>
                <w:sz w:val="20"/>
                <w:szCs w:val="20"/>
                <w:color w:val="auto"/>
              </w:rPr>
            </w:pPr>
            <w:r>
              <w:rPr>
                <w:rFonts w:ascii="Arial" w:cs="Arial" w:eastAsia="Arial" w:hAnsi="Arial"/>
                <w:sz w:val="16"/>
                <w:szCs w:val="16"/>
                <w:color w:val="auto"/>
              </w:rPr>
              <w:t>Capital stock</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667,250</w:t>
            </w: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667,250</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439,474</w:t>
            </w:r>
          </w:p>
        </w:tc>
        <w:tc>
          <w:tcPr>
            <w:tcW w:w="1280" w:type="dxa"/>
            <w:vAlign w:val="bottom"/>
            <w:gridSpan w:val="2"/>
          </w:tcPr>
          <w:p>
            <w:pPr>
              <w:jc w:val="right"/>
              <w:ind w:right="140"/>
              <w:spacing w:after="0"/>
              <w:rPr>
                <w:sz w:val="20"/>
                <w:szCs w:val="20"/>
                <w:color w:val="auto"/>
              </w:rPr>
            </w:pPr>
            <w:r>
              <w:rPr>
                <w:rFonts w:ascii="Arial" w:cs="Arial" w:eastAsia="Arial" w:hAnsi="Arial"/>
                <w:sz w:val="16"/>
                <w:szCs w:val="16"/>
                <w:color w:val="auto"/>
              </w:rPr>
              <w:t>51.8%</w:t>
            </w:r>
          </w:p>
        </w:tc>
        <w:tc>
          <w:tcPr>
            <w:tcW w:w="1180" w:type="dxa"/>
            <w:vAlign w:val="bottom"/>
            <w:gridSpan w:val="2"/>
          </w:tcPr>
          <w:p>
            <w:pPr>
              <w:jc w:val="right"/>
              <w:ind w:right="20"/>
              <w:spacing w:after="0"/>
              <w:rPr>
                <w:sz w:val="20"/>
                <w:szCs w:val="20"/>
                <w:color w:val="auto"/>
              </w:rPr>
            </w:pPr>
            <w:r>
              <w:rPr>
                <w:rFonts w:ascii="Arial" w:cs="Arial" w:eastAsia="Arial" w:hAnsi="Arial"/>
                <w:sz w:val="16"/>
                <w:szCs w:val="16"/>
                <w:color w:val="auto"/>
              </w:rPr>
              <w:t>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60" w:type="dxa"/>
            <w:vAlign w:val="bottom"/>
            <w:shd w:val="clear" w:color="auto" w:fill="CCFFCC"/>
          </w:tcPr>
          <w:p>
            <w:pPr>
              <w:ind w:left="160"/>
              <w:spacing w:after="0"/>
              <w:rPr>
                <w:sz w:val="20"/>
                <w:szCs w:val="20"/>
                <w:color w:val="auto"/>
              </w:rPr>
            </w:pPr>
            <w:r>
              <w:rPr>
                <w:rFonts w:ascii="Arial" w:cs="Arial" w:eastAsia="Arial" w:hAnsi="Arial"/>
                <w:sz w:val="16"/>
                <w:szCs w:val="16"/>
                <w:color w:val="auto"/>
              </w:rPr>
              <w:t>Reserves</w:t>
            </w:r>
          </w:p>
        </w:tc>
        <w:tc>
          <w:tcPr>
            <w:tcW w:w="1220" w:type="dxa"/>
            <w:vAlign w:val="bottom"/>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388,275</w:t>
            </w:r>
          </w:p>
        </w:tc>
        <w:tc>
          <w:tcPr>
            <w:tcW w:w="1240" w:type="dxa"/>
            <w:vAlign w:val="bottom"/>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388,275</w:t>
            </w:r>
          </w:p>
        </w:tc>
        <w:tc>
          <w:tcPr>
            <w:tcW w:w="1220" w:type="dxa"/>
            <w:vAlign w:val="bottom"/>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388,062</w:t>
            </w:r>
          </w:p>
        </w:tc>
        <w:tc>
          <w:tcPr>
            <w:tcW w:w="1280" w:type="dxa"/>
            <w:vAlign w:val="bottom"/>
            <w:gridSpan w:val="2"/>
            <w:shd w:val="clear" w:color="auto" w:fill="CCFFCC"/>
          </w:tcPr>
          <w:p>
            <w:pPr>
              <w:jc w:val="right"/>
              <w:ind w:right="140"/>
              <w:spacing w:after="0"/>
              <w:rPr>
                <w:sz w:val="20"/>
                <w:szCs w:val="20"/>
                <w:color w:val="auto"/>
              </w:rPr>
            </w:pPr>
            <w:r>
              <w:rPr>
                <w:rFonts w:ascii="Arial" w:cs="Arial" w:eastAsia="Arial" w:hAnsi="Arial"/>
                <w:sz w:val="16"/>
                <w:szCs w:val="16"/>
                <w:color w:val="auto"/>
              </w:rPr>
              <w:t>0.1%</w:t>
            </w:r>
          </w:p>
        </w:tc>
        <w:tc>
          <w:tcPr>
            <w:tcW w:w="1180" w:type="dxa"/>
            <w:vAlign w:val="bottom"/>
            <w:gridSpan w:val="2"/>
            <w:shd w:val="clear" w:color="auto" w:fill="CCFFCC"/>
          </w:tcPr>
          <w:p>
            <w:pPr>
              <w:jc w:val="right"/>
              <w:ind w:right="20"/>
              <w:spacing w:after="0"/>
              <w:rPr>
                <w:sz w:val="20"/>
                <w:szCs w:val="20"/>
                <w:color w:val="auto"/>
              </w:rPr>
            </w:pPr>
            <w:r>
              <w:rPr>
                <w:rFonts w:ascii="Arial" w:cs="Arial" w:eastAsia="Arial" w:hAnsi="Arial"/>
                <w:sz w:val="16"/>
                <w:szCs w:val="16"/>
                <w:color w:val="auto"/>
              </w:rPr>
              <w:t>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60" w:type="dxa"/>
            <w:vAlign w:val="bottom"/>
          </w:tcPr>
          <w:p>
            <w:pPr>
              <w:ind w:left="160"/>
              <w:spacing w:after="0"/>
              <w:rPr>
                <w:sz w:val="20"/>
                <w:szCs w:val="20"/>
                <w:color w:val="auto"/>
              </w:rPr>
            </w:pPr>
            <w:r>
              <w:rPr>
                <w:rFonts w:ascii="Arial" w:cs="Arial" w:eastAsia="Arial" w:hAnsi="Arial"/>
                <w:sz w:val="16"/>
                <w:szCs w:val="16"/>
                <w:color w:val="auto"/>
              </w:rPr>
              <w:t>Unrealized Gains and Losses</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106,708</w:t>
            </w: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94,797</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34,746</w:t>
            </w:r>
          </w:p>
        </w:tc>
        <w:tc>
          <w:tcPr>
            <w:tcW w:w="1280" w:type="dxa"/>
            <w:vAlign w:val="bottom"/>
            <w:gridSpan w:val="2"/>
          </w:tcPr>
          <w:p>
            <w:pPr>
              <w:jc w:val="right"/>
              <w:ind w:right="140"/>
              <w:spacing w:after="0"/>
              <w:rPr>
                <w:sz w:val="20"/>
                <w:szCs w:val="20"/>
                <w:color w:val="auto"/>
              </w:rPr>
            </w:pPr>
            <w:r>
              <w:rPr>
                <w:rFonts w:ascii="Arial" w:cs="Arial" w:eastAsia="Arial" w:hAnsi="Arial"/>
                <w:sz w:val="16"/>
                <w:szCs w:val="16"/>
                <w:color w:val="auto"/>
              </w:rPr>
              <w:t>207.1%</w:t>
            </w:r>
          </w:p>
        </w:tc>
        <w:tc>
          <w:tcPr>
            <w:tcW w:w="1180" w:type="dxa"/>
            <w:vAlign w:val="bottom"/>
            <w:gridSpan w:val="2"/>
          </w:tcPr>
          <w:p>
            <w:pPr>
              <w:jc w:val="right"/>
              <w:ind w:right="20"/>
              <w:spacing w:after="0"/>
              <w:rPr>
                <w:sz w:val="20"/>
                <w:szCs w:val="20"/>
                <w:color w:val="auto"/>
              </w:rPr>
            </w:pPr>
            <w:r>
              <w:rPr>
                <w:rFonts w:ascii="Arial" w:cs="Arial" w:eastAsia="Arial" w:hAnsi="Arial"/>
                <w:sz w:val="16"/>
                <w:szCs w:val="16"/>
                <w:color w:val="auto"/>
              </w:rPr>
              <w:t>12.6%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60" w:type="dxa"/>
            <w:vAlign w:val="bottom"/>
            <w:shd w:val="clear" w:color="auto" w:fill="CCFFCC"/>
          </w:tcPr>
          <w:p>
            <w:pPr>
              <w:ind w:left="160"/>
              <w:spacing w:after="0"/>
              <w:rPr>
                <w:sz w:val="20"/>
                <w:szCs w:val="20"/>
                <w:color w:val="auto"/>
              </w:rPr>
            </w:pPr>
            <w:r>
              <w:rPr>
                <w:rFonts w:ascii="Arial" w:cs="Arial" w:eastAsia="Arial" w:hAnsi="Arial"/>
                <w:sz w:val="16"/>
                <w:szCs w:val="16"/>
                <w:color w:val="auto"/>
              </w:rPr>
              <w:t>Retained Earnings</w:t>
            </w:r>
          </w:p>
        </w:tc>
        <w:tc>
          <w:tcPr>
            <w:tcW w:w="1220" w:type="dxa"/>
            <w:vAlign w:val="bottom"/>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115,922</w:t>
            </w:r>
          </w:p>
        </w:tc>
        <w:tc>
          <w:tcPr>
            <w:tcW w:w="1240" w:type="dxa"/>
            <w:vAlign w:val="bottom"/>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115,922</w:t>
            </w:r>
          </w:p>
        </w:tc>
        <w:tc>
          <w:tcPr>
            <w:tcW w:w="1220" w:type="dxa"/>
            <w:vAlign w:val="bottom"/>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114,593</w:t>
            </w:r>
          </w:p>
        </w:tc>
        <w:tc>
          <w:tcPr>
            <w:tcW w:w="1280" w:type="dxa"/>
            <w:vAlign w:val="bottom"/>
            <w:gridSpan w:val="2"/>
            <w:shd w:val="clear" w:color="auto" w:fill="CCFFCC"/>
          </w:tcPr>
          <w:p>
            <w:pPr>
              <w:jc w:val="right"/>
              <w:ind w:right="140"/>
              <w:spacing w:after="0"/>
              <w:rPr>
                <w:sz w:val="20"/>
                <w:szCs w:val="20"/>
                <w:color w:val="auto"/>
              </w:rPr>
            </w:pPr>
            <w:r>
              <w:rPr>
                <w:rFonts w:ascii="Arial" w:cs="Arial" w:eastAsia="Arial" w:hAnsi="Arial"/>
                <w:sz w:val="16"/>
                <w:szCs w:val="16"/>
                <w:color w:val="auto"/>
              </w:rPr>
              <w:t>1.2%</w:t>
            </w:r>
          </w:p>
        </w:tc>
        <w:tc>
          <w:tcPr>
            <w:tcW w:w="1180" w:type="dxa"/>
            <w:vAlign w:val="bottom"/>
            <w:gridSpan w:val="2"/>
            <w:shd w:val="clear" w:color="auto" w:fill="CCFFCC"/>
          </w:tcPr>
          <w:p>
            <w:pPr>
              <w:jc w:val="right"/>
              <w:ind w:right="20"/>
              <w:spacing w:after="0"/>
              <w:rPr>
                <w:sz w:val="20"/>
                <w:szCs w:val="20"/>
                <w:color w:val="auto"/>
              </w:rPr>
            </w:pPr>
            <w:r>
              <w:rPr>
                <w:rFonts w:ascii="Arial" w:cs="Arial" w:eastAsia="Arial" w:hAnsi="Arial"/>
                <w:sz w:val="16"/>
                <w:szCs w:val="16"/>
                <w:color w:val="auto"/>
              </w:rPr>
              <w:t>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60" w:type="dxa"/>
            <w:vAlign w:val="bottom"/>
          </w:tcPr>
          <w:p>
            <w:pPr>
              <w:ind w:left="160"/>
              <w:spacing w:after="0"/>
              <w:rPr>
                <w:sz w:val="20"/>
                <w:szCs w:val="20"/>
                <w:color w:val="auto"/>
              </w:rPr>
            </w:pPr>
            <w:r>
              <w:rPr>
                <w:rFonts w:ascii="Arial" w:cs="Arial" w:eastAsia="Arial" w:hAnsi="Arial"/>
                <w:sz w:val="16"/>
                <w:szCs w:val="16"/>
                <w:color w:val="auto"/>
              </w:rPr>
              <w:t>Income for the year</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397,378</w:t>
            </w: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289,980</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423,529</w:t>
            </w:r>
          </w:p>
        </w:tc>
        <w:tc>
          <w:tcPr>
            <w:tcW w:w="1280" w:type="dxa"/>
            <w:vAlign w:val="bottom"/>
            <w:gridSpan w:val="2"/>
          </w:tcPr>
          <w:p>
            <w:pPr>
              <w:jc w:val="right"/>
              <w:ind w:right="140"/>
              <w:spacing w:after="0"/>
              <w:rPr>
                <w:sz w:val="20"/>
                <w:szCs w:val="20"/>
                <w:color w:val="auto"/>
              </w:rPr>
            </w:pPr>
            <w:r>
              <w:rPr>
                <w:rFonts w:ascii="Arial" w:cs="Arial" w:eastAsia="Arial" w:hAnsi="Arial"/>
                <w:sz w:val="16"/>
                <w:szCs w:val="16"/>
                <w:color w:val="auto"/>
              </w:rPr>
              <w:t>-6.2%</w:t>
            </w:r>
          </w:p>
        </w:tc>
        <w:tc>
          <w:tcPr>
            <w:tcW w:w="1180" w:type="dxa"/>
            <w:vAlign w:val="bottom"/>
            <w:gridSpan w:val="2"/>
          </w:tcPr>
          <w:p>
            <w:pPr>
              <w:jc w:val="right"/>
              <w:ind w:right="20"/>
              <w:spacing w:after="0"/>
              <w:rPr>
                <w:sz w:val="20"/>
                <w:szCs w:val="20"/>
                <w:color w:val="auto"/>
              </w:rPr>
            </w:pPr>
            <w:r>
              <w:rPr>
                <w:rFonts w:ascii="Arial" w:cs="Arial" w:eastAsia="Arial" w:hAnsi="Arial"/>
                <w:sz w:val="16"/>
                <w:szCs w:val="16"/>
                <w:color w:val="auto"/>
              </w:rPr>
              <w:t>37.0%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60" w:type="dxa"/>
            <w:vAlign w:val="bottom"/>
            <w:shd w:val="clear" w:color="auto" w:fill="CCFFCC"/>
          </w:tcPr>
          <w:p>
            <w:pPr>
              <w:spacing w:after="0"/>
              <w:rPr>
                <w:sz w:val="17"/>
                <w:szCs w:val="17"/>
                <w:color w:val="auto"/>
              </w:rPr>
            </w:pPr>
          </w:p>
        </w:tc>
        <w:tc>
          <w:tcPr>
            <w:tcW w:w="100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02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00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02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102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60" w:type="dxa"/>
            <w:vAlign w:val="bottom"/>
          </w:tcPr>
          <w:p>
            <w:pPr>
              <w:ind w:left="160"/>
              <w:spacing w:after="0"/>
              <w:rPr>
                <w:sz w:val="20"/>
                <w:szCs w:val="20"/>
                <w:color w:val="auto"/>
              </w:rPr>
            </w:pPr>
            <w:r>
              <w:rPr>
                <w:rFonts w:ascii="Arial" w:cs="Arial" w:eastAsia="Arial" w:hAnsi="Arial"/>
                <w:sz w:val="16"/>
                <w:szCs w:val="16"/>
                <w:color w:val="auto"/>
              </w:rPr>
              <w:t>Minority interest</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4,439</w:t>
            </w: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4,126</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4,414</w:t>
            </w:r>
          </w:p>
        </w:tc>
        <w:tc>
          <w:tcPr>
            <w:tcW w:w="1280" w:type="dxa"/>
            <w:vAlign w:val="bottom"/>
            <w:gridSpan w:val="2"/>
          </w:tcPr>
          <w:p>
            <w:pPr>
              <w:jc w:val="right"/>
              <w:ind w:right="140"/>
              <w:spacing w:after="0"/>
              <w:rPr>
                <w:sz w:val="20"/>
                <w:szCs w:val="20"/>
                <w:color w:val="auto"/>
              </w:rPr>
            </w:pPr>
            <w:r>
              <w:rPr>
                <w:rFonts w:ascii="Arial" w:cs="Arial" w:eastAsia="Arial" w:hAnsi="Arial"/>
                <w:sz w:val="16"/>
                <w:szCs w:val="16"/>
                <w:color w:val="auto"/>
              </w:rPr>
              <w:t>0.6%</w:t>
            </w:r>
          </w:p>
        </w:tc>
        <w:tc>
          <w:tcPr>
            <w:tcW w:w="1180" w:type="dxa"/>
            <w:vAlign w:val="bottom"/>
            <w:gridSpan w:val="2"/>
          </w:tcPr>
          <w:p>
            <w:pPr>
              <w:jc w:val="right"/>
              <w:ind w:right="20"/>
              <w:spacing w:after="0"/>
              <w:rPr>
                <w:sz w:val="20"/>
                <w:szCs w:val="20"/>
                <w:color w:val="auto"/>
              </w:rPr>
            </w:pPr>
            <w:r>
              <w:rPr>
                <w:rFonts w:ascii="Arial" w:cs="Arial" w:eastAsia="Arial" w:hAnsi="Arial"/>
                <w:sz w:val="16"/>
                <w:szCs w:val="16"/>
                <w:color w:val="auto"/>
              </w:rPr>
              <w:t>7.6%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5260" w:type="dxa"/>
            <w:vAlign w:val="bottom"/>
            <w:shd w:val="clear" w:color="auto" w:fill="CCFFCC"/>
          </w:tcPr>
          <w:p>
            <w:pPr>
              <w:spacing w:after="0"/>
              <w:rPr>
                <w:sz w:val="17"/>
                <w:szCs w:val="17"/>
                <w:color w:val="auto"/>
              </w:rPr>
            </w:pPr>
          </w:p>
        </w:tc>
        <w:tc>
          <w:tcPr>
            <w:tcW w:w="100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02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00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02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102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260" w:type="dxa"/>
            <w:vAlign w:val="bottom"/>
          </w:tcPr>
          <w:p>
            <w:pPr>
              <w:spacing w:after="0"/>
              <w:rPr>
                <w:sz w:val="20"/>
                <w:szCs w:val="20"/>
                <w:color w:val="auto"/>
              </w:rPr>
            </w:pPr>
            <w:r>
              <w:rPr>
                <w:rFonts w:ascii="Arial" w:cs="Arial" w:eastAsia="Arial" w:hAnsi="Arial"/>
                <w:sz w:val="16"/>
                <w:szCs w:val="16"/>
                <w:b w:val="1"/>
                <w:bCs w:val="1"/>
                <w:color w:val="auto"/>
              </w:rPr>
              <w:t>TOTAL LIABILITIES and NET SHAREHOLDERS' EQUITY</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19,563,309</w:t>
            </w:r>
          </w:p>
        </w:tc>
        <w:tc>
          <w:tcPr>
            <w:tcW w:w="124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17,880,230</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18,507,433</w:t>
            </w:r>
          </w:p>
        </w:tc>
        <w:tc>
          <w:tcPr>
            <w:tcW w:w="128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5.7%</w:t>
            </w:r>
          </w:p>
        </w:tc>
        <w:tc>
          <w:tcPr>
            <w:tcW w:w="1180" w:type="dxa"/>
            <w:vAlign w:val="bottom"/>
            <w:gridSpan w:val="2"/>
          </w:tcPr>
          <w:p>
            <w:pPr>
              <w:jc w:val="right"/>
              <w:spacing w:after="0"/>
              <w:rPr>
                <w:sz w:val="20"/>
                <w:szCs w:val="20"/>
                <w:color w:val="auto"/>
              </w:rPr>
            </w:pPr>
            <w:r>
              <w:rPr>
                <w:rFonts w:ascii="Arial" w:cs="Arial" w:eastAsia="Arial" w:hAnsi="Arial"/>
                <w:sz w:val="16"/>
                <w:szCs w:val="16"/>
                <w:b w:val="1"/>
                <w:bCs w:val="1"/>
                <w:color w:val="auto"/>
              </w:rPr>
              <w:t>9.4%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5260" w:type="dxa"/>
            <w:vAlign w:val="bottom"/>
            <w:shd w:val="clear" w:color="auto" w:fill="CCFFCC"/>
          </w:tcPr>
          <w:p>
            <w:pPr>
              <w:spacing w:after="0"/>
              <w:rPr>
                <w:sz w:val="17"/>
                <w:szCs w:val="17"/>
                <w:color w:val="auto"/>
              </w:rPr>
            </w:pPr>
          </w:p>
        </w:tc>
        <w:tc>
          <w:tcPr>
            <w:tcW w:w="100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02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00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02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102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5260" w:type="dxa"/>
            <w:vAlign w:val="bottom"/>
          </w:tcPr>
          <w:p>
            <w:pPr>
              <w:spacing w:after="0"/>
              <w:rPr>
                <w:sz w:val="20"/>
                <w:szCs w:val="20"/>
                <w:color w:val="auto"/>
              </w:rPr>
            </w:pPr>
            <w:r>
              <w:rPr>
                <w:rFonts w:ascii="Arial" w:cs="Arial" w:eastAsia="Arial" w:hAnsi="Arial"/>
                <w:sz w:val="16"/>
                <w:szCs w:val="16"/>
                <w:color w:val="auto"/>
              </w:rPr>
              <w:t>CONTINGENT CREDITS</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7,780,722</w:t>
            </w: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7,713,584</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6,047,377</w:t>
            </w:r>
          </w:p>
        </w:tc>
        <w:tc>
          <w:tcPr>
            <w:tcW w:w="1280" w:type="dxa"/>
            <w:vAlign w:val="bottom"/>
            <w:gridSpan w:val="2"/>
          </w:tcPr>
          <w:p>
            <w:pPr>
              <w:jc w:val="right"/>
              <w:ind w:right="140"/>
              <w:spacing w:after="0"/>
              <w:rPr>
                <w:sz w:val="20"/>
                <w:szCs w:val="20"/>
                <w:color w:val="auto"/>
              </w:rPr>
            </w:pPr>
            <w:r>
              <w:rPr>
                <w:rFonts w:ascii="Arial" w:cs="Arial" w:eastAsia="Arial" w:hAnsi="Arial"/>
                <w:sz w:val="16"/>
                <w:szCs w:val="16"/>
                <w:color w:val="auto"/>
              </w:rPr>
              <w:t>28.7%</w:t>
            </w:r>
          </w:p>
        </w:tc>
        <w:tc>
          <w:tcPr>
            <w:tcW w:w="1180" w:type="dxa"/>
            <w:vAlign w:val="bottom"/>
            <w:gridSpan w:val="2"/>
          </w:tcPr>
          <w:p>
            <w:pPr>
              <w:jc w:val="right"/>
              <w:ind w:right="20"/>
              <w:spacing w:after="0"/>
              <w:rPr>
                <w:sz w:val="20"/>
                <w:szCs w:val="20"/>
                <w:color w:val="auto"/>
              </w:rPr>
            </w:pPr>
            <w:r>
              <w:rPr>
                <w:rFonts w:ascii="Arial" w:cs="Arial" w:eastAsia="Arial" w:hAnsi="Arial"/>
                <w:sz w:val="16"/>
                <w:szCs w:val="16"/>
                <w:color w:val="auto"/>
              </w:rPr>
              <w:t>0.9%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04"/>
        </w:trPr>
        <w:tc>
          <w:tcPr>
            <w:tcW w:w="2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gridSpan w:val="3"/>
          </w:tcPr>
          <w:p>
            <w:pPr>
              <w:jc w:val="right"/>
              <w:ind w:right="2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26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6" w:right="23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6254750</wp:posOffset>
            </wp:positionH>
            <wp:positionV relativeFrom="page">
              <wp:posOffset>337820</wp:posOffset>
            </wp:positionV>
            <wp:extent cx="1149350" cy="3175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clrChange>
                        <a:clrFrom>
                          <a:srgbClr val="FFFFFF"/>
                        </a:clrFrom>
                        <a:clrTo>
                          <a:srgbClr val="FFFFFF">
                            <a:alpha val="0"/>
                          </a:srgbClr>
                        </a:clrTo>
                      </a:clrChange>
                      <a:extLst>
                        <a:ext uri="{28A0092B-C50C-407E-A947-70E740481C1C}"/>
                      </a:extLst>
                    </a:blip>
                    <a:srcRect/>
                    <a:stretch>
                      <a:fillRect/>
                    </a:stretch>
                  </pic:blipFill>
                  <pic:spPr bwMode="auto">
                    <a:xfrm>
                      <a:off x="0" y="0"/>
                      <a:ext cx="1149350" cy="317500"/>
                    </a:xfrm>
                    <a:prstGeom prst="rect">
                      <a:avLst/>
                    </a:prstGeom>
                    <a:noFill/>
                  </pic:spPr>
                </pic:pic>
              </a:graphicData>
            </a:graphic>
          </wp:anchor>
        </w:drawing>
        <w:t>BANCO DE CREDITO DEL PERU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INCOME STATEMENT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US$ thousands, IFRS)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0" w:type="dxa"/>
            <w:vAlign w:val="bottom"/>
          </w:tcPr>
          <w:p>
            <w:pPr>
              <w:spacing w:after="0"/>
              <w:rPr>
                <w:sz w:val="13"/>
                <w:szCs w:val="13"/>
                <w:color w:val="auto"/>
              </w:rPr>
            </w:pPr>
          </w:p>
        </w:tc>
        <w:tc>
          <w:tcPr>
            <w:tcW w:w="4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Quarter</w:t>
            </w: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20" w:type="dxa"/>
            <w:vAlign w:val="bottom"/>
            <w:gridSpan w:val="4"/>
          </w:tcPr>
          <w:p>
            <w:pPr>
              <w:jc w:val="right"/>
              <w:ind w:right="740"/>
              <w:spacing w:after="0"/>
              <w:rPr>
                <w:sz w:val="20"/>
                <w:szCs w:val="20"/>
                <w:color w:val="auto"/>
              </w:rPr>
            </w:pPr>
            <w:r>
              <w:rPr>
                <w:rFonts w:ascii="Arial" w:cs="Arial" w:eastAsia="Arial" w:hAnsi="Arial"/>
                <w:sz w:val="13"/>
                <w:szCs w:val="13"/>
                <w:b w:val="1"/>
                <w:bCs w:val="1"/>
                <w:color w:val="auto"/>
              </w:rPr>
              <w:t>Change %</w:t>
            </w:r>
          </w:p>
        </w:tc>
        <w:tc>
          <w:tcPr>
            <w:tcW w:w="1780" w:type="dxa"/>
            <w:vAlign w:val="bottom"/>
            <w:gridSpan w:val="4"/>
          </w:tcPr>
          <w:p>
            <w:pPr>
              <w:jc w:val="right"/>
              <w:ind w:right="680"/>
              <w:spacing w:after="0"/>
              <w:rPr>
                <w:sz w:val="20"/>
                <w:szCs w:val="20"/>
                <w:color w:val="auto"/>
              </w:rPr>
            </w:pPr>
            <w:r>
              <w:rPr>
                <w:rFonts w:ascii="Arial" w:cs="Arial" w:eastAsia="Arial" w:hAnsi="Arial"/>
                <w:sz w:val="13"/>
                <w:szCs w:val="13"/>
                <w:b w:val="1"/>
                <w:bCs w:val="1"/>
                <w:color w:val="auto"/>
              </w:rPr>
              <w:t>Year ended</w:t>
            </w:r>
          </w:p>
        </w:tc>
        <w:tc>
          <w:tcPr>
            <w:tcW w:w="82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960" w:type="dxa"/>
            <w:vAlign w:val="bottom"/>
            <w:tcBorders>
              <w:top w:val="single" w:sz="8" w:color="auto"/>
            </w:tcBorders>
            <w:gridSpan w:val="2"/>
          </w:tcPr>
          <w:p>
            <w:pPr>
              <w:jc w:val="right"/>
              <w:ind w:right="460"/>
              <w:spacing w:after="0" w:line="135" w:lineRule="exact"/>
              <w:rPr>
                <w:sz w:val="20"/>
                <w:szCs w:val="20"/>
                <w:color w:val="auto"/>
              </w:rPr>
            </w:pPr>
            <w:r>
              <w:rPr>
                <w:rFonts w:ascii="Arial" w:cs="Arial" w:eastAsia="Arial" w:hAnsi="Arial"/>
                <w:sz w:val="13"/>
                <w:szCs w:val="13"/>
                <w:b w:val="1"/>
                <w:bCs w:val="1"/>
                <w:color w:val="auto"/>
              </w:rPr>
              <w:t>4Q09</w:t>
            </w:r>
          </w:p>
        </w:tc>
        <w:tc>
          <w:tcPr>
            <w:tcW w:w="900" w:type="dxa"/>
            <w:vAlign w:val="bottom"/>
            <w:tcBorders>
              <w:top w:val="single" w:sz="8" w:color="auto"/>
            </w:tcBorders>
            <w:gridSpan w:val="2"/>
          </w:tcPr>
          <w:p>
            <w:pPr>
              <w:jc w:val="right"/>
              <w:ind w:right="420"/>
              <w:spacing w:after="0" w:line="135" w:lineRule="exact"/>
              <w:rPr>
                <w:sz w:val="20"/>
                <w:szCs w:val="20"/>
                <w:color w:val="auto"/>
              </w:rPr>
            </w:pPr>
            <w:r>
              <w:rPr>
                <w:rFonts w:ascii="Arial" w:cs="Arial" w:eastAsia="Arial" w:hAnsi="Arial"/>
                <w:sz w:val="13"/>
                <w:szCs w:val="13"/>
                <w:b w:val="1"/>
                <w:bCs w:val="1"/>
                <w:color w:val="auto"/>
              </w:rPr>
              <w:t>3Q09</w:t>
            </w:r>
          </w:p>
        </w:tc>
        <w:tc>
          <w:tcPr>
            <w:tcW w:w="680" w:type="dxa"/>
            <w:vAlign w:val="bottom"/>
            <w:tcBorders>
              <w:top w:val="single" w:sz="8" w:color="auto"/>
            </w:tcBorders>
          </w:tcPr>
          <w:p>
            <w:pPr>
              <w:jc w:val="right"/>
              <w:ind w:right="137"/>
              <w:spacing w:after="0" w:line="135" w:lineRule="exact"/>
              <w:rPr>
                <w:sz w:val="20"/>
                <w:szCs w:val="20"/>
                <w:color w:val="auto"/>
              </w:rPr>
            </w:pPr>
            <w:r>
              <w:rPr>
                <w:rFonts w:ascii="Arial" w:cs="Arial" w:eastAsia="Arial" w:hAnsi="Arial"/>
                <w:sz w:val="13"/>
                <w:szCs w:val="13"/>
                <w:b w:val="1"/>
                <w:bCs w:val="1"/>
                <w:color w:val="auto"/>
              </w:rPr>
              <w:t>4Q08</w:t>
            </w:r>
          </w:p>
        </w:tc>
        <w:tc>
          <w:tcPr>
            <w:tcW w:w="220" w:type="dxa"/>
            <w:vAlign w:val="bottom"/>
          </w:tcPr>
          <w:p>
            <w:pPr>
              <w:spacing w:after="0"/>
              <w:rPr>
                <w:sz w:val="12"/>
                <w:szCs w:val="12"/>
                <w:color w:val="auto"/>
              </w:rPr>
            </w:pPr>
          </w:p>
        </w:tc>
        <w:tc>
          <w:tcPr>
            <w:tcW w:w="900" w:type="dxa"/>
            <w:vAlign w:val="bottom"/>
            <w:tcBorders>
              <w:top w:val="single" w:sz="8" w:color="auto"/>
            </w:tcBorders>
            <w:gridSpan w:val="2"/>
          </w:tcPr>
          <w:p>
            <w:pPr>
              <w:jc w:val="right"/>
              <w:ind w:right="260"/>
              <w:spacing w:after="0" w:line="135" w:lineRule="exact"/>
              <w:rPr>
                <w:sz w:val="20"/>
                <w:szCs w:val="20"/>
                <w:color w:val="auto"/>
              </w:rPr>
            </w:pPr>
            <w:r>
              <w:rPr>
                <w:rFonts w:ascii="Arial" w:cs="Arial" w:eastAsia="Arial" w:hAnsi="Arial"/>
                <w:sz w:val="13"/>
                <w:szCs w:val="13"/>
                <w:b w:val="1"/>
                <w:bCs w:val="1"/>
                <w:color w:val="auto"/>
                <w:w w:val="92"/>
              </w:rPr>
              <w:t>4Q09/4Q08</w:t>
            </w:r>
          </w:p>
        </w:tc>
        <w:tc>
          <w:tcPr>
            <w:tcW w:w="680" w:type="dxa"/>
            <w:vAlign w:val="bottom"/>
            <w:tcBorders>
              <w:top w:val="single" w:sz="8" w:color="auto"/>
            </w:tcBorders>
          </w:tcPr>
          <w:p>
            <w:pPr>
              <w:jc w:val="right"/>
              <w:spacing w:after="0" w:line="135" w:lineRule="exact"/>
              <w:rPr>
                <w:sz w:val="20"/>
                <w:szCs w:val="20"/>
                <w:color w:val="auto"/>
              </w:rPr>
            </w:pPr>
            <w:r>
              <w:rPr>
                <w:rFonts w:ascii="Arial" w:cs="Arial" w:eastAsia="Arial" w:hAnsi="Arial"/>
                <w:sz w:val="13"/>
                <w:szCs w:val="13"/>
                <w:b w:val="1"/>
                <w:bCs w:val="1"/>
                <w:color w:val="auto"/>
                <w:w w:val="95"/>
              </w:rPr>
              <w:t>4Q09/3Q09</w:t>
            </w:r>
          </w:p>
        </w:tc>
        <w:tc>
          <w:tcPr>
            <w:tcW w:w="240" w:type="dxa"/>
            <w:vAlign w:val="bottom"/>
          </w:tcPr>
          <w:p>
            <w:pPr>
              <w:spacing w:after="0"/>
              <w:rPr>
                <w:sz w:val="12"/>
                <w:szCs w:val="12"/>
                <w:color w:val="auto"/>
              </w:rPr>
            </w:pPr>
          </w:p>
        </w:tc>
        <w:tc>
          <w:tcPr>
            <w:tcW w:w="680" w:type="dxa"/>
            <w:vAlign w:val="bottom"/>
            <w:tcBorders>
              <w:top w:val="single" w:sz="8" w:color="auto"/>
            </w:tcBorders>
          </w:tcPr>
          <w:p>
            <w:pPr>
              <w:jc w:val="right"/>
              <w:ind w:right="137"/>
              <w:spacing w:after="0" w:line="135" w:lineRule="exact"/>
              <w:rPr>
                <w:sz w:val="20"/>
                <w:szCs w:val="20"/>
                <w:color w:val="auto"/>
              </w:rPr>
            </w:pPr>
            <w:r>
              <w:rPr>
                <w:rFonts w:ascii="Arial" w:cs="Arial" w:eastAsia="Arial" w:hAnsi="Arial"/>
                <w:sz w:val="13"/>
                <w:szCs w:val="13"/>
                <w:b w:val="1"/>
                <w:bCs w:val="1"/>
                <w:color w:val="auto"/>
              </w:rPr>
              <w:t>2009</w:t>
            </w:r>
          </w:p>
        </w:tc>
        <w:tc>
          <w:tcPr>
            <w:tcW w:w="2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57"/>
              <w:spacing w:after="0" w:line="135" w:lineRule="exact"/>
              <w:rPr>
                <w:sz w:val="20"/>
                <w:szCs w:val="20"/>
                <w:color w:val="auto"/>
              </w:rPr>
            </w:pPr>
            <w:r>
              <w:rPr>
                <w:rFonts w:ascii="Arial" w:cs="Arial" w:eastAsia="Arial" w:hAnsi="Arial"/>
                <w:sz w:val="13"/>
                <w:szCs w:val="13"/>
                <w:b w:val="1"/>
                <w:bCs w:val="1"/>
                <w:color w:val="auto"/>
              </w:rPr>
              <w:t>2008</w:t>
            </w:r>
          </w:p>
        </w:tc>
        <w:tc>
          <w:tcPr>
            <w:tcW w:w="200" w:type="dxa"/>
            <w:vAlign w:val="bottom"/>
          </w:tcPr>
          <w:p>
            <w:pPr>
              <w:spacing w:after="0"/>
              <w:rPr>
                <w:sz w:val="12"/>
                <w:szCs w:val="12"/>
                <w:color w:val="auto"/>
              </w:rPr>
            </w:pPr>
          </w:p>
        </w:tc>
        <w:tc>
          <w:tcPr>
            <w:tcW w:w="680" w:type="dxa"/>
            <w:vAlign w:val="bottom"/>
            <w:tcBorders>
              <w:top w:val="single" w:sz="8" w:color="auto"/>
            </w:tcBorders>
          </w:tcPr>
          <w:p>
            <w:pPr>
              <w:jc w:val="right"/>
              <w:spacing w:after="0" w:line="135" w:lineRule="exact"/>
              <w:rPr>
                <w:sz w:val="20"/>
                <w:szCs w:val="20"/>
                <w:color w:val="auto"/>
              </w:rPr>
            </w:pPr>
            <w:r>
              <w:rPr>
                <w:rFonts w:ascii="Arial" w:cs="Arial" w:eastAsia="Arial" w:hAnsi="Arial"/>
                <w:sz w:val="13"/>
                <w:szCs w:val="13"/>
                <w:b w:val="1"/>
                <w:bCs w:val="1"/>
                <w:color w:val="auto"/>
                <w:w w:val="97"/>
              </w:rPr>
              <w:t>2009/2008</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422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4220" w:type="dxa"/>
            <w:vAlign w:val="bottom"/>
            <w:shd w:val="clear" w:color="auto" w:fill="CCFFCC"/>
          </w:tcPr>
          <w:p>
            <w:pPr>
              <w:spacing w:after="0" w:line="135" w:lineRule="exact"/>
              <w:rPr>
                <w:sz w:val="20"/>
                <w:szCs w:val="20"/>
                <w:color w:val="auto"/>
              </w:rPr>
            </w:pPr>
            <w:r>
              <w:rPr>
                <w:rFonts w:ascii="Arial" w:cs="Arial" w:eastAsia="Arial" w:hAnsi="Arial"/>
                <w:sz w:val="13"/>
                <w:szCs w:val="13"/>
                <w:b w:val="1"/>
                <w:bCs w:val="1"/>
                <w:color w:val="auto"/>
              </w:rPr>
              <w:t>Interest income and expense</w:t>
            </w:r>
          </w:p>
        </w:tc>
        <w:tc>
          <w:tcPr>
            <w:tcW w:w="72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20" w:type="dxa"/>
            <w:vAlign w:val="bottom"/>
          </w:tcPr>
          <w:p>
            <w:pPr>
              <w:ind w:left="160"/>
              <w:spacing w:after="0" w:line="135" w:lineRule="exact"/>
              <w:rPr>
                <w:sz w:val="20"/>
                <w:szCs w:val="20"/>
                <w:color w:val="auto"/>
              </w:rPr>
            </w:pPr>
            <w:r>
              <w:rPr>
                <w:rFonts w:ascii="Arial" w:cs="Arial" w:eastAsia="Arial" w:hAnsi="Arial"/>
                <w:sz w:val="13"/>
                <w:szCs w:val="13"/>
                <w:color w:val="auto"/>
              </w:rPr>
              <w:t>Interest and dividend income</w:t>
            </w:r>
          </w:p>
        </w:tc>
        <w:tc>
          <w:tcPr>
            <w:tcW w:w="9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301,319</w:t>
            </w: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292,292</w:t>
            </w:r>
          </w:p>
        </w:tc>
        <w:tc>
          <w:tcPr>
            <w:tcW w:w="220" w:type="dxa"/>
            <w:vAlign w:val="bottom"/>
          </w:tcPr>
          <w:p>
            <w:pPr>
              <w:spacing w:after="0"/>
              <w:rPr>
                <w:sz w:val="11"/>
                <w:szCs w:val="11"/>
                <w:color w:val="auto"/>
              </w:rPr>
            </w:pP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327,007</w:t>
            </w:r>
          </w:p>
        </w:tc>
        <w:tc>
          <w:tcPr>
            <w:tcW w:w="9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-7.9%</w:t>
            </w:r>
          </w:p>
        </w:tc>
        <w:tc>
          <w:tcPr>
            <w:tcW w:w="9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3.1%</w:t>
            </w: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1,204,914</w:t>
            </w:r>
          </w:p>
        </w:tc>
        <w:tc>
          <w:tcPr>
            <w:tcW w:w="220" w:type="dxa"/>
            <w:vAlign w:val="bottom"/>
          </w:tcPr>
          <w:p>
            <w:pPr>
              <w:spacing w:after="0"/>
              <w:rPr>
                <w:sz w:val="11"/>
                <w:szCs w:val="11"/>
                <w:color w:val="auto"/>
              </w:rPr>
            </w:pPr>
          </w:p>
        </w:tc>
        <w:tc>
          <w:tcPr>
            <w:tcW w:w="8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1,266,009</w:t>
            </w:r>
          </w:p>
        </w:tc>
        <w:tc>
          <w:tcPr>
            <w:tcW w:w="82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-4.8%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20" w:type="dxa"/>
            <w:vAlign w:val="bottom"/>
            <w:shd w:val="clear" w:color="auto" w:fill="CCFFCC"/>
          </w:tcPr>
          <w:p>
            <w:pPr>
              <w:ind w:left="160"/>
              <w:spacing w:after="0" w:line="135" w:lineRule="exact"/>
              <w:rPr>
                <w:sz w:val="20"/>
                <w:szCs w:val="20"/>
                <w:color w:val="auto"/>
              </w:rPr>
            </w:pPr>
            <w:r>
              <w:rPr>
                <w:rFonts w:ascii="Arial" w:cs="Arial" w:eastAsia="Arial" w:hAnsi="Arial"/>
                <w:sz w:val="13"/>
                <w:szCs w:val="13"/>
                <w:color w:val="auto"/>
              </w:rPr>
              <w:t>Interest expense</w:t>
            </w:r>
          </w:p>
        </w:tc>
        <w:tc>
          <w:tcPr>
            <w:tcW w:w="96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(90,086)</w:t>
            </w:r>
          </w:p>
        </w:tc>
        <w:tc>
          <w:tcPr>
            <w:tcW w:w="90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(95,030)</w:t>
            </w:r>
          </w:p>
        </w:tc>
        <w:tc>
          <w:tcPr>
            <w:tcW w:w="90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(137,685)</w:t>
            </w:r>
          </w:p>
        </w:tc>
        <w:tc>
          <w:tcPr>
            <w:tcW w:w="90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-34.6%</w:t>
            </w:r>
          </w:p>
        </w:tc>
        <w:tc>
          <w:tcPr>
            <w:tcW w:w="9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-5.2%</w:t>
            </w:r>
          </w:p>
        </w:tc>
        <w:tc>
          <w:tcPr>
            <w:tcW w:w="90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(406,697)</w:t>
            </w:r>
          </w:p>
        </w:tc>
        <w:tc>
          <w:tcPr>
            <w:tcW w:w="880" w:type="dxa"/>
            <w:vAlign w:val="bottom"/>
            <w:gridSpan w:val="2"/>
            <w:shd w:val="clear" w:color="auto" w:fill="CCFFCC"/>
          </w:tcPr>
          <w:p>
            <w:pPr>
              <w:jc w:val="right"/>
              <w:ind w:right="160"/>
              <w:spacing w:after="0" w:line="135" w:lineRule="exact"/>
              <w:rPr>
                <w:sz w:val="20"/>
                <w:szCs w:val="20"/>
                <w:color w:val="auto"/>
              </w:rPr>
            </w:pPr>
            <w:r>
              <w:rPr>
                <w:rFonts w:ascii="Arial" w:cs="Arial" w:eastAsia="Arial" w:hAnsi="Arial"/>
                <w:sz w:val="13"/>
                <w:szCs w:val="13"/>
                <w:color w:val="auto"/>
              </w:rPr>
              <w:t>(537,426)</w:t>
            </w:r>
          </w:p>
        </w:tc>
        <w:tc>
          <w:tcPr>
            <w:tcW w:w="820" w:type="dxa"/>
            <w:vAlign w:val="bottom"/>
            <w:gridSpan w:val="2"/>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-24.3%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20" w:type="dxa"/>
            <w:vAlign w:val="bottom"/>
          </w:tcPr>
          <w:p>
            <w:pPr>
              <w:ind w:left="480"/>
              <w:spacing w:after="0" w:line="135" w:lineRule="exact"/>
              <w:rPr>
                <w:sz w:val="20"/>
                <w:szCs w:val="20"/>
                <w:color w:val="auto"/>
              </w:rPr>
            </w:pPr>
            <w:r>
              <w:rPr>
                <w:rFonts w:ascii="Arial" w:cs="Arial" w:eastAsia="Arial" w:hAnsi="Arial"/>
                <w:sz w:val="13"/>
                <w:szCs w:val="13"/>
                <w:b w:val="1"/>
                <w:bCs w:val="1"/>
                <w:color w:val="auto"/>
              </w:rPr>
              <w:t>Net interest and dividend income</w:t>
            </w:r>
          </w:p>
        </w:tc>
        <w:tc>
          <w:tcPr>
            <w:tcW w:w="960" w:type="dxa"/>
            <w:vAlign w:val="bottom"/>
            <w:gridSpan w:val="2"/>
          </w:tcPr>
          <w:p>
            <w:pPr>
              <w:jc w:val="right"/>
              <w:ind w:right="240"/>
              <w:spacing w:after="0" w:line="135" w:lineRule="exact"/>
              <w:rPr>
                <w:sz w:val="20"/>
                <w:szCs w:val="20"/>
                <w:color w:val="auto"/>
              </w:rPr>
            </w:pPr>
            <w:r>
              <w:rPr>
                <w:rFonts w:ascii="Arial" w:cs="Arial" w:eastAsia="Arial" w:hAnsi="Arial"/>
                <w:sz w:val="13"/>
                <w:szCs w:val="13"/>
                <w:b w:val="1"/>
                <w:bCs w:val="1"/>
                <w:color w:val="auto"/>
              </w:rPr>
              <w:t>211,233</w:t>
            </w:r>
          </w:p>
        </w:tc>
        <w:tc>
          <w:tcPr>
            <w:tcW w:w="68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197,262</w:t>
            </w:r>
          </w:p>
        </w:tc>
        <w:tc>
          <w:tcPr>
            <w:tcW w:w="220" w:type="dxa"/>
            <w:vAlign w:val="bottom"/>
          </w:tcPr>
          <w:p>
            <w:pPr>
              <w:spacing w:after="0"/>
              <w:rPr>
                <w:sz w:val="11"/>
                <w:szCs w:val="11"/>
                <w:color w:val="auto"/>
              </w:rPr>
            </w:pP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3"/>
                <w:szCs w:val="13"/>
                <w:b w:val="1"/>
                <w:bCs w:val="1"/>
                <w:color w:val="auto"/>
              </w:rPr>
              <w:t>189,322</w:t>
            </w:r>
          </w:p>
        </w:tc>
        <w:tc>
          <w:tcPr>
            <w:tcW w:w="900" w:type="dxa"/>
            <w:vAlign w:val="bottom"/>
            <w:gridSpan w:val="2"/>
          </w:tcPr>
          <w:p>
            <w:pPr>
              <w:jc w:val="right"/>
              <w:ind w:right="100"/>
              <w:spacing w:after="0" w:line="135" w:lineRule="exact"/>
              <w:rPr>
                <w:sz w:val="20"/>
                <w:szCs w:val="20"/>
                <w:color w:val="auto"/>
              </w:rPr>
            </w:pPr>
            <w:r>
              <w:rPr>
                <w:rFonts w:ascii="Arial" w:cs="Arial" w:eastAsia="Arial" w:hAnsi="Arial"/>
                <w:sz w:val="13"/>
                <w:szCs w:val="13"/>
                <w:b w:val="1"/>
                <w:bCs w:val="1"/>
                <w:color w:val="auto"/>
              </w:rPr>
              <w:t>11.6%</w:t>
            </w:r>
          </w:p>
        </w:tc>
        <w:tc>
          <w:tcPr>
            <w:tcW w:w="920" w:type="dxa"/>
            <w:vAlign w:val="bottom"/>
            <w:gridSpan w:val="2"/>
          </w:tcPr>
          <w:p>
            <w:pPr>
              <w:jc w:val="right"/>
              <w:ind w:right="120"/>
              <w:spacing w:after="0" w:line="135" w:lineRule="exact"/>
              <w:rPr>
                <w:sz w:val="20"/>
                <w:szCs w:val="20"/>
                <w:color w:val="auto"/>
              </w:rPr>
            </w:pPr>
            <w:r>
              <w:rPr>
                <w:rFonts w:ascii="Arial" w:cs="Arial" w:eastAsia="Arial" w:hAnsi="Arial"/>
                <w:sz w:val="13"/>
                <w:szCs w:val="13"/>
                <w:b w:val="1"/>
                <w:bCs w:val="1"/>
                <w:color w:val="auto"/>
              </w:rPr>
              <w:t>7.1%</w:t>
            </w:r>
          </w:p>
        </w:tc>
        <w:tc>
          <w:tcPr>
            <w:tcW w:w="68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798,217</w:t>
            </w:r>
          </w:p>
        </w:tc>
        <w:tc>
          <w:tcPr>
            <w:tcW w:w="220" w:type="dxa"/>
            <w:vAlign w:val="bottom"/>
          </w:tcPr>
          <w:p>
            <w:pPr>
              <w:spacing w:after="0"/>
              <w:rPr>
                <w:sz w:val="11"/>
                <w:szCs w:val="11"/>
                <w:color w:val="auto"/>
              </w:rPr>
            </w:pPr>
          </w:p>
        </w:tc>
        <w:tc>
          <w:tcPr>
            <w:tcW w:w="880" w:type="dxa"/>
            <w:vAlign w:val="bottom"/>
            <w:gridSpan w:val="2"/>
          </w:tcPr>
          <w:p>
            <w:pPr>
              <w:jc w:val="right"/>
              <w:ind w:right="200"/>
              <w:spacing w:after="0" w:line="135" w:lineRule="exact"/>
              <w:rPr>
                <w:sz w:val="20"/>
                <w:szCs w:val="20"/>
                <w:color w:val="auto"/>
              </w:rPr>
            </w:pPr>
            <w:r>
              <w:rPr>
                <w:rFonts w:ascii="Arial" w:cs="Arial" w:eastAsia="Arial" w:hAnsi="Arial"/>
                <w:sz w:val="13"/>
                <w:szCs w:val="13"/>
                <w:b w:val="1"/>
                <w:bCs w:val="1"/>
                <w:color w:val="auto"/>
              </w:rPr>
              <w:t>728,583</w:t>
            </w:r>
          </w:p>
        </w:tc>
        <w:tc>
          <w:tcPr>
            <w:tcW w:w="820" w:type="dxa"/>
            <w:vAlign w:val="bottom"/>
            <w:gridSpan w:val="2"/>
          </w:tcPr>
          <w:p>
            <w:pPr>
              <w:jc w:val="right"/>
              <w:spacing w:after="0" w:line="135" w:lineRule="exact"/>
              <w:rPr>
                <w:sz w:val="20"/>
                <w:szCs w:val="20"/>
                <w:color w:val="auto"/>
              </w:rPr>
            </w:pPr>
            <w:r>
              <w:rPr>
                <w:rFonts w:ascii="Arial" w:cs="Arial" w:eastAsia="Arial" w:hAnsi="Arial"/>
                <w:sz w:val="13"/>
                <w:szCs w:val="13"/>
                <w:b w:val="1"/>
                <w:bCs w:val="1"/>
                <w:color w:val="auto"/>
              </w:rPr>
              <w:t>9.6%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20" w:type="dxa"/>
            <w:vAlign w:val="bottom"/>
            <w:shd w:val="clear" w:color="auto" w:fill="CCFFCC"/>
          </w:tcPr>
          <w:p>
            <w:pPr>
              <w:spacing w:after="0" w:line="135" w:lineRule="exact"/>
              <w:rPr>
                <w:sz w:val="20"/>
                <w:szCs w:val="20"/>
                <w:color w:val="auto"/>
              </w:rPr>
            </w:pPr>
            <w:r>
              <w:rPr>
                <w:rFonts w:ascii="Arial" w:cs="Arial" w:eastAsia="Arial" w:hAnsi="Arial"/>
                <w:sz w:val="13"/>
                <w:szCs w:val="13"/>
                <w:b w:val="1"/>
                <w:bCs w:val="1"/>
                <w:color w:val="auto"/>
              </w:rPr>
              <w:t>Provision for loan losses</w:t>
            </w:r>
          </w:p>
        </w:tc>
        <w:tc>
          <w:tcPr>
            <w:tcW w:w="96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(44,933)</w:t>
            </w:r>
          </w:p>
        </w:tc>
        <w:tc>
          <w:tcPr>
            <w:tcW w:w="90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(38,917)</w:t>
            </w:r>
          </w:p>
        </w:tc>
        <w:tc>
          <w:tcPr>
            <w:tcW w:w="90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(6,429)</w:t>
            </w:r>
          </w:p>
        </w:tc>
        <w:tc>
          <w:tcPr>
            <w:tcW w:w="90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598.9%</w:t>
            </w:r>
          </w:p>
        </w:tc>
        <w:tc>
          <w:tcPr>
            <w:tcW w:w="9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15.5%</w:t>
            </w:r>
          </w:p>
        </w:tc>
        <w:tc>
          <w:tcPr>
            <w:tcW w:w="90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(165,104)</w:t>
            </w:r>
          </w:p>
        </w:tc>
        <w:tc>
          <w:tcPr>
            <w:tcW w:w="880" w:type="dxa"/>
            <w:vAlign w:val="bottom"/>
            <w:gridSpan w:val="2"/>
            <w:shd w:val="clear" w:color="auto" w:fill="CCFFCC"/>
          </w:tcPr>
          <w:p>
            <w:pPr>
              <w:jc w:val="right"/>
              <w:ind w:right="160"/>
              <w:spacing w:after="0" w:line="135" w:lineRule="exact"/>
              <w:rPr>
                <w:sz w:val="20"/>
                <w:szCs w:val="20"/>
                <w:color w:val="auto"/>
              </w:rPr>
            </w:pPr>
            <w:r>
              <w:rPr>
                <w:rFonts w:ascii="Arial" w:cs="Arial" w:eastAsia="Arial" w:hAnsi="Arial"/>
                <w:sz w:val="13"/>
                <w:szCs w:val="13"/>
                <w:color w:val="auto"/>
              </w:rPr>
              <w:t>(51,275)</w:t>
            </w:r>
          </w:p>
        </w:tc>
        <w:tc>
          <w:tcPr>
            <w:tcW w:w="820" w:type="dxa"/>
            <w:vAlign w:val="bottom"/>
            <w:gridSpan w:val="2"/>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222.0%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20" w:type="dxa"/>
            <w:vAlign w:val="bottom"/>
          </w:tcPr>
          <w:p>
            <w:pPr>
              <w:spacing w:after="0" w:line="135" w:lineRule="exact"/>
              <w:rPr>
                <w:sz w:val="20"/>
                <w:szCs w:val="20"/>
                <w:color w:val="auto"/>
              </w:rPr>
            </w:pPr>
            <w:r>
              <w:rPr>
                <w:rFonts w:ascii="Arial" w:cs="Arial" w:eastAsia="Arial" w:hAnsi="Arial"/>
                <w:sz w:val="13"/>
                <w:szCs w:val="13"/>
                <w:b w:val="1"/>
                <w:bCs w:val="1"/>
                <w:color w:val="auto"/>
              </w:rPr>
              <w:t>Non financial income</w:t>
            </w: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20" w:type="dxa"/>
            <w:vAlign w:val="bottom"/>
            <w:shd w:val="clear" w:color="auto" w:fill="CCFFCC"/>
          </w:tcPr>
          <w:p>
            <w:pPr>
              <w:ind w:left="160"/>
              <w:spacing w:after="0" w:line="135" w:lineRule="exact"/>
              <w:rPr>
                <w:sz w:val="20"/>
                <w:szCs w:val="20"/>
                <w:color w:val="auto"/>
              </w:rPr>
            </w:pPr>
            <w:r>
              <w:rPr>
                <w:rFonts w:ascii="Arial" w:cs="Arial" w:eastAsia="Arial" w:hAnsi="Arial"/>
                <w:sz w:val="13"/>
                <w:szCs w:val="13"/>
                <w:color w:val="auto"/>
              </w:rPr>
              <w:t>Banking services commissions</w:t>
            </w:r>
          </w:p>
        </w:tc>
        <w:tc>
          <w:tcPr>
            <w:tcW w:w="96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109,546</w:t>
            </w:r>
          </w:p>
        </w:tc>
        <w:tc>
          <w:tcPr>
            <w:tcW w:w="9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93,348</w:t>
            </w:r>
          </w:p>
        </w:tc>
        <w:tc>
          <w:tcPr>
            <w:tcW w:w="9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84,826</w:t>
            </w:r>
          </w:p>
        </w:tc>
        <w:tc>
          <w:tcPr>
            <w:tcW w:w="90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29.1%</w:t>
            </w:r>
          </w:p>
        </w:tc>
        <w:tc>
          <w:tcPr>
            <w:tcW w:w="9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17.4%</w:t>
            </w:r>
          </w:p>
        </w:tc>
        <w:tc>
          <w:tcPr>
            <w:tcW w:w="68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368,067</w:t>
            </w:r>
          </w:p>
        </w:tc>
        <w:tc>
          <w:tcPr>
            <w:tcW w:w="220" w:type="dxa"/>
            <w:vAlign w:val="bottom"/>
            <w:shd w:val="clear" w:color="auto" w:fill="CCFFCC"/>
          </w:tcPr>
          <w:p>
            <w:pPr>
              <w:spacing w:after="0"/>
              <w:rPr>
                <w:sz w:val="11"/>
                <w:szCs w:val="11"/>
                <w:color w:val="auto"/>
              </w:rPr>
            </w:pPr>
          </w:p>
        </w:tc>
        <w:tc>
          <w:tcPr>
            <w:tcW w:w="88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336,844</w:t>
            </w:r>
          </w:p>
        </w:tc>
        <w:tc>
          <w:tcPr>
            <w:tcW w:w="820" w:type="dxa"/>
            <w:vAlign w:val="bottom"/>
            <w:gridSpan w:val="2"/>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9.3%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20" w:type="dxa"/>
            <w:vAlign w:val="bottom"/>
          </w:tcPr>
          <w:p>
            <w:pPr>
              <w:ind w:left="160"/>
              <w:spacing w:after="0" w:line="135" w:lineRule="exact"/>
              <w:rPr>
                <w:sz w:val="20"/>
                <w:szCs w:val="20"/>
                <w:color w:val="auto"/>
              </w:rPr>
            </w:pPr>
            <w:r>
              <w:rPr>
                <w:rFonts w:ascii="Arial" w:cs="Arial" w:eastAsia="Arial" w:hAnsi="Arial"/>
                <w:sz w:val="13"/>
                <w:szCs w:val="13"/>
                <w:color w:val="auto"/>
              </w:rPr>
              <w:t>Net gain on foreign exchange transactions</w:t>
            </w:r>
          </w:p>
        </w:tc>
        <w:tc>
          <w:tcPr>
            <w:tcW w:w="9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23,430</w:t>
            </w: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25,559</w:t>
            </w: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33,175</w:t>
            </w:r>
          </w:p>
        </w:tc>
        <w:tc>
          <w:tcPr>
            <w:tcW w:w="9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-29.4%</w:t>
            </w:r>
          </w:p>
        </w:tc>
        <w:tc>
          <w:tcPr>
            <w:tcW w:w="9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-8.3%</w:t>
            </w: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93,462</w:t>
            </w:r>
          </w:p>
        </w:tc>
        <w:tc>
          <w:tcPr>
            <w:tcW w:w="8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109,032</w:t>
            </w:r>
          </w:p>
        </w:tc>
        <w:tc>
          <w:tcPr>
            <w:tcW w:w="82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-14.3%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20" w:type="dxa"/>
            <w:vAlign w:val="bottom"/>
            <w:shd w:val="clear" w:color="auto" w:fill="CCFFCC"/>
          </w:tcPr>
          <w:p>
            <w:pPr>
              <w:ind w:left="160"/>
              <w:spacing w:after="0" w:line="135" w:lineRule="exact"/>
              <w:rPr>
                <w:sz w:val="20"/>
                <w:szCs w:val="20"/>
                <w:color w:val="auto"/>
              </w:rPr>
            </w:pPr>
            <w:r>
              <w:rPr>
                <w:rFonts w:ascii="Arial" w:cs="Arial" w:eastAsia="Arial" w:hAnsi="Arial"/>
                <w:sz w:val="13"/>
                <w:szCs w:val="13"/>
                <w:color w:val="auto"/>
              </w:rPr>
              <w:t>Net gain on sales of securities</w:t>
            </w:r>
          </w:p>
        </w:tc>
        <w:tc>
          <w:tcPr>
            <w:tcW w:w="96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9,185</w:t>
            </w:r>
          </w:p>
        </w:tc>
        <w:tc>
          <w:tcPr>
            <w:tcW w:w="68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9,890</w:t>
            </w:r>
          </w:p>
        </w:tc>
        <w:tc>
          <w:tcPr>
            <w:tcW w:w="220" w:type="dxa"/>
            <w:vAlign w:val="bottom"/>
            <w:shd w:val="clear" w:color="auto" w:fill="CCFFCC"/>
          </w:tcPr>
          <w:p>
            <w:pPr>
              <w:spacing w:after="0"/>
              <w:rPr>
                <w:sz w:val="11"/>
                <w:szCs w:val="11"/>
                <w:color w:val="auto"/>
              </w:rPr>
            </w:pPr>
          </w:p>
        </w:tc>
        <w:tc>
          <w:tcPr>
            <w:tcW w:w="9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15,325</w:t>
            </w:r>
          </w:p>
        </w:tc>
        <w:tc>
          <w:tcPr>
            <w:tcW w:w="90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-40.1%</w:t>
            </w:r>
          </w:p>
        </w:tc>
        <w:tc>
          <w:tcPr>
            <w:tcW w:w="9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-7.1%</w:t>
            </w:r>
          </w:p>
        </w:tc>
        <w:tc>
          <w:tcPr>
            <w:tcW w:w="68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101,349</w:t>
            </w:r>
          </w:p>
        </w:tc>
        <w:tc>
          <w:tcPr>
            <w:tcW w:w="220" w:type="dxa"/>
            <w:vAlign w:val="bottom"/>
            <w:shd w:val="clear" w:color="auto" w:fill="CCFFCC"/>
          </w:tcPr>
          <w:p>
            <w:pPr>
              <w:spacing w:after="0"/>
              <w:rPr>
                <w:sz w:val="11"/>
                <w:szCs w:val="11"/>
                <w:color w:val="auto"/>
              </w:rPr>
            </w:pPr>
          </w:p>
        </w:tc>
        <w:tc>
          <w:tcPr>
            <w:tcW w:w="88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38,574</w:t>
            </w:r>
          </w:p>
        </w:tc>
        <w:tc>
          <w:tcPr>
            <w:tcW w:w="820" w:type="dxa"/>
            <w:vAlign w:val="bottom"/>
            <w:gridSpan w:val="2"/>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162.7%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20" w:type="dxa"/>
            <w:vAlign w:val="bottom"/>
          </w:tcPr>
          <w:p>
            <w:pPr>
              <w:ind w:left="160"/>
              <w:spacing w:after="0" w:line="135" w:lineRule="exact"/>
              <w:rPr>
                <w:sz w:val="20"/>
                <w:szCs w:val="20"/>
                <w:color w:val="auto"/>
              </w:rPr>
            </w:pPr>
            <w:r>
              <w:rPr>
                <w:rFonts w:ascii="Arial" w:cs="Arial" w:eastAsia="Arial" w:hAnsi="Arial"/>
                <w:sz w:val="13"/>
                <w:szCs w:val="13"/>
                <w:color w:val="auto"/>
              </w:rPr>
              <w:t>Other</w:t>
            </w:r>
          </w:p>
        </w:tc>
        <w:tc>
          <w:tcPr>
            <w:tcW w:w="9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2,816</w:t>
            </w: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892</w:t>
            </w: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8,108</w:t>
            </w:r>
          </w:p>
        </w:tc>
        <w:tc>
          <w:tcPr>
            <w:tcW w:w="9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-65.3%</w:t>
            </w:r>
          </w:p>
        </w:tc>
        <w:tc>
          <w:tcPr>
            <w:tcW w:w="9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215.7%</w:t>
            </w: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15,067</w:t>
            </w:r>
          </w:p>
        </w:tc>
        <w:tc>
          <w:tcPr>
            <w:tcW w:w="8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17,202</w:t>
            </w:r>
          </w:p>
        </w:tc>
        <w:tc>
          <w:tcPr>
            <w:tcW w:w="82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-12.4%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20" w:type="dxa"/>
            <w:vAlign w:val="bottom"/>
            <w:shd w:val="clear" w:color="auto" w:fill="CCFFCC"/>
          </w:tcPr>
          <w:p>
            <w:pPr>
              <w:ind w:left="480"/>
              <w:spacing w:after="0" w:line="135" w:lineRule="exact"/>
              <w:rPr>
                <w:sz w:val="20"/>
                <w:szCs w:val="20"/>
                <w:color w:val="auto"/>
              </w:rPr>
            </w:pPr>
            <w:r>
              <w:rPr>
                <w:rFonts w:ascii="Arial" w:cs="Arial" w:eastAsia="Arial" w:hAnsi="Arial"/>
                <w:sz w:val="13"/>
                <w:szCs w:val="13"/>
                <w:b w:val="1"/>
                <w:bCs w:val="1"/>
                <w:color w:val="auto"/>
              </w:rPr>
              <w:t>Total fees and income from services, net</w:t>
            </w:r>
          </w:p>
        </w:tc>
        <w:tc>
          <w:tcPr>
            <w:tcW w:w="96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b w:val="1"/>
                <w:bCs w:val="1"/>
                <w:color w:val="auto"/>
              </w:rPr>
              <w:t>144,977</w:t>
            </w:r>
          </w:p>
        </w:tc>
        <w:tc>
          <w:tcPr>
            <w:tcW w:w="68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b w:val="1"/>
                <w:bCs w:val="1"/>
                <w:color w:val="auto"/>
              </w:rPr>
              <w:t>129,689</w:t>
            </w:r>
          </w:p>
        </w:tc>
        <w:tc>
          <w:tcPr>
            <w:tcW w:w="220" w:type="dxa"/>
            <w:vAlign w:val="bottom"/>
            <w:shd w:val="clear" w:color="auto" w:fill="CCFFCC"/>
          </w:tcPr>
          <w:p>
            <w:pPr>
              <w:spacing w:after="0"/>
              <w:rPr>
                <w:sz w:val="11"/>
                <w:szCs w:val="11"/>
                <w:color w:val="auto"/>
              </w:rPr>
            </w:pPr>
          </w:p>
        </w:tc>
        <w:tc>
          <w:tcPr>
            <w:tcW w:w="9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b w:val="1"/>
                <w:bCs w:val="1"/>
                <w:color w:val="auto"/>
              </w:rPr>
              <w:t>141,434</w:t>
            </w:r>
          </w:p>
        </w:tc>
        <w:tc>
          <w:tcPr>
            <w:tcW w:w="90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b w:val="1"/>
                <w:bCs w:val="1"/>
                <w:color w:val="auto"/>
              </w:rPr>
              <w:t>2.5%</w:t>
            </w:r>
          </w:p>
        </w:tc>
        <w:tc>
          <w:tcPr>
            <w:tcW w:w="92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b w:val="1"/>
                <w:bCs w:val="1"/>
                <w:color w:val="auto"/>
              </w:rPr>
              <w:t>11.8%</w:t>
            </w:r>
          </w:p>
        </w:tc>
        <w:tc>
          <w:tcPr>
            <w:tcW w:w="68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b w:val="1"/>
                <w:bCs w:val="1"/>
                <w:color w:val="auto"/>
              </w:rPr>
              <w:t>577,945</w:t>
            </w:r>
          </w:p>
        </w:tc>
        <w:tc>
          <w:tcPr>
            <w:tcW w:w="220" w:type="dxa"/>
            <w:vAlign w:val="bottom"/>
            <w:shd w:val="clear" w:color="auto" w:fill="CCFFCC"/>
          </w:tcPr>
          <w:p>
            <w:pPr>
              <w:spacing w:after="0"/>
              <w:rPr>
                <w:sz w:val="11"/>
                <w:szCs w:val="11"/>
                <w:color w:val="auto"/>
              </w:rPr>
            </w:pPr>
          </w:p>
        </w:tc>
        <w:tc>
          <w:tcPr>
            <w:tcW w:w="88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b w:val="1"/>
                <w:bCs w:val="1"/>
                <w:color w:val="auto"/>
              </w:rPr>
              <w:t>501,652</w:t>
            </w:r>
          </w:p>
        </w:tc>
        <w:tc>
          <w:tcPr>
            <w:tcW w:w="820" w:type="dxa"/>
            <w:vAlign w:val="bottom"/>
            <w:gridSpan w:val="2"/>
            <w:shd w:val="clear" w:color="auto" w:fill="CCFFCC"/>
          </w:tcPr>
          <w:p>
            <w:pPr>
              <w:jc w:val="right"/>
              <w:spacing w:after="0" w:line="135" w:lineRule="exact"/>
              <w:rPr>
                <w:sz w:val="20"/>
                <w:szCs w:val="20"/>
                <w:color w:val="auto"/>
              </w:rPr>
            </w:pPr>
            <w:r>
              <w:rPr>
                <w:rFonts w:ascii="Arial" w:cs="Arial" w:eastAsia="Arial" w:hAnsi="Arial"/>
                <w:sz w:val="13"/>
                <w:szCs w:val="13"/>
                <w:b w:val="1"/>
                <w:bCs w:val="1"/>
                <w:color w:val="auto"/>
              </w:rPr>
              <w:t>15.2%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20" w:type="dxa"/>
            <w:vAlign w:val="bottom"/>
          </w:tcPr>
          <w:p>
            <w:pPr>
              <w:spacing w:after="0" w:line="135" w:lineRule="exact"/>
              <w:rPr>
                <w:sz w:val="20"/>
                <w:szCs w:val="20"/>
                <w:color w:val="auto"/>
              </w:rPr>
            </w:pPr>
            <w:r>
              <w:rPr>
                <w:rFonts w:ascii="Arial" w:cs="Arial" w:eastAsia="Arial" w:hAnsi="Arial"/>
                <w:sz w:val="13"/>
                <w:szCs w:val="13"/>
                <w:b w:val="1"/>
                <w:bCs w:val="1"/>
                <w:color w:val="auto"/>
              </w:rPr>
              <w:t>Operating expenses</w:t>
            </w: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20" w:type="dxa"/>
            <w:vAlign w:val="bottom"/>
            <w:shd w:val="clear" w:color="auto" w:fill="CCFFCC"/>
          </w:tcPr>
          <w:p>
            <w:pPr>
              <w:ind w:left="160"/>
              <w:spacing w:after="0" w:line="135" w:lineRule="exact"/>
              <w:rPr>
                <w:sz w:val="20"/>
                <w:szCs w:val="20"/>
                <w:color w:val="auto"/>
              </w:rPr>
            </w:pPr>
            <w:r>
              <w:rPr>
                <w:rFonts w:ascii="Arial" w:cs="Arial" w:eastAsia="Arial" w:hAnsi="Arial"/>
                <w:sz w:val="13"/>
                <w:szCs w:val="13"/>
                <w:color w:val="auto"/>
              </w:rPr>
              <w:t>Salaries and employees benefits</w:t>
            </w:r>
          </w:p>
        </w:tc>
        <w:tc>
          <w:tcPr>
            <w:tcW w:w="96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(89,486)</w:t>
            </w:r>
          </w:p>
        </w:tc>
        <w:tc>
          <w:tcPr>
            <w:tcW w:w="90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(80,318)</w:t>
            </w:r>
          </w:p>
        </w:tc>
        <w:tc>
          <w:tcPr>
            <w:tcW w:w="90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(88,805)</w:t>
            </w:r>
          </w:p>
        </w:tc>
        <w:tc>
          <w:tcPr>
            <w:tcW w:w="90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0.8%</w:t>
            </w:r>
          </w:p>
        </w:tc>
        <w:tc>
          <w:tcPr>
            <w:tcW w:w="9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11.4%</w:t>
            </w:r>
          </w:p>
        </w:tc>
        <w:tc>
          <w:tcPr>
            <w:tcW w:w="90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(328,469)</w:t>
            </w:r>
          </w:p>
        </w:tc>
        <w:tc>
          <w:tcPr>
            <w:tcW w:w="880" w:type="dxa"/>
            <w:vAlign w:val="bottom"/>
            <w:gridSpan w:val="2"/>
            <w:shd w:val="clear" w:color="auto" w:fill="CCFFCC"/>
          </w:tcPr>
          <w:p>
            <w:pPr>
              <w:jc w:val="right"/>
              <w:ind w:right="160"/>
              <w:spacing w:after="0" w:line="135" w:lineRule="exact"/>
              <w:rPr>
                <w:sz w:val="20"/>
                <w:szCs w:val="20"/>
                <w:color w:val="auto"/>
              </w:rPr>
            </w:pPr>
            <w:r>
              <w:rPr>
                <w:rFonts w:ascii="Arial" w:cs="Arial" w:eastAsia="Arial" w:hAnsi="Arial"/>
                <w:sz w:val="13"/>
                <w:szCs w:val="13"/>
                <w:color w:val="auto"/>
              </w:rPr>
              <w:t>(314,725)</w:t>
            </w:r>
          </w:p>
        </w:tc>
        <w:tc>
          <w:tcPr>
            <w:tcW w:w="820" w:type="dxa"/>
            <w:vAlign w:val="bottom"/>
            <w:gridSpan w:val="2"/>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4.4%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20" w:type="dxa"/>
            <w:vAlign w:val="bottom"/>
          </w:tcPr>
          <w:p>
            <w:pPr>
              <w:ind w:left="160"/>
              <w:spacing w:after="0" w:line="135" w:lineRule="exact"/>
              <w:rPr>
                <w:sz w:val="20"/>
                <w:szCs w:val="20"/>
                <w:color w:val="auto"/>
              </w:rPr>
            </w:pPr>
            <w:r>
              <w:rPr>
                <w:rFonts w:ascii="Arial" w:cs="Arial" w:eastAsia="Arial" w:hAnsi="Arial"/>
                <w:sz w:val="13"/>
                <w:szCs w:val="13"/>
                <w:color w:val="auto"/>
              </w:rPr>
              <w:t>Administrative expenses</w:t>
            </w:r>
          </w:p>
        </w:tc>
        <w:tc>
          <w:tcPr>
            <w:tcW w:w="9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(79,622)</w:t>
            </w:r>
          </w:p>
        </w:tc>
        <w:tc>
          <w:tcPr>
            <w:tcW w:w="9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(59,269)</w:t>
            </w:r>
          </w:p>
        </w:tc>
        <w:tc>
          <w:tcPr>
            <w:tcW w:w="9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(74,407)</w:t>
            </w:r>
          </w:p>
        </w:tc>
        <w:tc>
          <w:tcPr>
            <w:tcW w:w="9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7.0%</w:t>
            </w:r>
          </w:p>
        </w:tc>
        <w:tc>
          <w:tcPr>
            <w:tcW w:w="9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34.3%</w:t>
            </w:r>
          </w:p>
        </w:tc>
        <w:tc>
          <w:tcPr>
            <w:tcW w:w="9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(266,363)</w:t>
            </w:r>
          </w:p>
        </w:tc>
        <w:tc>
          <w:tcPr>
            <w:tcW w:w="8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(229,862)</w:t>
            </w:r>
          </w:p>
        </w:tc>
        <w:tc>
          <w:tcPr>
            <w:tcW w:w="82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15.9%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20" w:type="dxa"/>
            <w:vAlign w:val="bottom"/>
            <w:shd w:val="clear" w:color="auto" w:fill="CCFFCC"/>
          </w:tcPr>
          <w:p>
            <w:pPr>
              <w:ind w:left="160"/>
              <w:spacing w:after="0" w:line="135" w:lineRule="exact"/>
              <w:rPr>
                <w:sz w:val="20"/>
                <w:szCs w:val="20"/>
                <w:color w:val="auto"/>
              </w:rPr>
            </w:pPr>
            <w:r>
              <w:rPr>
                <w:rFonts w:ascii="Arial" w:cs="Arial" w:eastAsia="Arial" w:hAnsi="Arial"/>
                <w:sz w:val="13"/>
                <w:szCs w:val="13"/>
                <w:color w:val="auto"/>
              </w:rPr>
              <w:t>Depreciation and amortization</w:t>
            </w:r>
          </w:p>
        </w:tc>
        <w:tc>
          <w:tcPr>
            <w:tcW w:w="96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(16,153)</w:t>
            </w:r>
          </w:p>
        </w:tc>
        <w:tc>
          <w:tcPr>
            <w:tcW w:w="90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(14,712)</w:t>
            </w:r>
          </w:p>
        </w:tc>
        <w:tc>
          <w:tcPr>
            <w:tcW w:w="90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(12,740)</w:t>
            </w:r>
          </w:p>
        </w:tc>
        <w:tc>
          <w:tcPr>
            <w:tcW w:w="90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26.8%</w:t>
            </w:r>
          </w:p>
        </w:tc>
        <w:tc>
          <w:tcPr>
            <w:tcW w:w="9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9.8%</w:t>
            </w:r>
          </w:p>
        </w:tc>
        <w:tc>
          <w:tcPr>
            <w:tcW w:w="90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(58,709)</w:t>
            </w:r>
          </w:p>
        </w:tc>
        <w:tc>
          <w:tcPr>
            <w:tcW w:w="880" w:type="dxa"/>
            <w:vAlign w:val="bottom"/>
            <w:gridSpan w:val="2"/>
            <w:shd w:val="clear" w:color="auto" w:fill="CCFFCC"/>
          </w:tcPr>
          <w:p>
            <w:pPr>
              <w:jc w:val="right"/>
              <w:ind w:right="160"/>
              <w:spacing w:after="0" w:line="135" w:lineRule="exact"/>
              <w:rPr>
                <w:sz w:val="20"/>
                <w:szCs w:val="20"/>
                <w:color w:val="auto"/>
              </w:rPr>
            </w:pPr>
            <w:r>
              <w:rPr>
                <w:rFonts w:ascii="Arial" w:cs="Arial" w:eastAsia="Arial" w:hAnsi="Arial"/>
                <w:sz w:val="13"/>
                <w:szCs w:val="13"/>
                <w:color w:val="auto"/>
              </w:rPr>
              <w:t>(45,882)</w:t>
            </w:r>
          </w:p>
        </w:tc>
        <w:tc>
          <w:tcPr>
            <w:tcW w:w="820" w:type="dxa"/>
            <w:vAlign w:val="bottom"/>
            <w:gridSpan w:val="2"/>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28.0%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20" w:type="dxa"/>
            <w:vAlign w:val="bottom"/>
          </w:tcPr>
          <w:p>
            <w:pPr>
              <w:ind w:left="160"/>
              <w:spacing w:after="0" w:line="135" w:lineRule="exact"/>
              <w:rPr>
                <w:sz w:val="20"/>
                <w:szCs w:val="20"/>
                <w:color w:val="auto"/>
              </w:rPr>
            </w:pPr>
            <w:r>
              <w:rPr>
                <w:rFonts w:ascii="Arial" w:cs="Arial" w:eastAsia="Arial" w:hAnsi="Arial"/>
                <w:sz w:val="13"/>
                <w:szCs w:val="13"/>
                <w:color w:val="auto"/>
              </w:rPr>
              <w:t>Other</w:t>
            </w:r>
          </w:p>
        </w:tc>
        <w:tc>
          <w:tcPr>
            <w:tcW w:w="9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(12,695)</w:t>
            </w:r>
          </w:p>
        </w:tc>
        <w:tc>
          <w:tcPr>
            <w:tcW w:w="9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(6,794)</w:t>
            </w: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3,985</w:t>
            </w:r>
          </w:p>
        </w:tc>
        <w:tc>
          <w:tcPr>
            <w:tcW w:w="9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-418.6%</w:t>
            </w:r>
          </w:p>
        </w:tc>
        <w:tc>
          <w:tcPr>
            <w:tcW w:w="9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86.9%</w:t>
            </w:r>
          </w:p>
        </w:tc>
        <w:tc>
          <w:tcPr>
            <w:tcW w:w="9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(38,882)</w:t>
            </w:r>
          </w:p>
        </w:tc>
        <w:tc>
          <w:tcPr>
            <w:tcW w:w="8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(27,722)</w:t>
            </w:r>
          </w:p>
        </w:tc>
        <w:tc>
          <w:tcPr>
            <w:tcW w:w="82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40.3%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20" w:type="dxa"/>
            <w:vAlign w:val="bottom"/>
            <w:shd w:val="clear" w:color="auto" w:fill="CCFFCC"/>
          </w:tcPr>
          <w:p>
            <w:pPr>
              <w:ind w:left="480"/>
              <w:spacing w:after="0" w:line="135" w:lineRule="exact"/>
              <w:rPr>
                <w:sz w:val="20"/>
                <w:szCs w:val="20"/>
                <w:color w:val="auto"/>
              </w:rPr>
            </w:pPr>
            <w:r>
              <w:rPr>
                <w:rFonts w:ascii="Arial" w:cs="Arial" w:eastAsia="Arial" w:hAnsi="Arial"/>
                <w:sz w:val="13"/>
                <w:szCs w:val="13"/>
                <w:b w:val="1"/>
                <w:bCs w:val="1"/>
                <w:color w:val="auto"/>
              </w:rPr>
              <w:t>Total operating expenses</w:t>
            </w:r>
          </w:p>
        </w:tc>
        <w:tc>
          <w:tcPr>
            <w:tcW w:w="96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b w:val="1"/>
                <w:bCs w:val="1"/>
                <w:color w:val="auto"/>
              </w:rPr>
              <w:t>(197,956)</w:t>
            </w:r>
          </w:p>
        </w:tc>
        <w:tc>
          <w:tcPr>
            <w:tcW w:w="90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b w:val="1"/>
                <w:bCs w:val="1"/>
                <w:color w:val="auto"/>
              </w:rPr>
              <w:t>(161,093)</w:t>
            </w:r>
          </w:p>
        </w:tc>
        <w:tc>
          <w:tcPr>
            <w:tcW w:w="90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b w:val="1"/>
                <w:bCs w:val="1"/>
                <w:color w:val="auto"/>
              </w:rPr>
              <w:t>(171,967)</w:t>
            </w:r>
          </w:p>
        </w:tc>
        <w:tc>
          <w:tcPr>
            <w:tcW w:w="90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b w:val="1"/>
                <w:bCs w:val="1"/>
                <w:color w:val="auto"/>
              </w:rPr>
              <w:t>15.1%</w:t>
            </w:r>
          </w:p>
        </w:tc>
        <w:tc>
          <w:tcPr>
            <w:tcW w:w="92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b w:val="1"/>
                <w:bCs w:val="1"/>
                <w:color w:val="auto"/>
              </w:rPr>
              <w:t>22.9%</w:t>
            </w:r>
          </w:p>
        </w:tc>
        <w:tc>
          <w:tcPr>
            <w:tcW w:w="90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b w:val="1"/>
                <w:bCs w:val="1"/>
                <w:color w:val="auto"/>
              </w:rPr>
              <w:t>(692,423)</w:t>
            </w:r>
          </w:p>
        </w:tc>
        <w:tc>
          <w:tcPr>
            <w:tcW w:w="880" w:type="dxa"/>
            <w:vAlign w:val="bottom"/>
            <w:gridSpan w:val="2"/>
            <w:shd w:val="clear" w:color="auto" w:fill="CCFFCC"/>
          </w:tcPr>
          <w:p>
            <w:pPr>
              <w:jc w:val="right"/>
              <w:ind w:right="160"/>
              <w:spacing w:after="0" w:line="135" w:lineRule="exact"/>
              <w:rPr>
                <w:sz w:val="20"/>
                <w:szCs w:val="20"/>
                <w:color w:val="auto"/>
              </w:rPr>
            </w:pPr>
            <w:r>
              <w:rPr>
                <w:rFonts w:ascii="Arial" w:cs="Arial" w:eastAsia="Arial" w:hAnsi="Arial"/>
                <w:sz w:val="13"/>
                <w:szCs w:val="13"/>
                <w:b w:val="1"/>
                <w:bCs w:val="1"/>
                <w:color w:val="auto"/>
              </w:rPr>
              <w:t>(618,191)</w:t>
            </w:r>
          </w:p>
        </w:tc>
        <w:tc>
          <w:tcPr>
            <w:tcW w:w="820" w:type="dxa"/>
            <w:vAlign w:val="bottom"/>
            <w:gridSpan w:val="2"/>
            <w:shd w:val="clear" w:color="auto" w:fill="CCFFCC"/>
          </w:tcPr>
          <w:p>
            <w:pPr>
              <w:jc w:val="right"/>
              <w:spacing w:after="0" w:line="135" w:lineRule="exact"/>
              <w:rPr>
                <w:sz w:val="20"/>
                <w:szCs w:val="20"/>
                <w:color w:val="auto"/>
              </w:rPr>
            </w:pPr>
            <w:r>
              <w:rPr>
                <w:rFonts w:ascii="Arial" w:cs="Arial" w:eastAsia="Arial" w:hAnsi="Arial"/>
                <w:sz w:val="13"/>
                <w:szCs w:val="13"/>
                <w:b w:val="1"/>
                <w:bCs w:val="1"/>
                <w:color w:val="auto"/>
              </w:rPr>
              <w:t>12.0%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20" w:type="dxa"/>
            <w:vAlign w:val="bottom"/>
          </w:tcPr>
          <w:p>
            <w:pPr>
              <w:spacing w:after="0" w:line="135" w:lineRule="exact"/>
              <w:rPr>
                <w:sz w:val="20"/>
                <w:szCs w:val="20"/>
                <w:color w:val="auto"/>
              </w:rPr>
            </w:pPr>
            <w:r>
              <w:rPr>
                <w:rFonts w:ascii="Arial" w:cs="Arial" w:eastAsia="Arial" w:hAnsi="Arial"/>
                <w:sz w:val="13"/>
                <w:szCs w:val="13"/>
                <w:b w:val="1"/>
                <w:bCs w:val="1"/>
                <w:color w:val="auto"/>
                <w:w w:val="90"/>
              </w:rPr>
              <w:t>Income before translation results,workers' profit sharing and income taxes</w:t>
            </w:r>
          </w:p>
        </w:tc>
        <w:tc>
          <w:tcPr>
            <w:tcW w:w="960" w:type="dxa"/>
            <w:vAlign w:val="bottom"/>
            <w:gridSpan w:val="2"/>
          </w:tcPr>
          <w:p>
            <w:pPr>
              <w:jc w:val="right"/>
              <w:ind w:right="240"/>
              <w:spacing w:after="0" w:line="135" w:lineRule="exact"/>
              <w:rPr>
                <w:sz w:val="20"/>
                <w:szCs w:val="20"/>
                <w:color w:val="auto"/>
              </w:rPr>
            </w:pPr>
            <w:r>
              <w:rPr>
                <w:rFonts w:ascii="Arial" w:cs="Arial" w:eastAsia="Arial" w:hAnsi="Arial"/>
                <w:sz w:val="13"/>
                <w:szCs w:val="13"/>
                <w:b w:val="1"/>
                <w:bCs w:val="1"/>
                <w:color w:val="auto"/>
              </w:rPr>
              <w:t>113,321</w:t>
            </w:r>
          </w:p>
        </w:tc>
        <w:tc>
          <w:tcPr>
            <w:tcW w:w="68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126,941</w:t>
            </w:r>
          </w:p>
        </w:tc>
        <w:tc>
          <w:tcPr>
            <w:tcW w:w="220" w:type="dxa"/>
            <w:vAlign w:val="bottom"/>
          </w:tcPr>
          <w:p>
            <w:pPr>
              <w:spacing w:after="0"/>
              <w:rPr>
                <w:sz w:val="11"/>
                <w:szCs w:val="11"/>
                <w:color w:val="auto"/>
              </w:rPr>
            </w:pP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3"/>
                <w:szCs w:val="13"/>
                <w:b w:val="1"/>
                <w:bCs w:val="1"/>
                <w:color w:val="auto"/>
              </w:rPr>
              <w:t>152,360</w:t>
            </w:r>
          </w:p>
        </w:tc>
        <w:tc>
          <w:tcPr>
            <w:tcW w:w="900" w:type="dxa"/>
            <w:vAlign w:val="bottom"/>
            <w:gridSpan w:val="2"/>
          </w:tcPr>
          <w:p>
            <w:pPr>
              <w:jc w:val="right"/>
              <w:ind w:right="100"/>
              <w:spacing w:after="0" w:line="135" w:lineRule="exact"/>
              <w:rPr>
                <w:sz w:val="20"/>
                <w:szCs w:val="20"/>
                <w:color w:val="auto"/>
              </w:rPr>
            </w:pPr>
            <w:r>
              <w:rPr>
                <w:rFonts w:ascii="Arial" w:cs="Arial" w:eastAsia="Arial" w:hAnsi="Arial"/>
                <w:sz w:val="13"/>
                <w:szCs w:val="13"/>
                <w:b w:val="1"/>
                <w:bCs w:val="1"/>
                <w:color w:val="auto"/>
              </w:rPr>
              <w:t>-25.6%</w:t>
            </w:r>
          </w:p>
        </w:tc>
        <w:tc>
          <w:tcPr>
            <w:tcW w:w="920" w:type="dxa"/>
            <w:vAlign w:val="bottom"/>
            <w:gridSpan w:val="2"/>
          </w:tcPr>
          <w:p>
            <w:pPr>
              <w:jc w:val="right"/>
              <w:ind w:right="120"/>
              <w:spacing w:after="0" w:line="135" w:lineRule="exact"/>
              <w:rPr>
                <w:sz w:val="20"/>
                <w:szCs w:val="20"/>
                <w:color w:val="auto"/>
              </w:rPr>
            </w:pPr>
            <w:r>
              <w:rPr>
                <w:rFonts w:ascii="Arial" w:cs="Arial" w:eastAsia="Arial" w:hAnsi="Arial"/>
                <w:sz w:val="13"/>
                <w:szCs w:val="13"/>
                <w:b w:val="1"/>
                <w:bCs w:val="1"/>
                <w:color w:val="auto"/>
              </w:rPr>
              <w:t>-10.7%</w:t>
            </w:r>
          </w:p>
        </w:tc>
        <w:tc>
          <w:tcPr>
            <w:tcW w:w="68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518,635</w:t>
            </w:r>
          </w:p>
        </w:tc>
        <w:tc>
          <w:tcPr>
            <w:tcW w:w="220" w:type="dxa"/>
            <w:vAlign w:val="bottom"/>
          </w:tcPr>
          <w:p>
            <w:pPr>
              <w:spacing w:after="0"/>
              <w:rPr>
                <w:sz w:val="11"/>
                <w:szCs w:val="11"/>
                <w:color w:val="auto"/>
              </w:rPr>
            </w:pPr>
          </w:p>
        </w:tc>
        <w:tc>
          <w:tcPr>
            <w:tcW w:w="880" w:type="dxa"/>
            <w:vAlign w:val="bottom"/>
            <w:gridSpan w:val="2"/>
          </w:tcPr>
          <w:p>
            <w:pPr>
              <w:jc w:val="right"/>
              <w:ind w:right="200"/>
              <w:spacing w:after="0" w:line="135" w:lineRule="exact"/>
              <w:rPr>
                <w:sz w:val="20"/>
                <w:szCs w:val="20"/>
                <w:color w:val="auto"/>
              </w:rPr>
            </w:pPr>
            <w:r>
              <w:rPr>
                <w:rFonts w:ascii="Arial" w:cs="Arial" w:eastAsia="Arial" w:hAnsi="Arial"/>
                <w:sz w:val="13"/>
                <w:szCs w:val="13"/>
                <w:b w:val="1"/>
                <w:bCs w:val="1"/>
                <w:color w:val="auto"/>
              </w:rPr>
              <w:t>560,769</w:t>
            </w:r>
          </w:p>
        </w:tc>
        <w:tc>
          <w:tcPr>
            <w:tcW w:w="820" w:type="dxa"/>
            <w:vAlign w:val="bottom"/>
            <w:gridSpan w:val="2"/>
          </w:tcPr>
          <w:p>
            <w:pPr>
              <w:jc w:val="right"/>
              <w:spacing w:after="0" w:line="135" w:lineRule="exact"/>
              <w:rPr>
                <w:sz w:val="20"/>
                <w:szCs w:val="20"/>
                <w:color w:val="auto"/>
              </w:rPr>
            </w:pPr>
            <w:r>
              <w:rPr>
                <w:rFonts w:ascii="Arial" w:cs="Arial" w:eastAsia="Arial" w:hAnsi="Arial"/>
                <w:sz w:val="13"/>
                <w:szCs w:val="13"/>
                <w:b w:val="1"/>
                <w:bCs w:val="1"/>
                <w:color w:val="auto"/>
              </w:rPr>
              <w:t>-7.5%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20" w:type="dxa"/>
            <w:vAlign w:val="bottom"/>
            <w:shd w:val="clear" w:color="auto" w:fill="CCFFCC"/>
          </w:tcPr>
          <w:p>
            <w:pPr>
              <w:ind w:left="160"/>
              <w:spacing w:after="0" w:line="135" w:lineRule="exact"/>
              <w:rPr>
                <w:sz w:val="20"/>
                <w:szCs w:val="20"/>
                <w:color w:val="auto"/>
              </w:rPr>
            </w:pPr>
            <w:r>
              <w:rPr>
                <w:rFonts w:ascii="Arial" w:cs="Arial" w:eastAsia="Arial" w:hAnsi="Arial"/>
                <w:sz w:val="13"/>
                <w:szCs w:val="13"/>
                <w:color w:val="auto"/>
              </w:rPr>
              <w:t>Translation result</w:t>
            </w:r>
          </w:p>
        </w:tc>
        <w:tc>
          <w:tcPr>
            <w:tcW w:w="96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12,609</w:t>
            </w:r>
          </w:p>
        </w:tc>
        <w:tc>
          <w:tcPr>
            <w:tcW w:w="9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10,204</w:t>
            </w:r>
          </w:p>
        </w:tc>
        <w:tc>
          <w:tcPr>
            <w:tcW w:w="90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(28,346)</w:t>
            </w:r>
          </w:p>
        </w:tc>
        <w:tc>
          <w:tcPr>
            <w:tcW w:w="90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144.5%</w:t>
            </w:r>
          </w:p>
        </w:tc>
        <w:tc>
          <w:tcPr>
            <w:tcW w:w="9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23.6%</w:t>
            </w:r>
          </w:p>
        </w:tc>
        <w:tc>
          <w:tcPr>
            <w:tcW w:w="68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7,802</w:t>
            </w:r>
          </w:p>
        </w:tc>
        <w:tc>
          <w:tcPr>
            <w:tcW w:w="220" w:type="dxa"/>
            <w:vAlign w:val="bottom"/>
            <w:shd w:val="clear" w:color="auto" w:fill="CCFFCC"/>
          </w:tcPr>
          <w:p>
            <w:pPr>
              <w:spacing w:after="0"/>
              <w:rPr>
                <w:sz w:val="11"/>
                <w:szCs w:val="11"/>
                <w:color w:val="auto"/>
              </w:rPr>
            </w:pPr>
          </w:p>
        </w:tc>
        <w:tc>
          <w:tcPr>
            <w:tcW w:w="880" w:type="dxa"/>
            <w:vAlign w:val="bottom"/>
            <w:gridSpan w:val="2"/>
            <w:shd w:val="clear" w:color="auto" w:fill="CCFFCC"/>
          </w:tcPr>
          <w:p>
            <w:pPr>
              <w:jc w:val="right"/>
              <w:ind w:right="160"/>
              <w:spacing w:after="0" w:line="135" w:lineRule="exact"/>
              <w:rPr>
                <w:sz w:val="20"/>
                <w:szCs w:val="20"/>
                <w:color w:val="auto"/>
              </w:rPr>
            </w:pPr>
            <w:r>
              <w:rPr>
                <w:rFonts w:ascii="Arial" w:cs="Arial" w:eastAsia="Arial" w:hAnsi="Arial"/>
                <w:sz w:val="13"/>
                <w:szCs w:val="13"/>
                <w:color w:val="auto"/>
              </w:rPr>
              <w:t>(12,244)</w:t>
            </w:r>
          </w:p>
        </w:tc>
        <w:tc>
          <w:tcPr>
            <w:tcW w:w="820" w:type="dxa"/>
            <w:vAlign w:val="bottom"/>
            <w:gridSpan w:val="2"/>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163.7%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20" w:type="dxa"/>
            <w:vAlign w:val="bottom"/>
          </w:tcPr>
          <w:p>
            <w:pPr>
              <w:ind w:left="160"/>
              <w:spacing w:after="0" w:line="135" w:lineRule="exact"/>
              <w:rPr>
                <w:sz w:val="20"/>
                <w:szCs w:val="20"/>
                <w:color w:val="auto"/>
              </w:rPr>
            </w:pPr>
            <w:r>
              <w:rPr>
                <w:rFonts w:ascii="Arial" w:cs="Arial" w:eastAsia="Arial" w:hAnsi="Arial"/>
                <w:sz w:val="13"/>
                <w:szCs w:val="13"/>
                <w:color w:val="auto"/>
              </w:rPr>
              <w:t>Employees’ profit sharing</w:t>
            </w:r>
          </w:p>
        </w:tc>
        <w:tc>
          <w:tcPr>
            <w:tcW w:w="9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(2,041)</w:t>
            </w:r>
          </w:p>
        </w:tc>
        <w:tc>
          <w:tcPr>
            <w:tcW w:w="9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(4,842)</w:t>
            </w:r>
          </w:p>
        </w:tc>
        <w:tc>
          <w:tcPr>
            <w:tcW w:w="9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(4,708)</w:t>
            </w:r>
          </w:p>
        </w:tc>
        <w:tc>
          <w:tcPr>
            <w:tcW w:w="9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-56.6%</w:t>
            </w:r>
          </w:p>
        </w:tc>
        <w:tc>
          <w:tcPr>
            <w:tcW w:w="9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-57.8%</w:t>
            </w:r>
          </w:p>
        </w:tc>
        <w:tc>
          <w:tcPr>
            <w:tcW w:w="9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(16,463)</w:t>
            </w:r>
          </w:p>
        </w:tc>
        <w:tc>
          <w:tcPr>
            <w:tcW w:w="8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(15,201)</w:t>
            </w:r>
          </w:p>
        </w:tc>
        <w:tc>
          <w:tcPr>
            <w:tcW w:w="82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8.3%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20" w:type="dxa"/>
            <w:vAlign w:val="bottom"/>
            <w:shd w:val="clear" w:color="auto" w:fill="CCFFCC"/>
          </w:tcPr>
          <w:p>
            <w:pPr>
              <w:ind w:left="160"/>
              <w:spacing w:after="0" w:line="135" w:lineRule="exact"/>
              <w:rPr>
                <w:sz w:val="20"/>
                <w:szCs w:val="20"/>
                <w:color w:val="auto"/>
              </w:rPr>
            </w:pPr>
            <w:r>
              <w:rPr>
                <w:rFonts w:ascii="Arial" w:cs="Arial" w:eastAsia="Arial" w:hAnsi="Arial"/>
                <w:sz w:val="13"/>
                <w:szCs w:val="13"/>
                <w:color w:val="auto"/>
              </w:rPr>
              <w:t>Income taxes</w:t>
            </w:r>
          </w:p>
        </w:tc>
        <w:tc>
          <w:tcPr>
            <w:tcW w:w="96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(16,166)</w:t>
            </w:r>
          </w:p>
        </w:tc>
        <w:tc>
          <w:tcPr>
            <w:tcW w:w="90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(30,558)</w:t>
            </w:r>
          </w:p>
        </w:tc>
        <w:tc>
          <w:tcPr>
            <w:tcW w:w="90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(32,143)</w:t>
            </w:r>
          </w:p>
        </w:tc>
        <w:tc>
          <w:tcPr>
            <w:tcW w:w="90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-49.7%</w:t>
            </w:r>
          </w:p>
        </w:tc>
        <w:tc>
          <w:tcPr>
            <w:tcW w:w="9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-47.1%</w:t>
            </w:r>
          </w:p>
        </w:tc>
        <w:tc>
          <w:tcPr>
            <w:tcW w:w="90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(111,421)</w:t>
            </w:r>
          </w:p>
        </w:tc>
        <w:tc>
          <w:tcPr>
            <w:tcW w:w="880" w:type="dxa"/>
            <w:vAlign w:val="bottom"/>
            <w:gridSpan w:val="2"/>
            <w:shd w:val="clear" w:color="auto" w:fill="CCFFCC"/>
          </w:tcPr>
          <w:p>
            <w:pPr>
              <w:jc w:val="right"/>
              <w:ind w:right="160"/>
              <w:spacing w:after="0" w:line="135" w:lineRule="exact"/>
              <w:rPr>
                <w:sz w:val="20"/>
                <w:szCs w:val="20"/>
                <w:color w:val="auto"/>
              </w:rPr>
            </w:pPr>
            <w:r>
              <w:rPr>
                <w:rFonts w:ascii="Arial" w:cs="Arial" w:eastAsia="Arial" w:hAnsi="Arial"/>
                <w:sz w:val="13"/>
                <w:szCs w:val="13"/>
                <w:color w:val="auto"/>
              </w:rPr>
              <w:t>(107,979)</w:t>
            </w:r>
          </w:p>
        </w:tc>
        <w:tc>
          <w:tcPr>
            <w:tcW w:w="820" w:type="dxa"/>
            <w:vAlign w:val="bottom"/>
            <w:gridSpan w:val="2"/>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3.2%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20" w:type="dxa"/>
            <w:vAlign w:val="bottom"/>
          </w:tcPr>
          <w:p>
            <w:pPr>
              <w:ind w:left="160"/>
              <w:spacing w:after="0" w:line="135" w:lineRule="exact"/>
              <w:rPr>
                <w:sz w:val="20"/>
                <w:szCs w:val="20"/>
                <w:color w:val="auto"/>
              </w:rPr>
            </w:pPr>
            <w:r>
              <w:rPr>
                <w:rFonts w:ascii="Arial" w:cs="Arial" w:eastAsia="Arial" w:hAnsi="Arial"/>
                <w:sz w:val="13"/>
                <w:szCs w:val="13"/>
                <w:color w:val="auto"/>
              </w:rPr>
              <w:t>Minority Interest</w:t>
            </w:r>
          </w:p>
        </w:tc>
        <w:tc>
          <w:tcPr>
            <w:tcW w:w="9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(325)</w:t>
            </w:r>
          </w:p>
        </w:tc>
        <w:tc>
          <w:tcPr>
            <w:tcW w:w="9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(289)</w:t>
            </w:r>
          </w:p>
        </w:tc>
        <w:tc>
          <w:tcPr>
            <w:tcW w:w="9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(532)</w:t>
            </w:r>
          </w:p>
        </w:tc>
        <w:tc>
          <w:tcPr>
            <w:tcW w:w="9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-38.9%</w:t>
            </w:r>
          </w:p>
        </w:tc>
        <w:tc>
          <w:tcPr>
            <w:tcW w:w="9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12.5%</w:t>
            </w:r>
          </w:p>
        </w:tc>
        <w:tc>
          <w:tcPr>
            <w:tcW w:w="9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(1,175)</w:t>
            </w:r>
          </w:p>
        </w:tc>
        <w:tc>
          <w:tcPr>
            <w:tcW w:w="8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(1,816)</w:t>
            </w:r>
          </w:p>
        </w:tc>
        <w:tc>
          <w:tcPr>
            <w:tcW w:w="82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-35.3%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20" w:type="dxa"/>
            <w:vAlign w:val="bottom"/>
            <w:shd w:val="clear" w:color="auto" w:fill="CCFFCC"/>
          </w:tcPr>
          <w:p>
            <w:pPr>
              <w:spacing w:after="0" w:line="135" w:lineRule="exact"/>
              <w:rPr>
                <w:sz w:val="20"/>
                <w:szCs w:val="20"/>
                <w:color w:val="auto"/>
              </w:rPr>
            </w:pPr>
            <w:r>
              <w:rPr>
                <w:rFonts w:ascii="Arial" w:cs="Arial" w:eastAsia="Arial" w:hAnsi="Arial"/>
                <w:sz w:val="13"/>
                <w:szCs w:val="13"/>
                <w:b w:val="1"/>
                <w:bCs w:val="1"/>
                <w:color w:val="auto"/>
              </w:rPr>
              <w:t>Net income</w:t>
            </w:r>
          </w:p>
        </w:tc>
        <w:tc>
          <w:tcPr>
            <w:tcW w:w="96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b w:val="1"/>
                <w:bCs w:val="1"/>
                <w:color w:val="auto"/>
              </w:rPr>
              <w:t>107,398</w:t>
            </w:r>
          </w:p>
        </w:tc>
        <w:tc>
          <w:tcPr>
            <w:tcW w:w="68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b w:val="1"/>
                <w:bCs w:val="1"/>
                <w:color w:val="auto"/>
              </w:rPr>
              <w:t>101,456</w:t>
            </w:r>
          </w:p>
        </w:tc>
        <w:tc>
          <w:tcPr>
            <w:tcW w:w="220" w:type="dxa"/>
            <w:vAlign w:val="bottom"/>
            <w:shd w:val="clear" w:color="auto" w:fill="CCFFCC"/>
          </w:tcPr>
          <w:p>
            <w:pPr>
              <w:spacing w:after="0"/>
              <w:rPr>
                <w:sz w:val="11"/>
                <w:szCs w:val="11"/>
                <w:color w:val="auto"/>
              </w:rPr>
            </w:pPr>
          </w:p>
        </w:tc>
        <w:tc>
          <w:tcPr>
            <w:tcW w:w="9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b w:val="1"/>
                <w:bCs w:val="1"/>
                <w:color w:val="auto"/>
              </w:rPr>
              <w:t>86,631</w:t>
            </w:r>
          </w:p>
        </w:tc>
        <w:tc>
          <w:tcPr>
            <w:tcW w:w="90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b w:val="1"/>
                <w:bCs w:val="1"/>
                <w:color w:val="auto"/>
              </w:rPr>
              <w:t>24.0%</w:t>
            </w:r>
          </w:p>
        </w:tc>
        <w:tc>
          <w:tcPr>
            <w:tcW w:w="92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b w:val="1"/>
                <w:bCs w:val="1"/>
                <w:color w:val="auto"/>
              </w:rPr>
              <w:t>5.9%</w:t>
            </w:r>
          </w:p>
        </w:tc>
        <w:tc>
          <w:tcPr>
            <w:tcW w:w="68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b w:val="1"/>
                <w:bCs w:val="1"/>
                <w:color w:val="auto"/>
              </w:rPr>
              <w:t>397,378</w:t>
            </w:r>
          </w:p>
        </w:tc>
        <w:tc>
          <w:tcPr>
            <w:tcW w:w="220" w:type="dxa"/>
            <w:vAlign w:val="bottom"/>
            <w:shd w:val="clear" w:color="auto" w:fill="CCFFCC"/>
          </w:tcPr>
          <w:p>
            <w:pPr>
              <w:spacing w:after="0"/>
              <w:rPr>
                <w:sz w:val="11"/>
                <w:szCs w:val="11"/>
                <w:color w:val="auto"/>
              </w:rPr>
            </w:pPr>
          </w:p>
        </w:tc>
        <w:tc>
          <w:tcPr>
            <w:tcW w:w="88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b w:val="1"/>
                <w:bCs w:val="1"/>
                <w:color w:val="auto"/>
              </w:rPr>
              <w:t>423,529</w:t>
            </w:r>
          </w:p>
        </w:tc>
        <w:tc>
          <w:tcPr>
            <w:tcW w:w="820" w:type="dxa"/>
            <w:vAlign w:val="bottom"/>
            <w:gridSpan w:val="2"/>
            <w:shd w:val="clear" w:color="auto" w:fill="CCFFCC"/>
          </w:tcPr>
          <w:p>
            <w:pPr>
              <w:jc w:val="right"/>
              <w:spacing w:after="0" w:line="135" w:lineRule="exact"/>
              <w:rPr>
                <w:sz w:val="20"/>
                <w:szCs w:val="20"/>
                <w:color w:val="auto"/>
              </w:rPr>
            </w:pPr>
            <w:r>
              <w:rPr>
                <w:rFonts w:ascii="Arial" w:cs="Arial" w:eastAsia="Arial" w:hAnsi="Arial"/>
                <w:sz w:val="13"/>
                <w:szCs w:val="13"/>
                <w:b w:val="1"/>
                <w:bCs w:val="1"/>
                <w:color w:val="auto"/>
              </w:rPr>
              <w:t>-6.2%</w:t>
            </w:r>
          </w:p>
        </w:tc>
        <w:tc>
          <w:tcPr>
            <w:tcW w:w="0" w:type="dxa"/>
            <w:vAlign w:val="bottom"/>
          </w:tcPr>
          <w:p>
            <w:pPr>
              <w:spacing w:after="0"/>
              <w:rPr>
                <w:sz w:val="1"/>
                <w:szCs w:val="1"/>
                <w:color w:val="auto"/>
              </w:rPr>
            </w:pPr>
          </w:p>
        </w:tc>
      </w:tr>
    </w:tbl>
    <w:p>
      <w:pPr>
        <w:spacing w:after="0" w:line="3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6" w:right="23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6254750</wp:posOffset>
            </wp:positionH>
            <wp:positionV relativeFrom="page">
              <wp:posOffset>337820</wp:posOffset>
            </wp:positionV>
            <wp:extent cx="1149350" cy="3175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clrChange>
                        <a:clrFrom>
                          <a:srgbClr val="FFFFFF"/>
                        </a:clrFrom>
                        <a:clrTo>
                          <a:srgbClr val="FFFFFF">
                            <a:alpha val="0"/>
                          </a:srgbClr>
                        </a:clrTo>
                      </a:clrChange>
                      <a:extLst>
                        <a:ext uri="{28A0092B-C50C-407E-A947-70E740481C1C}"/>
                      </a:extLst>
                    </a:blip>
                    <a:srcRect/>
                    <a:stretch>
                      <a:fillRect/>
                    </a:stretch>
                  </pic:blipFill>
                  <pic:spPr bwMode="auto">
                    <a:xfrm>
                      <a:off x="0" y="0"/>
                      <a:ext cx="1149350" cy="317500"/>
                    </a:xfrm>
                    <a:prstGeom prst="rect">
                      <a:avLst/>
                    </a:prstGeom>
                    <a:noFill/>
                  </pic:spPr>
                </pic:pic>
              </a:graphicData>
            </a:graphic>
          </wp:anchor>
        </w:drawing>
        <w:t>BANCO DE CREDITO DEL PERU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INDICATORS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8"/>
                <w:szCs w:val="18"/>
                <w:b w:val="1"/>
                <w:bCs w:val="1"/>
                <w:color w:val="auto"/>
              </w:rPr>
              <w:t>Quarter</w:t>
            </w:r>
          </w:p>
        </w:tc>
        <w:tc>
          <w:tcPr>
            <w:tcW w:w="10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600" w:type="dxa"/>
            <w:vAlign w:val="bottom"/>
            <w:tcBorders>
              <w:bottom w:val="single" w:sz="8" w:color="auto"/>
            </w:tcBorders>
            <w:gridSpan w:val="3"/>
          </w:tcPr>
          <w:p>
            <w:pPr>
              <w:ind w:left="720"/>
              <w:spacing w:after="0"/>
              <w:rPr>
                <w:sz w:val="20"/>
                <w:szCs w:val="20"/>
                <w:color w:val="auto"/>
              </w:rPr>
            </w:pPr>
            <w:r>
              <w:rPr>
                <w:rFonts w:ascii="Arial" w:cs="Arial" w:eastAsia="Arial" w:hAnsi="Arial"/>
                <w:sz w:val="18"/>
                <w:szCs w:val="18"/>
                <w:b w:val="1"/>
                <w:bCs w:val="1"/>
                <w:color w:val="auto"/>
                <w:w w:val="87"/>
              </w:rPr>
              <w:t>Year to end</w:t>
            </w:r>
          </w:p>
        </w:tc>
        <w:tc>
          <w:tcPr>
            <w:tcW w:w="7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00" w:type="dxa"/>
            <w:vAlign w:val="bottom"/>
          </w:tcPr>
          <w:p>
            <w:pPr>
              <w:spacing w:after="0"/>
              <w:rPr>
                <w:sz w:val="19"/>
                <w:szCs w:val="19"/>
                <w:color w:val="auto"/>
              </w:rPr>
            </w:pPr>
          </w:p>
        </w:tc>
        <w:tc>
          <w:tcPr>
            <w:tcW w:w="128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4Q09</w:t>
            </w:r>
          </w:p>
        </w:tc>
        <w:tc>
          <w:tcPr>
            <w:tcW w:w="128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3Q09</w:t>
            </w:r>
          </w:p>
        </w:tc>
        <w:tc>
          <w:tcPr>
            <w:tcW w:w="1020" w:type="dxa"/>
            <w:vAlign w:val="bottom"/>
          </w:tcPr>
          <w:p>
            <w:pPr>
              <w:jc w:val="right"/>
              <w:ind w:right="210"/>
              <w:spacing w:after="0"/>
              <w:rPr>
                <w:sz w:val="20"/>
                <w:szCs w:val="20"/>
                <w:color w:val="auto"/>
              </w:rPr>
            </w:pPr>
            <w:r>
              <w:rPr>
                <w:rFonts w:ascii="Arial" w:cs="Arial" w:eastAsia="Arial" w:hAnsi="Arial"/>
                <w:sz w:val="18"/>
                <w:szCs w:val="18"/>
                <w:b w:val="1"/>
                <w:bCs w:val="1"/>
                <w:color w:val="auto"/>
              </w:rPr>
              <w:t>4Q08</w:t>
            </w:r>
          </w:p>
        </w:tc>
        <w:tc>
          <w:tcPr>
            <w:tcW w:w="260" w:type="dxa"/>
            <w:vAlign w:val="bottom"/>
          </w:tcPr>
          <w:p>
            <w:pPr>
              <w:spacing w:after="0"/>
              <w:rPr>
                <w:sz w:val="19"/>
                <w:szCs w:val="19"/>
                <w:color w:val="auto"/>
              </w:rPr>
            </w:pPr>
          </w:p>
        </w:tc>
        <w:tc>
          <w:tcPr>
            <w:tcW w:w="1020" w:type="dxa"/>
            <w:vAlign w:val="bottom"/>
          </w:tcPr>
          <w:p>
            <w:pPr>
              <w:jc w:val="right"/>
              <w:ind w:right="250"/>
              <w:spacing w:after="0"/>
              <w:rPr>
                <w:sz w:val="20"/>
                <w:szCs w:val="20"/>
                <w:color w:val="auto"/>
              </w:rPr>
            </w:pPr>
            <w:r>
              <w:rPr>
                <w:rFonts w:ascii="Arial" w:cs="Arial" w:eastAsia="Arial" w:hAnsi="Arial"/>
                <w:sz w:val="18"/>
                <w:szCs w:val="18"/>
                <w:b w:val="1"/>
                <w:bCs w:val="1"/>
                <w:color w:val="auto"/>
              </w:rPr>
              <w:t>2009</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jc w:val="right"/>
              <w:ind w:right="230"/>
              <w:spacing w:after="0"/>
              <w:rPr>
                <w:sz w:val="20"/>
                <w:szCs w:val="20"/>
                <w:color w:val="auto"/>
              </w:rPr>
            </w:pPr>
            <w:r>
              <w:rPr>
                <w:rFonts w:ascii="Arial" w:cs="Arial" w:eastAsia="Arial" w:hAnsi="Arial"/>
                <w:sz w:val="18"/>
                <w:szCs w:val="18"/>
                <w:b w:val="1"/>
                <w:bCs w:val="1"/>
                <w:color w:val="auto"/>
                <w:w w:val="89"/>
              </w:rPr>
              <w:t>2008</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0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Profitability</w:t>
            </w:r>
          </w:p>
        </w:tc>
        <w:tc>
          <w:tcPr>
            <w:tcW w:w="10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7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160"/>
              <w:spacing w:after="0"/>
              <w:rPr>
                <w:sz w:val="20"/>
                <w:szCs w:val="20"/>
                <w:color w:val="auto"/>
              </w:rPr>
            </w:pPr>
            <w:r>
              <w:rPr>
                <w:rFonts w:ascii="Arial" w:cs="Arial" w:eastAsia="Arial" w:hAnsi="Arial"/>
                <w:sz w:val="18"/>
                <w:szCs w:val="18"/>
                <w:color w:val="auto"/>
              </w:rPr>
              <w:t>Net income per common share (US$ per share)(1)</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0.048</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0.046</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0.039</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0.178</w:t>
            </w:r>
          </w:p>
        </w:tc>
        <w:tc>
          <w:tcPr>
            <w:tcW w:w="3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0.190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Net interest margin on interest earning assets (2)</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5.02%</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4.87%</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4.55%</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4.81%</w:t>
            </w:r>
          </w:p>
        </w:tc>
        <w:tc>
          <w:tcPr>
            <w:tcW w:w="32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160"/>
              <w:spacing w:after="0"/>
              <w:rPr>
                <w:sz w:val="20"/>
                <w:szCs w:val="20"/>
                <w:color w:val="auto"/>
              </w:rPr>
            </w:pPr>
            <w:r>
              <w:rPr>
                <w:rFonts w:ascii="Arial" w:cs="Arial" w:eastAsia="Arial" w:hAnsi="Arial"/>
                <w:sz w:val="18"/>
                <w:szCs w:val="18"/>
                <w:color w:val="auto"/>
              </w:rPr>
              <w:t>Return on average total assets (2)(3)</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2.29%</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2.25%</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1.88%</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2.14%</w:t>
            </w:r>
          </w:p>
        </w:tc>
        <w:tc>
          <w:tcPr>
            <w:tcW w:w="3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Return on average shareholders' equity (2)(3)</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26.59%</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27.06%</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25.48%</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26.55%</w:t>
            </w:r>
          </w:p>
        </w:tc>
        <w:tc>
          <w:tcPr>
            <w:tcW w:w="32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160"/>
              <w:spacing w:after="0"/>
              <w:rPr>
                <w:sz w:val="20"/>
                <w:szCs w:val="20"/>
                <w:color w:val="auto"/>
              </w:rPr>
            </w:pPr>
            <w:r>
              <w:rPr>
                <w:rFonts w:ascii="Arial" w:cs="Arial" w:eastAsia="Arial" w:hAnsi="Arial"/>
                <w:sz w:val="18"/>
                <w:szCs w:val="18"/>
                <w:color w:val="auto"/>
              </w:rPr>
              <w:t>No. of outstanding shares (millions)</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2,228.29</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2,228.29</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2,228.29</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2,228.29</w:t>
            </w:r>
          </w:p>
        </w:tc>
        <w:tc>
          <w:tcPr>
            <w:tcW w:w="3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w w:val="96"/>
              </w:rPr>
              <w:t>2,228.29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0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7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b w:val="1"/>
                <w:bCs w:val="1"/>
                <w:color w:val="auto"/>
              </w:rPr>
              <w:t>Quality of loan portfolio</w:t>
            </w: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Past due loans as a percentage of total loans</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1.59%</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1.56%</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0.79%</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1.59%</w:t>
            </w:r>
          </w:p>
        </w:tc>
        <w:tc>
          <w:tcPr>
            <w:tcW w:w="32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0.79%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160"/>
              <w:spacing w:after="0"/>
              <w:rPr>
                <w:sz w:val="20"/>
                <w:szCs w:val="20"/>
                <w:color w:val="auto"/>
              </w:rPr>
            </w:pPr>
            <w:r>
              <w:rPr>
                <w:rFonts w:ascii="Arial" w:cs="Arial" w:eastAsia="Arial" w:hAnsi="Arial"/>
                <w:sz w:val="18"/>
                <w:szCs w:val="18"/>
                <w:color w:val="auto"/>
                <w:w w:val="96"/>
              </w:rPr>
              <w:t>Reserves for loan losses as a percentage of total past due loans</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192.30%</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191.82%</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271.93%</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192.30%</w:t>
            </w:r>
          </w:p>
        </w:tc>
        <w:tc>
          <w:tcPr>
            <w:tcW w:w="3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271.93%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Reserves for loan losses as a percentage of total loans</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3.05%</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3.00%</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2.14%</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3.05%</w:t>
            </w:r>
          </w:p>
        </w:tc>
        <w:tc>
          <w:tcPr>
            <w:tcW w:w="32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Operating efficiency</w:t>
            </w:r>
          </w:p>
        </w:tc>
        <w:tc>
          <w:tcPr>
            <w:tcW w:w="10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7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160"/>
              <w:spacing w:after="0"/>
              <w:rPr>
                <w:sz w:val="20"/>
                <w:szCs w:val="20"/>
                <w:color w:val="auto"/>
              </w:rPr>
            </w:pPr>
            <w:r>
              <w:rPr>
                <w:rFonts w:ascii="Arial" w:cs="Arial" w:eastAsia="Arial" w:hAnsi="Arial"/>
                <w:sz w:val="18"/>
                <w:szCs w:val="18"/>
                <w:color w:val="auto"/>
              </w:rPr>
              <w:t>Oper. expense as a percent. of total income (4)</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53.82%</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48.80%</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57.25%</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51.88%</w:t>
            </w:r>
          </w:p>
        </w:tc>
        <w:tc>
          <w:tcPr>
            <w:tcW w:w="3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50.28%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Oper. expense as a percent. of av. tot. assets(2)(3)(4)</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3.96%</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3.42%</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3.83%</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3.53%</w:t>
            </w:r>
          </w:p>
        </w:tc>
        <w:tc>
          <w:tcPr>
            <w:tcW w:w="32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Capital adequacy</w:t>
            </w:r>
          </w:p>
        </w:tc>
        <w:tc>
          <w:tcPr>
            <w:tcW w:w="10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7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160"/>
              <w:spacing w:after="0"/>
              <w:rPr>
                <w:sz w:val="20"/>
                <w:szCs w:val="20"/>
                <w:color w:val="auto"/>
              </w:rPr>
            </w:pPr>
            <w:r>
              <w:rPr>
                <w:rFonts w:ascii="Arial" w:cs="Arial" w:eastAsia="Arial" w:hAnsi="Arial"/>
                <w:sz w:val="18"/>
                <w:szCs w:val="18"/>
                <w:color w:val="auto"/>
              </w:rPr>
              <w:t>Total Regulatory Capital (US$Mn)</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1,888.3</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1,739.0</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1,303.2</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1,888.3</w:t>
            </w:r>
          </w:p>
        </w:tc>
        <w:tc>
          <w:tcPr>
            <w:tcW w:w="3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1,303.2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Risk-weighted assets (US$Mn)</w:t>
            </w:r>
          </w:p>
        </w:tc>
        <w:tc>
          <w:tcPr>
            <w:tcW w:w="128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1,450.0</w:t>
            </w:r>
          </w:p>
        </w:tc>
        <w:tc>
          <w:tcPr>
            <w:tcW w:w="128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1,289.4</w:t>
            </w:r>
          </w:p>
        </w:tc>
        <w:tc>
          <w:tcPr>
            <w:tcW w:w="128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1,020.0</w:t>
            </w:r>
          </w:p>
        </w:tc>
        <w:tc>
          <w:tcPr>
            <w:tcW w:w="128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1,450.0</w:t>
            </w:r>
          </w:p>
        </w:tc>
        <w:tc>
          <w:tcPr>
            <w:tcW w:w="32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1,020.0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160"/>
              <w:spacing w:after="0"/>
              <w:rPr>
                <w:sz w:val="20"/>
                <w:szCs w:val="20"/>
                <w:color w:val="auto"/>
              </w:rPr>
            </w:pPr>
            <w:r>
              <w:rPr>
                <w:rFonts w:ascii="Arial" w:cs="Arial" w:eastAsia="Arial" w:hAnsi="Arial"/>
                <w:sz w:val="18"/>
                <w:szCs w:val="18"/>
                <w:color w:val="auto"/>
              </w:rPr>
              <w:t>Regulatory capital / risk-weighted assets (5)</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14.5%</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14.5%</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11.5%</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14.5%</w:t>
            </w:r>
          </w:p>
        </w:tc>
        <w:tc>
          <w:tcPr>
            <w:tcW w:w="3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0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7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b w:val="1"/>
                <w:bCs w:val="1"/>
                <w:color w:val="auto"/>
              </w:rPr>
              <w:t>Average balances (millions of US$) (3)</w:t>
            </w: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Interest earning assets</w:t>
            </w:r>
          </w:p>
        </w:tc>
        <w:tc>
          <w:tcPr>
            <w:tcW w:w="128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16,826.9</w:t>
            </w:r>
          </w:p>
        </w:tc>
        <w:tc>
          <w:tcPr>
            <w:tcW w:w="128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16,203.5</w:t>
            </w:r>
          </w:p>
        </w:tc>
        <w:tc>
          <w:tcPr>
            <w:tcW w:w="128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16,661.2</w:t>
            </w:r>
          </w:p>
        </w:tc>
        <w:tc>
          <w:tcPr>
            <w:tcW w:w="128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16,579.6</w:t>
            </w:r>
          </w:p>
        </w:tc>
        <w:tc>
          <w:tcPr>
            <w:tcW w:w="32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w w:val="96"/>
              </w:rPr>
              <w:t>16,064.5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160"/>
              <w:spacing w:after="0"/>
              <w:rPr>
                <w:sz w:val="20"/>
                <w:szCs w:val="20"/>
                <w:color w:val="auto"/>
              </w:rPr>
            </w:pPr>
            <w:r>
              <w:rPr>
                <w:rFonts w:ascii="Arial" w:cs="Arial" w:eastAsia="Arial" w:hAnsi="Arial"/>
                <w:sz w:val="18"/>
                <w:szCs w:val="18"/>
                <w:color w:val="auto"/>
              </w:rPr>
              <w:t>Total Assets</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18,721.8</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18,033.8</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18,390.9</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18,538.7</w:t>
            </w:r>
          </w:p>
        </w:tc>
        <w:tc>
          <w:tcPr>
            <w:tcW w:w="3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w w:val="96"/>
              </w:rPr>
              <w:t>18,013.6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Net equity</w:t>
            </w:r>
          </w:p>
        </w:tc>
        <w:tc>
          <w:tcPr>
            <w:tcW w:w="128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1,615.9</w:t>
            </w:r>
          </w:p>
        </w:tc>
        <w:tc>
          <w:tcPr>
            <w:tcW w:w="128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1,499.5</w:t>
            </w:r>
          </w:p>
        </w:tc>
        <w:tc>
          <w:tcPr>
            <w:tcW w:w="128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1,360.1</w:t>
            </w:r>
          </w:p>
        </w:tc>
        <w:tc>
          <w:tcPr>
            <w:tcW w:w="128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1,496.7</w:t>
            </w:r>
          </w:p>
        </w:tc>
        <w:tc>
          <w:tcPr>
            <w:tcW w:w="32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1,292.5</w:t>
            </w:r>
          </w:p>
        </w:tc>
        <w:tc>
          <w:tcPr>
            <w:tcW w:w="0" w:type="dxa"/>
            <w:vAlign w:val="bottom"/>
          </w:tcPr>
          <w:p>
            <w:pPr>
              <w:spacing w:after="0"/>
              <w:rPr>
                <w:sz w:val="1"/>
                <w:szCs w:val="1"/>
                <w:color w:val="auto"/>
              </w:rPr>
            </w:pPr>
          </w:p>
        </w:tc>
      </w:tr>
    </w:tbl>
    <w:p>
      <w:pPr>
        <w:ind w:left="260" w:hanging="252"/>
        <w:spacing w:after="0"/>
        <w:tabs>
          <w:tab w:leader="none" w:pos="260" w:val="left"/>
        </w:tabs>
        <w:numPr>
          <w:ilvl w:val="0"/>
          <w:numId w:val="15"/>
        </w:numPr>
        <w:rPr>
          <w:rFonts w:ascii="Arial" w:cs="Arial" w:eastAsia="Arial" w:hAnsi="Arial"/>
          <w:sz w:val="17"/>
          <w:szCs w:val="17"/>
          <w:i w:val="1"/>
          <w:iCs w:val="1"/>
          <w:color w:val="auto"/>
        </w:rPr>
      </w:pPr>
      <w:r>
        <w:rPr>
          <w:rFonts w:ascii="Arial" w:cs="Arial" w:eastAsia="Arial" w:hAnsi="Arial"/>
          <w:sz w:val="17"/>
          <w:szCs w:val="17"/>
          <w:i w:val="1"/>
          <w:iCs w:val="1"/>
          <w:color w:val="auto"/>
        </w:rPr>
        <w:t>Shares outstanding of 2,228 million is used for all periods since shares have been issued only for capitalization of profits and inflation adjustment.</w:t>
      </w:r>
    </w:p>
    <w:p>
      <w:pPr>
        <w:spacing w:after="0" w:line="20" w:lineRule="exact"/>
        <w:rPr>
          <w:rFonts w:ascii="Arial" w:cs="Arial" w:eastAsia="Arial" w:hAnsi="Arial"/>
          <w:sz w:val="17"/>
          <w:szCs w:val="17"/>
          <w:i w:val="1"/>
          <w:iCs w:val="1"/>
          <w:color w:val="auto"/>
        </w:rPr>
      </w:pPr>
    </w:p>
    <w:p>
      <w:pPr>
        <w:ind w:left="260" w:hanging="252"/>
        <w:spacing w:after="0"/>
        <w:tabs>
          <w:tab w:leader="none" w:pos="26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Ratios are annualized.</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Averages are determined as the average of period-beginning and period-ending balances.</w:t>
      </w:r>
    </w:p>
    <w:p>
      <w:pPr>
        <w:spacing w:after="0" w:line="9" w:lineRule="exact"/>
        <w:rPr>
          <w:rFonts w:ascii="Arial" w:cs="Arial" w:eastAsia="Arial" w:hAnsi="Arial"/>
          <w:sz w:val="18"/>
          <w:szCs w:val="18"/>
          <w:i w:val="1"/>
          <w:iCs w:val="1"/>
          <w:color w:val="auto"/>
        </w:rPr>
      </w:pPr>
    </w:p>
    <w:p>
      <w:pPr>
        <w:ind w:right="340" w:firstLine="8"/>
        <w:spacing w:after="0" w:line="250" w:lineRule="auto"/>
        <w:tabs>
          <w:tab w:leader="none" w:pos="255"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Total income includes net interest income, fee income and net gain on foreign exchange transactions. Operating expense includes personnel expenses, administrative expenses and depreciation and amortization</w:t>
      </w:r>
    </w:p>
    <w:p>
      <w:pPr>
        <w:ind w:left="260" w:hanging="252"/>
        <w:spacing w:after="0"/>
        <w:tabs>
          <w:tab w:leader="none" w:pos="26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Risk-weighted assets include market risk assets</w:t>
      </w:r>
    </w:p>
    <w:p>
      <w:pPr>
        <w:spacing w:after="0" w:line="3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6" w:right="239" w:bottom="1440" w:gutter="0" w:footer="0" w:header="0"/>
        </w:sectPr>
      </w:pPr>
    </w:p>
    <w:bookmarkStart w:id="44" w:name="page45"/>
    <w:bookmarkEnd w:id="44"/>
    <w:p>
      <w:pPr>
        <w:spacing w:after="0" w:line="2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6254750</wp:posOffset>
            </wp:positionH>
            <wp:positionV relativeFrom="page">
              <wp:posOffset>337820</wp:posOffset>
            </wp:positionV>
            <wp:extent cx="1149350" cy="3175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clrChange>
                        <a:clrFrom>
                          <a:srgbClr val="FFFFFF"/>
                        </a:clrFrom>
                        <a:clrTo>
                          <a:srgbClr val="FFFFFF">
                            <a:alpha val="0"/>
                          </a:srgbClr>
                        </a:clrTo>
                      </a:clrChange>
                      <a:extLst>
                        <a:ext uri="{28A0092B-C50C-407E-A947-70E740481C1C}"/>
                      </a:extLst>
                    </a:blip>
                    <a:srcRect/>
                    <a:stretch>
                      <a:fillRect/>
                    </a:stretch>
                  </pic:blipFill>
                  <pic:spPr bwMode="auto">
                    <a:xfrm>
                      <a:off x="0" y="0"/>
                      <a:ext cx="1149350" cy="31750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EL PACIFICO - PERUANO SUIZA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 dollars)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5100" w:type="dxa"/>
            <w:vAlign w:val="bottom"/>
          </w:tcPr>
          <w:p>
            <w:pPr>
              <w:spacing w:after="0"/>
              <w:rPr>
                <w:sz w:val="17"/>
                <w:szCs w:val="17"/>
                <w:color w:val="auto"/>
              </w:rPr>
            </w:pPr>
          </w:p>
        </w:tc>
        <w:tc>
          <w:tcPr>
            <w:tcW w:w="3840" w:type="dxa"/>
            <w:vAlign w:val="bottom"/>
            <w:gridSpan w:val="6"/>
          </w:tcPr>
          <w:p>
            <w:pPr>
              <w:jc w:val="center"/>
              <w:ind w:right="280"/>
              <w:spacing w:after="0"/>
              <w:rPr>
                <w:sz w:val="20"/>
                <w:szCs w:val="20"/>
                <w:color w:val="auto"/>
              </w:rPr>
            </w:pPr>
            <w:r>
              <w:rPr>
                <w:rFonts w:ascii="Arial" w:cs="Arial" w:eastAsia="Arial" w:hAnsi="Arial"/>
                <w:sz w:val="16"/>
                <w:szCs w:val="16"/>
                <w:b w:val="1"/>
                <w:bCs w:val="1"/>
                <w:color w:val="auto"/>
                <w:w w:val="91"/>
              </w:rPr>
              <w:t>Balance to and for the period of</w:t>
            </w: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0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90"/>
              </w:rPr>
              <w:t>Three month ending</w:t>
            </w:r>
          </w:p>
        </w:tc>
        <w:tc>
          <w:tcPr>
            <w:tcW w:w="10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tcBorders>
              <w:bottom w:val="single" w:sz="8" w:color="auto"/>
            </w:tcBorders>
            <w:gridSpan w:val="3"/>
          </w:tcPr>
          <w:p>
            <w:pPr>
              <w:ind w:left="780"/>
              <w:spacing w:after="0"/>
              <w:rPr>
                <w:sz w:val="20"/>
                <w:szCs w:val="20"/>
                <w:color w:val="auto"/>
              </w:rPr>
            </w:pPr>
            <w:r>
              <w:rPr>
                <w:rFonts w:ascii="Arial" w:cs="Arial" w:eastAsia="Arial" w:hAnsi="Arial"/>
                <w:sz w:val="16"/>
                <w:szCs w:val="16"/>
                <w:b w:val="1"/>
                <w:bCs w:val="1"/>
                <w:color w:val="auto"/>
                <w:w w:val="95"/>
              </w:rPr>
              <w:t>Change %</w:t>
            </w:r>
          </w:p>
        </w:tc>
        <w:tc>
          <w:tcPr>
            <w:tcW w:w="76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1280" w:type="dxa"/>
            <w:vAlign w:val="bottom"/>
            <w:gridSpan w:val="2"/>
          </w:tcPr>
          <w:p>
            <w:pPr>
              <w:jc w:val="center"/>
              <w:ind w:right="199"/>
              <w:spacing w:after="0"/>
              <w:rPr>
                <w:sz w:val="20"/>
                <w:szCs w:val="20"/>
                <w:color w:val="auto"/>
              </w:rPr>
            </w:pPr>
            <w:r>
              <w:rPr>
                <w:rFonts w:ascii="Arial" w:cs="Arial" w:eastAsia="Arial" w:hAnsi="Arial"/>
                <w:sz w:val="16"/>
                <w:szCs w:val="16"/>
                <w:b w:val="1"/>
                <w:bCs w:val="1"/>
                <w:color w:val="auto"/>
                <w:w w:val="92"/>
              </w:rPr>
              <w:t>31 Dec 08</w:t>
            </w:r>
          </w:p>
        </w:tc>
        <w:tc>
          <w:tcPr>
            <w:tcW w:w="12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30 Sep 09</w:t>
            </w:r>
          </w:p>
        </w:tc>
        <w:tc>
          <w:tcPr>
            <w:tcW w:w="1020" w:type="dxa"/>
            <w:vAlign w:val="bottom"/>
          </w:tcPr>
          <w:p>
            <w:pPr>
              <w:jc w:val="right"/>
              <w:ind w:right="99"/>
              <w:spacing w:after="0"/>
              <w:rPr>
                <w:sz w:val="20"/>
                <w:szCs w:val="20"/>
                <w:color w:val="auto"/>
              </w:rPr>
            </w:pPr>
            <w:r>
              <w:rPr>
                <w:rFonts w:ascii="Arial" w:cs="Arial" w:eastAsia="Arial" w:hAnsi="Arial"/>
                <w:sz w:val="16"/>
                <w:szCs w:val="16"/>
                <w:b w:val="1"/>
                <w:bCs w:val="1"/>
                <w:color w:val="auto"/>
              </w:rPr>
              <w:t>31 Dec 09</w:t>
            </w:r>
          </w:p>
        </w:tc>
        <w:tc>
          <w:tcPr>
            <w:tcW w:w="260" w:type="dxa"/>
            <w:vAlign w:val="bottom"/>
          </w:tcPr>
          <w:p>
            <w:pPr>
              <w:spacing w:after="0"/>
              <w:rPr>
                <w:sz w:val="18"/>
                <w:szCs w:val="18"/>
                <w:color w:val="auto"/>
              </w:rPr>
            </w:pPr>
          </w:p>
        </w:tc>
        <w:tc>
          <w:tcPr>
            <w:tcW w:w="1540" w:type="dxa"/>
            <w:vAlign w:val="bottom"/>
            <w:gridSpan w:val="3"/>
          </w:tcPr>
          <w:p>
            <w:pPr>
              <w:ind w:left="280"/>
              <w:spacing w:after="0"/>
              <w:rPr>
                <w:sz w:val="20"/>
                <w:szCs w:val="20"/>
                <w:color w:val="auto"/>
              </w:rPr>
            </w:pPr>
            <w:r>
              <w:rPr>
                <w:rFonts w:ascii="Arial" w:cs="Arial" w:eastAsia="Arial" w:hAnsi="Arial"/>
                <w:sz w:val="16"/>
                <w:szCs w:val="16"/>
                <w:b w:val="1"/>
                <w:bCs w:val="1"/>
                <w:color w:val="auto"/>
              </w:rPr>
              <w:t>Dec 08</w:t>
            </w:r>
          </w:p>
        </w:tc>
        <w:tc>
          <w:tcPr>
            <w:tcW w:w="760" w:type="dxa"/>
            <w:vAlign w:val="bottom"/>
          </w:tcPr>
          <w:p>
            <w:pPr>
              <w:jc w:val="right"/>
              <w:ind w:right="199"/>
              <w:spacing w:after="0"/>
              <w:rPr>
                <w:sz w:val="20"/>
                <w:szCs w:val="20"/>
                <w:color w:val="auto"/>
              </w:rPr>
            </w:pPr>
            <w:r>
              <w:rPr>
                <w:rFonts w:ascii="Arial" w:cs="Arial" w:eastAsia="Arial" w:hAnsi="Arial"/>
                <w:sz w:val="16"/>
                <w:szCs w:val="16"/>
                <w:b w:val="1"/>
                <w:bCs w:val="1"/>
                <w:color w:val="auto"/>
                <w:w w:val="89"/>
              </w:rPr>
              <w:t>Dec 09</w:t>
            </w:r>
          </w:p>
        </w:tc>
        <w:tc>
          <w:tcPr>
            <w:tcW w:w="1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4Q08</w:t>
            </w:r>
          </w:p>
        </w:tc>
        <w:tc>
          <w:tcPr>
            <w:tcW w:w="28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3Q09</w:t>
            </w:r>
          </w:p>
        </w:tc>
        <w:tc>
          <w:tcPr>
            <w:tcW w:w="28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4Q09</w:t>
            </w:r>
          </w:p>
        </w:tc>
        <w:tc>
          <w:tcPr>
            <w:tcW w:w="26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5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100" w:type="dxa"/>
            <w:vAlign w:val="bottom"/>
            <w:shd w:val="clear" w:color="auto" w:fill="CCFFCC"/>
          </w:tcPr>
          <w:p>
            <w:pPr>
              <w:spacing w:after="0"/>
              <w:rPr>
                <w:sz w:val="20"/>
                <w:szCs w:val="20"/>
                <w:color w:val="auto"/>
              </w:rPr>
            </w:pPr>
            <w:r>
              <w:rPr>
                <w:rFonts w:ascii="Arial" w:cs="Arial" w:eastAsia="Arial" w:hAnsi="Arial"/>
                <w:sz w:val="16"/>
                <w:szCs w:val="16"/>
                <w:b w:val="1"/>
                <w:bCs w:val="1"/>
                <w:color w:val="auto"/>
              </w:rPr>
              <w:t>Results</w:t>
            </w:r>
          </w:p>
        </w:tc>
        <w:tc>
          <w:tcPr>
            <w:tcW w:w="1000" w:type="dxa"/>
            <w:vAlign w:val="bottom"/>
            <w:shd w:val="clear" w:color="auto" w:fill="CCFFCC"/>
          </w:tcPr>
          <w:p>
            <w:pPr>
              <w:spacing w:after="0"/>
              <w:rPr>
                <w:sz w:val="17"/>
                <w:szCs w:val="17"/>
                <w:color w:val="auto"/>
              </w:rPr>
            </w:pPr>
          </w:p>
        </w:tc>
        <w:tc>
          <w:tcPr>
            <w:tcW w:w="280" w:type="dxa"/>
            <w:vAlign w:val="bottom"/>
            <w:shd w:val="clear" w:color="auto" w:fill="CCFFCC"/>
          </w:tcPr>
          <w:p>
            <w:pPr>
              <w:spacing w:after="0"/>
              <w:rPr>
                <w:sz w:val="17"/>
                <w:szCs w:val="17"/>
                <w:color w:val="auto"/>
              </w:rPr>
            </w:pPr>
          </w:p>
        </w:tc>
        <w:tc>
          <w:tcPr>
            <w:tcW w:w="1000" w:type="dxa"/>
            <w:vAlign w:val="bottom"/>
            <w:shd w:val="clear" w:color="auto" w:fill="CCFFCC"/>
          </w:tcPr>
          <w:p>
            <w:pPr>
              <w:spacing w:after="0"/>
              <w:rPr>
                <w:sz w:val="17"/>
                <w:szCs w:val="17"/>
                <w:color w:val="auto"/>
              </w:rPr>
            </w:pPr>
          </w:p>
        </w:tc>
        <w:tc>
          <w:tcPr>
            <w:tcW w:w="280" w:type="dxa"/>
            <w:vAlign w:val="bottom"/>
            <w:shd w:val="clear" w:color="auto" w:fill="CCFFCC"/>
          </w:tcPr>
          <w:p>
            <w:pPr>
              <w:spacing w:after="0"/>
              <w:rPr>
                <w:sz w:val="17"/>
                <w:szCs w:val="17"/>
                <w:color w:val="auto"/>
              </w:rPr>
            </w:pPr>
          </w:p>
        </w:tc>
        <w:tc>
          <w:tcPr>
            <w:tcW w:w="102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102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7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00" w:type="dxa"/>
            <w:vAlign w:val="bottom"/>
          </w:tcPr>
          <w:p>
            <w:pPr>
              <w:ind w:left="160"/>
              <w:spacing w:after="0"/>
              <w:rPr>
                <w:sz w:val="20"/>
                <w:szCs w:val="20"/>
                <w:color w:val="auto"/>
              </w:rPr>
            </w:pPr>
            <w:r>
              <w:rPr>
                <w:rFonts w:ascii="Arial" w:cs="Arial" w:eastAsia="Arial" w:hAnsi="Arial"/>
                <w:sz w:val="16"/>
                <w:szCs w:val="16"/>
                <w:color w:val="auto"/>
              </w:rPr>
              <w:t>Total Premiums</w:t>
            </w:r>
          </w:p>
        </w:tc>
        <w:tc>
          <w:tcPr>
            <w:tcW w:w="1280" w:type="dxa"/>
            <w:vAlign w:val="bottom"/>
            <w:gridSpan w:val="2"/>
          </w:tcPr>
          <w:p>
            <w:pPr>
              <w:jc w:val="right"/>
              <w:ind w:right="199"/>
              <w:spacing w:after="0"/>
              <w:rPr>
                <w:sz w:val="20"/>
                <w:szCs w:val="20"/>
                <w:color w:val="auto"/>
              </w:rPr>
            </w:pPr>
            <w:r>
              <w:rPr>
                <w:rFonts w:ascii="Arial" w:cs="Arial" w:eastAsia="Arial" w:hAnsi="Arial"/>
                <w:sz w:val="16"/>
                <w:szCs w:val="16"/>
                <w:color w:val="auto"/>
              </w:rPr>
              <w:t>152,497</w:t>
            </w:r>
          </w:p>
        </w:tc>
        <w:tc>
          <w:tcPr>
            <w:tcW w:w="1280" w:type="dxa"/>
            <w:vAlign w:val="bottom"/>
            <w:gridSpan w:val="2"/>
          </w:tcPr>
          <w:p>
            <w:pPr>
              <w:jc w:val="right"/>
              <w:ind w:right="280"/>
              <w:spacing w:after="0"/>
              <w:rPr>
                <w:sz w:val="20"/>
                <w:szCs w:val="20"/>
                <w:color w:val="auto"/>
              </w:rPr>
            </w:pPr>
            <w:r>
              <w:rPr>
                <w:rFonts w:ascii="Arial" w:cs="Arial" w:eastAsia="Arial" w:hAnsi="Arial"/>
                <w:sz w:val="16"/>
                <w:szCs w:val="16"/>
                <w:color w:val="auto"/>
              </w:rPr>
              <w:t>148,718</w:t>
            </w:r>
          </w:p>
        </w:tc>
        <w:tc>
          <w:tcPr>
            <w:tcW w:w="1280" w:type="dxa"/>
            <w:vAlign w:val="bottom"/>
            <w:gridSpan w:val="2"/>
          </w:tcPr>
          <w:p>
            <w:pPr>
              <w:jc w:val="right"/>
              <w:ind w:right="260"/>
              <w:spacing w:after="0"/>
              <w:rPr>
                <w:sz w:val="20"/>
                <w:szCs w:val="20"/>
                <w:color w:val="auto"/>
              </w:rPr>
            </w:pPr>
            <w:r>
              <w:rPr>
                <w:rFonts w:ascii="Arial" w:cs="Arial" w:eastAsia="Arial" w:hAnsi="Arial"/>
                <w:sz w:val="16"/>
                <w:szCs w:val="16"/>
                <w:color w:val="auto"/>
              </w:rPr>
              <w:t>172,697</w:t>
            </w:r>
          </w:p>
        </w:tc>
        <w:tc>
          <w:tcPr>
            <w:tcW w:w="1020" w:type="dxa"/>
            <w:vAlign w:val="bottom"/>
          </w:tcPr>
          <w:p>
            <w:pPr>
              <w:jc w:val="right"/>
              <w:spacing w:after="0"/>
              <w:rPr>
                <w:sz w:val="20"/>
                <w:szCs w:val="20"/>
                <w:color w:val="auto"/>
              </w:rPr>
            </w:pPr>
            <w:r>
              <w:rPr>
                <w:rFonts w:ascii="Arial" w:cs="Arial" w:eastAsia="Arial" w:hAnsi="Arial"/>
                <w:sz w:val="16"/>
                <w:szCs w:val="16"/>
                <w:color w:val="auto"/>
              </w:rPr>
              <w:t>587,568</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608,824</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00" w:type="dxa"/>
            <w:vAlign w:val="bottom"/>
            <w:shd w:val="clear" w:color="auto" w:fill="CCFFCC"/>
          </w:tcPr>
          <w:p>
            <w:pPr>
              <w:ind w:left="160"/>
              <w:spacing w:after="0"/>
              <w:rPr>
                <w:sz w:val="20"/>
                <w:szCs w:val="20"/>
                <w:color w:val="auto"/>
              </w:rPr>
            </w:pPr>
            <w:r>
              <w:rPr>
                <w:rFonts w:ascii="Arial" w:cs="Arial" w:eastAsia="Arial" w:hAnsi="Arial"/>
                <w:sz w:val="16"/>
                <w:szCs w:val="16"/>
                <w:color w:val="auto"/>
              </w:rPr>
              <w:t>Ceded Premiums</w:t>
            </w:r>
          </w:p>
        </w:tc>
        <w:tc>
          <w:tcPr>
            <w:tcW w:w="1280" w:type="dxa"/>
            <w:vAlign w:val="bottom"/>
            <w:gridSpan w:val="2"/>
            <w:shd w:val="clear" w:color="auto" w:fill="CCFFCC"/>
          </w:tcPr>
          <w:p>
            <w:pPr>
              <w:jc w:val="right"/>
              <w:ind w:right="199"/>
              <w:spacing w:after="0"/>
              <w:rPr>
                <w:sz w:val="20"/>
                <w:szCs w:val="20"/>
                <w:color w:val="auto"/>
              </w:rPr>
            </w:pPr>
            <w:r>
              <w:rPr>
                <w:rFonts w:ascii="Arial" w:cs="Arial" w:eastAsia="Arial" w:hAnsi="Arial"/>
                <w:sz w:val="16"/>
                <w:szCs w:val="16"/>
                <w:color w:val="auto"/>
              </w:rPr>
              <w:t>34,518</w:t>
            </w:r>
          </w:p>
        </w:tc>
        <w:tc>
          <w:tcPr>
            <w:tcW w:w="1280" w:type="dxa"/>
            <w:vAlign w:val="bottom"/>
            <w:gridSpan w:val="2"/>
            <w:shd w:val="clear" w:color="auto" w:fill="CCFFCC"/>
          </w:tcPr>
          <w:p>
            <w:pPr>
              <w:jc w:val="right"/>
              <w:ind w:right="280"/>
              <w:spacing w:after="0"/>
              <w:rPr>
                <w:sz w:val="20"/>
                <w:szCs w:val="20"/>
                <w:color w:val="auto"/>
              </w:rPr>
            </w:pPr>
            <w:r>
              <w:rPr>
                <w:rFonts w:ascii="Arial" w:cs="Arial" w:eastAsia="Arial" w:hAnsi="Arial"/>
                <w:sz w:val="16"/>
                <w:szCs w:val="16"/>
                <w:color w:val="auto"/>
              </w:rPr>
              <w:t>19,637</w:t>
            </w:r>
          </w:p>
        </w:tc>
        <w:tc>
          <w:tcPr>
            <w:tcW w:w="1280" w:type="dxa"/>
            <w:vAlign w:val="bottom"/>
            <w:gridSpan w:val="2"/>
            <w:shd w:val="clear" w:color="auto" w:fill="CCFFCC"/>
          </w:tcPr>
          <w:p>
            <w:pPr>
              <w:jc w:val="right"/>
              <w:ind w:right="260"/>
              <w:spacing w:after="0"/>
              <w:rPr>
                <w:sz w:val="20"/>
                <w:szCs w:val="20"/>
                <w:color w:val="auto"/>
              </w:rPr>
            </w:pPr>
            <w:r>
              <w:rPr>
                <w:rFonts w:ascii="Arial" w:cs="Arial" w:eastAsia="Arial" w:hAnsi="Arial"/>
                <w:sz w:val="16"/>
                <w:szCs w:val="16"/>
                <w:color w:val="auto"/>
              </w:rPr>
              <w:t>34,968</w:t>
            </w:r>
          </w:p>
        </w:tc>
        <w:tc>
          <w:tcPr>
            <w:tcW w:w="10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111,194</w:t>
            </w:r>
          </w:p>
        </w:tc>
        <w:tc>
          <w:tcPr>
            <w:tcW w:w="26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76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101,743</w:t>
            </w:r>
          </w:p>
        </w:tc>
        <w:tc>
          <w:tcPr>
            <w:tcW w:w="160" w:type="dxa"/>
            <w:vAlign w:val="bottom"/>
            <w:shd w:val="clear" w:color="auto" w:fill="CCFFC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00" w:type="dxa"/>
            <w:vAlign w:val="bottom"/>
          </w:tcPr>
          <w:p>
            <w:pPr>
              <w:ind w:left="160"/>
              <w:spacing w:after="0"/>
              <w:rPr>
                <w:sz w:val="20"/>
                <w:szCs w:val="20"/>
                <w:color w:val="auto"/>
              </w:rPr>
            </w:pPr>
            <w:r>
              <w:rPr>
                <w:rFonts w:ascii="Arial" w:cs="Arial" w:eastAsia="Arial" w:hAnsi="Arial"/>
                <w:sz w:val="16"/>
                <w:szCs w:val="16"/>
                <w:color w:val="auto"/>
              </w:rPr>
              <w:t>Adjusment of reserves</w:t>
            </w:r>
          </w:p>
        </w:tc>
        <w:tc>
          <w:tcPr>
            <w:tcW w:w="1280" w:type="dxa"/>
            <w:vAlign w:val="bottom"/>
            <w:gridSpan w:val="2"/>
          </w:tcPr>
          <w:p>
            <w:pPr>
              <w:jc w:val="right"/>
              <w:ind w:right="199"/>
              <w:spacing w:after="0"/>
              <w:rPr>
                <w:sz w:val="20"/>
                <w:szCs w:val="20"/>
                <w:color w:val="auto"/>
              </w:rPr>
            </w:pPr>
            <w:r>
              <w:rPr>
                <w:rFonts w:ascii="Arial" w:cs="Arial" w:eastAsia="Arial" w:hAnsi="Arial"/>
                <w:sz w:val="16"/>
                <w:szCs w:val="16"/>
                <w:color w:val="auto"/>
              </w:rPr>
              <w:t>10,130</w:t>
            </w:r>
          </w:p>
        </w:tc>
        <w:tc>
          <w:tcPr>
            <w:tcW w:w="1280" w:type="dxa"/>
            <w:vAlign w:val="bottom"/>
            <w:gridSpan w:val="2"/>
          </w:tcPr>
          <w:p>
            <w:pPr>
              <w:jc w:val="right"/>
              <w:ind w:right="280"/>
              <w:spacing w:after="0"/>
              <w:rPr>
                <w:sz w:val="20"/>
                <w:szCs w:val="20"/>
                <w:color w:val="auto"/>
              </w:rPr>
            </w:pPr>
            <w:r>
              <w:rPr>
                <w:rFonts w:ascii="Arial" w:cs="Arial" w:eastAsia="Arial" w:hAnsi="Arial"/>
                <w:sz w:val="16"/>
                <w:szCs w:val="16"/>
                <w:color w:val="auto"/>
              </w:rPr>
              <w:t>16,341</w:t>
            </w:r>
          </w:p>
        </w:tc>
        <w:tc>
          <w:tcPr>
            <w:tcW w:w="1280" w:type="dxa"/>
            <w:vAlign w:val="bottom"/>
            <w:gridSpan w:val="2"/>
          </w:tcPr>
          <w:p>
            <w:pPr>
              <w:jc w:val="right"/>
              <w:ind w:right="260"/>
              <w:spacing w:after="0"/>
              <w:rPr>
                <w:sz w:val="20"/>
                <w:szCs w:val="20"/>
                <w:color w:val="auto"/>
              </w:rPr>
            </w:pPr>
            <w:r>
              <w:rPr>
                <w:rFonts w:ascii="Arial" w:cs="Arial" w:eastAsia="Arial" w:hAnsi="Arial"/>
                <w:sz w:val="16"/>
                <w:szCs w:val="16"/>
                <w:color w:val="auto"/>
              </w:rPr>
              <w:t>18,582</w:t>
            </w:r>
          </w:p>
        </w:tc>
        <w:tc>
          <w:tcPr>
            <w:tcW w:w="1020" w:type="dxa"/>
            <w:vAlign w:val="bottom"/>
          </w:tcPr>
          <w:p>
            <w:pPr>
              <w:jc w:val="right"/>
              <w:spacing w:after="0"/>
              <w:rPr>
                <w:sz w:val="20"/>
                <w:szCs w:val="20"/>
                <w:color w:val="auto"/>
              </w:rPr>
            </w:pPr>
            <w:r>
              <w:rPr>
                <w:rFonts w:ascii="Arial" w:cs="Arial" w:eastAsia="Arial" w:hAnsi="Arial"/>
                <w:sz w:val="16"/>
                <w:szCs w:val="16"/>
                <w:color w:val="auto"/>
              </w:rPr>
              <w:t>70,645</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67,567</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00" w:type="dxa"/>
            <w:vAlign w:val="bottom"/>
            <w:shd w:val="clear" w:color="auto" w:fill="CCFFCC"/>
          </w:tcPr>
          <w:p>
            <w:pPr>
              <w:spacing w:after="0"/>
              <w:rPr>
                <w:sz w:val="20"/>
                <w:szCs w:val="20"/>
                <w:color w:val="auto"/>
              </w:rPr>
            </w:pPr>
            <w:r>
              <w:rPr>
                <w:rFonts w:ascii="Arial" w:cs="Arial" w:eastAsia="Arial" w:hAnsi="Arial"/>
                <w:sz w:val="16"/>
                <w:szCs w:val="16"/>
                <w:b w:val="1"/>
                <w:bCs w:val="1"/>
                <w:color w:val="auto"/>
              </w:rPr>
              <w:t>Earned net premiums</w:t>
            </w:r>
          </w:p>
        </w:tc>
        <w:tc>
          <w:tcPr>
            <w:tcW w:w="1280" w:type="dxa"/>
            <w:vAlign w:val="bottom"/>
            <w:gridSpan w:val="2"/>
            <w:shd w:val="clear" w:color="auto" w:fill="CCFFCC"/>
          </w:tcPr>
          <w:p>
            <w:pPr>
              <w:jc w:val="right"/>
              <w:ind w:right="199"/>
              <w:spacing w:after="0"/>
              <w:rPr>
                <w:sz w:val="20"/>
                <w:szCs w:val="20"/>
                <w:color w:val="auto"/>
              </w:rPr>
            </w:pPr>
            <w:r>
              <w:rPr>
                <w:rFonts w:ascii="Arial" w:cs="Arial" w:eastAsia="Arial" w:hAnsi="Arial"/>
                <w:sz w:val="16"/>
                <w:szCs w:val="16"/>
                <w:b w:val="1"/>
                <w:bCs w:val="1"/>
                <w:color w:val="auto"/>
              </w:rPr>
              <w:t>107,849</w:t>
            </w:r>
          </w:p>
        </w:tc>
        <w:tc>
          <w:tcPr>
            <w:tcW w:w="1280" w:type="dxa"/>
            <w:vAlign w:val="bottom"/>
            <w:gridSpan w:val="2"/>
            <w:shd w:val="clear" w:color="auto" w:fill="CCFFCC"/>
          </w:tcPr>
          <w:p>
            <w:pPr>
              <w:jc w:val="right"/>
              <w:ind w:right="280"/>
              <w:spacing w:after="0"/>
              <w:rPr>
                <w:sz w:val="20"/>
                <w:szCs w:val="20"/>
                <w:color w:val="auto"/>
              </w:rPr>
            </w:pPr>
            <w:r>
              <w:rPr>
                <w:rFonts w:ascii="Arial" w:cs="Arial" w:eastAsia="Arial" w:hAnsi="Arial"/>
                <w:sz w:val="16"/>
                <w:szCs w:val="16"/>
                <w:b w:val="1"/>
                <w:bCs w:val="1"/>
                <w:color w:val="auto"/>
              </w:rPr>
              <w:t>112,740</w:t>
            </w:r>
          </w:p>
        </w:tc>
        <w:tc>
          <w:tcPr>
            <w:tcW w:w="1280" w:type="dxa"/>
            <w:vAlign w:val="bottom"/>
            <w:gridSpan w:val="2"/>
            <w:shd w:val="clear" w:color="auto" w:fill="CCFFCC"/>
          </w:tcPr>
          <w:p>
            <w:pPr>
              <w:jc w:val="right"/>
              <w:ind w:right="260"/>
              <w:spacing w:after="0"/>
              <w:rPr>
                <w:sz w:val="20"/>
                <w:szCs w:val="20"/>
                <w:color w:val="auto"/>
              </w:rPr>
            </w:pPr>
            <w:r>
              <w:rPr>
                <w:rFonts w:ascii="Arial" w:cs="Arial" w:eastAsia="Arial" w:hAnsi="Arial"/>
                <w:sz w:val="16"/>
                <w:szCs w:val="16"/>
                <w:b w:val="1"/>
                <w:bCs w:val="1"/>
                <w:color w:val="auto"/>
              </w:rPr>
              <w:t>119,146</w:t>
            </w:r>
          </w:p>
        </w:tc>
        <w:tc>
          <w:tcPr>
            <w:tcW w:w="1020" w:type="dxa"/>
            <w:vAlign w:val="bottom"/>
            <w:shd w:val="clear" w:color="auto" w:fill="CCFFCC"/>
          </w:tcPr>
          <w:p>
            <w:pPr>
              <w:jc w:val="right"/>
              <w:spacing w:after="0"/>
              <w:rPr>
                <w:sz w:val="20"/>
                <w:szCs w:val="20"/>
                <w:color w:val="auto"/>
              </w:rPr>
            </w:pPr>
            <w:r>
              <w:rPr>
                <w:rFonts w:ascii="Arial" w:cs="Arial" w:eastAsia="Arial" w:hAnsi="Arial"/>
                <w:sz w:val="16"/>
                <w:szCs w:val="16"/>
                <w:b w:val="1"/>
                <w:bCs w:val="1"/>
                <w:color w:val="auto"/>
              </w:rPr>
              <w:t>405,730</w:t>
            </w:r>
          </w:p>
        </w:tc>
        <w:tc>
          <w:tcPr>
            <w:tcW w:w="26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760" w:type="dxa"/>
            <w:vAlign w:val="bottom"/>
            <w:shd w:val="clear" w:color="auto" w:fill="CCFFCC"/>
          </w:tcPr>
          <w:p>
            <w:pPr>
              <w:jc w:val="right"/>
              <w:spacing w:after="0"/>
              <w:rPr>
                <w:sz w:val="20"/>
                <w:szCs w:val="20"/>
                <w:color w:val="auto"/>
              </w:rPr>
            </w:pPr>
            <w:r>
              <w:rPr>
                <w:rFonts w:ascii="Arial" w:cs="Arial" w:eastAsia="Arial" w:hAnsi="Arial"/>
                <w:sz w:val="16"/>
                <w:szCs w:val="16"/>
                <w:b w:val="1"/>
                <w:bCs w:val="1"/>
                <w:color w:val="auto"/>
              </w:rPr>
              <w:t>439,515</w:t>
            </w:r>
          </w:p>
        </w:tc>
        <w:tc>
          <w:tcPr>
            <w:tcW w:w="160" w:type="dxa"/>
            <w:vAlign w:val="bottom"/>
            <w:shd w:val="clear" w:color="auto" w:fill="CCFFC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00" w:type="dxa"/>
            <w:vAlign w:val="bottom"/>
          </w:tcPr>
          <w:p>
            <w:pPr>
              <w:ind w:left="160"/>
              <w:spacing w:after="0"/>
              <w:rPr>
                <w:sz w:val="20"/>
                <w:szCs w:val="20"/>
                <w:color w:val="auto"/>
              </w:rPr>
            </w:pPr>
            <w:r>
              <w:rPr>
                <w:rFonts w:ascii="Arial" w:cs="Arial" w:eastAsia="Arial" w:hAnsi="Arial"/>
                <w:sz w:val="16"/>
                <w:szCs w:val="16"/>
                <w:color w:val="auto"/>
              </w:rPr>
              <w:t>Direct claims</w:t>
            </w:r>
          </w:p>
        </w:tc>
        <w:tc>
          <w:tcPr>
            <w:tcW w:w="1280" w:type="dxa"/>
            <w:vAlign w:val="bottom"/>
            <w:gridSpan w:val="2"/>
          </w:tcPr>
          <w:p>
            <w:pPr>
              <w:jc w:val="right"/>
              <w:ind w:right="199"/>
              <w:spacing w:after="0"/>
              <w:rPr>
                <w:sz w:val="20"/>
                <w:szCs w:val="20"/>
                <w:color w:val="auto"/>
              </w:rPr>
            </w:pPr>
            <w:r>
              <w:rPr>
                <w:rFonts w:ascii="Arial" w:cs="Arial" w:eastAsia="Arial" w:hAnsi="Arial"/>
                <w:sz w:val="16"/>
                <w:szCs w:val="16"/>
                <w:color w:val="auto"/>
              </w:rPr>
              <w:t>95,714</w:t>
            </w:r>
          </w:p>
        </w:tc>
        <w:tc>
          <w:tcPr>
            <w:tcW w:w="1280" w:type="dxa"/>
            <w:vAlign w:val="bottom"/>
            <w:gridSpan w:val="2"/>
          </w:tcPr>
          <w:p>
            <w:pPr>
              <w:jc w:val="right"/>
              <w:ind w:right="280"/>
              <w:spacing w:after="0"/>
              <w:rPr>
                <w:sz w:val="20"/>
                <w:szCs w:val="20"/>
                <w:color w:val="auto"/>
              </w:rPr>
            </w:pPr>
            <w:r>
              <w:rPr>
                <w:rFonts w:ascii="Arial" w:cs="Arial" w:eastAsia="Arial" w:hAnsi="Arial"/>
                <w:sz w:val="16"/>
                <w:szCs w:val="16"/>
                <w:color w:val="auto"/>
              </w:rPr>
              <w:t>57,091</w:t>
            </w:r>
          </w:p>
        </w:tc>
        <w:tc>
          <w:tcPr>
            <w:tcW w:w="1280" w:type="dxa"/>
            <w:vAlign w:val="bottom"/>
            <w:gridSpan w:val="2"/>
          </w:tcPr>
          <w:p>
            <w:pPr>
              <w:jc w:val="right"/>
              <w:ind w:right="260"/>
              <w:spacing w:after="0"/>
              <w:rPr>
                <w:sz w:val="20"/>
                <w:szCs w:val="20"/>
                <w:color w:val="auto"/>
              </w:rPr>
            </w:pPr>
            <w:r>
              <w:rPr>
                <w:rFonts w:ascii="Arial" w:cs="Arial" w:eastAsia="Arial" w:hAnsi="Arial"/>
                <w:sz w:val="16"/>
                <w:szCs w:val="16"/>
                <w:color w:val="auto"/>
              </w:rPr>
              <w:t>92,473</w:t>
            </w:r>
          </w:p>
        </w:tc>
        <w:tc>
          <w:tcPr>
            <w:tcW w:w="1020" w:type="dxa"/>
            <w:vAlign w:val="bottom"/>
          </w:tcPr>
          <w:p>
            <w:pPr>
              <w:jc w:val="right"/>
              <w:spacing w:after="0"/>
              <w:rPr>
                <w:sz w:val="20"/>
                <w:szCs w:val="20"/>
                <w:color w:val="auto"/>
              </w:rPr>
            </w:pPr>
            <w:r>
              <w:rPr>
                <w:rFonts w:ascii="Arial" w:cs="Arial" w:eastAsia="Arial" w:hAnsi="Arial"/>
                <w:sz w:val="16"/>
                <w:szCs w:val="16"/>
                <w:color w:val="auto"/>
              </w:rPr>
              <w:t>406,485</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335,959</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00" w:type="dxa"/>
            <w:vAlign w:val="bottom"/>
            <w:shd w:val="clear" w:color="auto" w:fill="CCFFCC"/>
          </w:tcPr>
          <w:p>
            <w:pPr>
              <w:ind w:left="160"/>
              <w:spacing w:after="0"/>
              <w:rPr>
                <w:sz w:val="20"/>
                <w:szCs w:val="20"/>
                <w:color w:val="auto"/>
              </w:rPr>
            </w:pPr>
            <w:r>
              <w:rPr>
                <w:rFonts w:ascii="Arial" w:cs="Arial" w:eastAsia="Arial" w:hAnsi="Arial"/>
                <w:sz w:val="16"/>
                <w:szCs w:val="16"/>
                <w:color w:val="auto"/>
              </w:rPr>
              <w:t>Ceded claims</w:t>
            </w:r>
          </w:p>
        </w:tc>
        <w:tc>
          <w:tcPr>
            <w:tcW w:w="1280" w:type="dxa"/>
            <w:vAlign w:val="bottom"/>
            <w:gridSpan w:val="2"/>
            <w:shd w:val="clear" w:color="auto" w:fill="CCFFCC"/>
          </w:tcPr>
          <w:p>
            <w:pPr>
              <w:jc w:val="right"/>
              <w:ind w:right="199"/>
              <w:spacing w:after="0"/>
              <w:rPr>
                <w:sz w:val="20"/>
                <w:szCs w:val="20"/>
                <w:color w:val="auto"/>
              </w:rPr>
            </w:pPr>
            <w:r>
              <w:rPr>
                <w:rFonts w:ascii="Arial" w:cs="Arial" w:eastAsia="Arial" w:hAnsi="Arial"/>
                <w:sz w:val="16"/>
                <w:szCs w:val="16"/>
                <w:color w:val="auto"/>
              </w:rPr>
              <w:t>10,954</w:t>
            </w:r>
          </w:p>
        </w:tc>
        <w:tc>
          <w:tcPr>
            <w:tcW w:w="1280" w:type="dxa"/>
            <w:vAlign w:val="bottom"/>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(15,855.7)</w:t>
            </w:r>
          </w:p>
        </w:tc>
        <w:tc>
          <w:tcPr>
            <w:tcW w:w="1280" w:type="dxa"/>
            <w:vAlign w:val="bottom"/>
            <w:gridSpan w:val="2"/>
            <w:shd w:val="clear" w:color="auto" w:fill="CCFFCC"/>
          </w:tcPr>
          <w:p>
            <w:pPr>
              <w:jc w:val="right"/>
              <w:ind w:right="260"/>
              <w:spacing w:after="0"/>
              <w:rPr>
                <w:sz w:val="20"/>
                <w:szCs w:val="20"/>
                <w:color w:val="auto"/>
              </w:rPr>
            </w:pPr>
            <w:r>
              <w:rPr>
                <w:rFonts w:ascii="Arial" w:cs="Arial" w:eastAsia="Arial" w:hAnsi="Arial"/>
                <w:sz w:val="16"/>
                <w:szCs w:val="16"/>
                <w:color w:val="auto"/>
              </w:rPr>
              <w:t>22,396</w:t>
            </w:r>
          </w:p>
        </w:tc>
        <w:tc>
          <w:tcPr>
            <w:tcW w:w="10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64,574</w:t>
            </w:r>
          </w:p>
        </w:tc>
        <w:tc>
          <w:tcPr>
            <w:tcW w:w="26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760" w:type="dxa"/>
            <w:vAlign w:val="bottom"/>
            <w:shd w:val="clear" w:color="auto" w:fill="CCFFCC"/>
          </w:tcPr>
          <w:p>
            <w:pPr>
              <w:jc w:val="right"/>
              <w:spacing w:after="0"/>
              <w:rPr>
                <w:sz w:val="20"/>
                <w:szCs w:val="20"/>
                <w:color w:val="auto"/>
              </w:rPr>
            </w:pPr>
            <w:r>
              <w:rPr>
                <w:rFonts w:ascii="Arial" w:cs="Arial" w:eastAsia="Arial" w:hAnsi="Arial"/>
                <w:sz w:val="16"/>
                <w:szCs w:val="16"/>
                <w:color w:val="auto"/>
              </w:rPr>
              <w:t>49,501</w:t>
            </w:r>
          </w:p>
        </w:tc>
        <w:tc>
          <w:tcPr>
            <w:tcW w:w="160" w:type="dxa"/>
            <w:vAlign w:val="bottom"/>
            <w:shd w:val="clear" w:color="auto" w:fill="CCFFC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00" w:type="dxa"/>
            <w:vAlign w:val="bottom"/>
          </w:tcPr>
          <w:p>
            <w:pPr>
              <w:spacing w:after="0"/>
              <w:rPr>
                <w:sz w:val="20"/>
                <w:szCs w:val="20"/>
                <w:color w:val="auto"/>
              </w:rPr>
            </w:pPr>
            <w:r>
              <w:rPr>
                <w:rFonts w:ascii="Arial" w:cs="Arial" w:eastAsia="Arial" w:hAnsi="Arial"/>
                <w:sz w:val="16"/>
                <w:szCs w:val="16"/>
                <w:b w:val="1"/>
                <w:bCs w:val="1"/>
                <w:color w:val="auto"/>
              </w:rPr>
              <w:t>Net claims</w:t>
            </w:r>
          </w:p>
        </w:tc>
        <w:tc>
          <w:tcPr>
            <w:tcW w:w="1280" w:type="dxa"/>
            <w:vAlign w:val="bottom"/>
            <w:gridSpan w:val="2"/>
          </w:tcPr>
          <w:p>
            <w:pPr>
              <w:jc w:val="right"/>
              <w:ind w:right="199"/>
              <w:spacing w:after="0"/>
              <w:rPr>
                <w:sz w:val="20"/>
                <w:szCs w:val="20"/>
                <w:color w:val="auto"/>
              </w:rPr>
            </w:pPr>
            <w:r>
              <w:rPr>
                <w:rFonts w:ascii="Arial" w:cs="Arial" w:eastAsia="Arial" w:hAnsi="Arial"/>
                <w:sz w:val="16"/>
                <w:szCs w:val="16"/>
                <w:b w:val="1"/>
                <w:bCs w:val="1"/>
                <w:color w:val="auto"/>
              </w:rPr>
              <w:t>84,760</w:t>
            </w:r>
          </w:p>
        </w:tc>
        <w:tc>
          <w:tcPr>
            <w:tcW w:w="128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72,947</w:t>
            </w:r>
          </w:p>
        </w:tc>
        <w:tc>
          <w:tcPr>
            <w:tcW w:w="128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70,078</w:t>
            </w:r>
          </w:p>
        </w:tc>
        <w:tc>
          <w:tcPr>
            <w:tcW w:w="128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341,911</w:t>
            </w:r>
          </w:p>
        </w:tc>
        <w:tc>
          <w:tcPr>
            <w:tcW w:w="2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286,457</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00" w:type="dxa"/>
            <w:vAlign w:val="bottom"/>
            <w:shd w:val="clear" w:color="auto" w:fill="CCFFCC"/>
          </w:tcPr>
          <w:p>
            <w:pPr>
              <w:ind w:left="160"/>
              <w:spacing w:after="0"/>
              <w:rPr>
                <w:sz w:val="20"/>
                <w:szCs w:val="20"/>
                <w:color w:val="auto"/>
              </w:rPr>
            </w:pPr>
            <w:r>
              <w:rPr>
                <w:rFonts w:ascii="Arial" w:cs="Arial" w:eastAsia="Arial" w:hAnsi="Arial"/>
                <w:sz w:val="16"/>
                <w:szCs w:val="16"/>
                <w:color w:val="auto"/>
              </w:rPr>
              <w:t>Direct commissions</w:t>
            </w:r>
          </w:p>
        </w:tc>
        <w:tc>
          <w:tcPr>
            <w:tcW w:w="1280" w:type="dxa"/>
            <w:vAlign w:val="bottom"/>
            <w:gridSpan w:val="2"/>
            <w:shd w:val="clear" w:color="auto" w:fill="CCFFCC"/>
          </w:tcPr>
          <w:p>
            <w:pPr>
              <w:jc w:val="right"/>
              <w:ind w:right="199"/>
              <w:spacing w:after="0"/>
              <w:rPr>
                <w:sz w:val="20"/>
                <w:szCs w:val="20"/>
                <w:color w:val="auto"/>
              </w:rPr>
            </w:pPr>
            <w:r>
              <w:rPr>
                <w:rFonts w:ascii="Arial" w:cs="Arial" w:eastAsia="Arial" w:hAnsi="Arial"/>
                <w:sz w:val="16"/>
                <w:szCs w:val="16"/>
                <w:color w:val="auto"/>
              </w:rPr>
              <w:t>18,066</w:t>
            </w:r>
          </w:p>
        </w:tc>
        <w:tc>
          <w:tcPr>
            <w:tcW w:w="1280" w:type="dxa"/>
            <w:vAlign w:val="bottom"/>
            <w:gridSpan w:val="2"/>
            <w:shd w:val="clear" w:color="auto" w:fill="CCFFCC"/>
          </w:tcPr>
          <w:p>
            <w:pPr>
              <w:jc w:val="right"/>
              <w:ind w:right="280"/>
              <w:spacing w:after="0"/>
              <w:rPr>
                <w:sz w:val="20"/>
                <w:szCs w:val="20"/>
                <w:color w:val="auto"/>
              </w:rPr>
            </w:pPr>
            <w:r>
              <w:rPr>
                <w:rFonts w:ascii="Arial" w:cs="Arial" w:eastAsia="Arial" w:hAnsi="Arial"/>
                <w:sz w:val="16"/>
                <w:szCs w:val="16"/>
                <w:color w:val="auto"/>
              </w:rPr>
              <w:t>17,029</w:t>
            </w:r>
          </w:p>
        </w:tc>
        <w:tc>
          <w:tcPr>
            <w:tcW w:w="1280" w:type="dxa"/>
            <w:vAlign w:val="bottom"/>
            <w:gridSpan w:val="2"/>
            <w:shd w:val="clear" w:color="auto" w:fill="CCFFCC"/>
          </w:tcPr>
          <w:p>
            <w:pPr>
              <w:jc w:val="right"/>
              <w:ind w:right="260"/>
              <w:spacing w:after="0"/>
              <w:rPr>
                <w:sz w:val="20"/>
                <w:szCs w:val="20"/>
                <w:color w:val="auto"/>
              </w:rPr>
            </w:pPr>
            <w:r>
              <w:rPr>
                <w:rFonts w:ascii="Arial" w:cs="Arial" w:eastAsia="Arial" w:hAnsi="Arial"/>
                <w:sz w:val="16"/>
                <w:szCs w:val="16"/>
                <w:color w:val="auto"/>
              </w:rPr>
              <w:t>17,970</w:t>
            </w:r>
          </w:p>
        </w:tc>
        <w:tc>
          <w:tcPr>
            <w:tcW w:w="10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65,546</w:t>
            </w:r>
          </w:p>
        </w:tc>
        <w:tc>
          <w:tcPr>
            <w:tcW w:w="26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760" w:type="dxa"/>
            <w:vAlign w:val="bottom"/>
            <w:shd w:val="clear" w:color="auto" w:fill="CCFFCC"/>
          </w:tcPr>
          <w:p>
            <w:pPr>
              <w:jc w:val="right"/>
              <w:spacing w:after="0"/>
              <w:rPr>
                <w:sz w:val="20"/>
                <w:szCs w:val="20"/>
                <w:color w:val="auto"/>
              </w:rPr>
            </w:pPr>
            <w:r>
              <w:rPr>
                <w:rFonts w:ascii="Arial" w:cs="Arial" w:eastAsia="Arial" w:hAnsi="Arial"/>
                <w:sz w:val="16"/>
                <w:szCs w:val="16"/>
                <w:color w:val="auto"/>
              </w:rPr>
              <w:t>69,139</w:t>
            </w:r>
          </w:p>
        </w:tc>
        <w:tc>
          <w:tcPr>
            <w:tcW w:w="160" w:type="dxa"/>
            <w:vAlign w:val="bottom"/>
            <w:shd w:val="clear" w:color="auto" w:fill="CCFFC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00" w:type="dxa"/>
            <w:vAlign w:val="bottom"/>
          </w:tcPr>
          <w:p>
            <w:pPr>
              <w:ind w:left="160"/>
              <w:spacing w:after="0"/>
              <w:rPr>
                <w:sz w:val="20"/>
                <w:szCs w:val="20"/>
                <w:color w:val="auto"/>
              </w:rPr>
            </w:pPr>
            <w:r>
              <w:rPr>
                <w:rFonts w:ascii="Arial" w:cs="Arial" w:eastAsia="Arial" w:hAnsi="Arial"/>
                <w:sz w:val="16"/>
                <w:szCs w:val="16"/>
                <w:color w:val="auto"/>
              </w:rPr>
              <w:t>Commissions received</w:t>
            </w:r>
          </w:p>
        </w:tc>
        <w:tc>
          <w:tcPr>
            <w:tcW w:w="1280" w:type="dxa"/>
            <w:vAlign w:val="bottom"/>
            <w:gridSpan w:val="2"/>
          </w:tcPr>
          <w:p>
            <w:pPr>
              <w:jc w:val="right"/>
              <w:ind w:right="199"/>
              <w:spacing w:after="0"/>
              <w:rPr>
                <w:sz w:val="20"/>
                <w:szCs w:val="20"/>
                <w:color w:val="auto"/>
              </w:rPr>
            </w:pPr>
            <w:r>
              <w:rPr>
                <w:rFonts w:ascii="Arial" w:cs="Arial" w:eastAsia="Arial" w:hAnsi="Arial"/>
                <w:sz w:val="16"/>
                <w:szCs w:val="16"/>
                <w:color w:val="auto"/>
              </w:rPr>
              <w:t>2,050</w:t>
            </w:r>
          </w:p>
        </w:tc>
        <w:tc>
          <w:tcPr>
            <w:tcW w:w="1280" w:type="dxa"/>
            <w:vAlign w:val="bottom"/>
            <w:gridSpan w:val="2"/>
          </w:tcPr>
          <w:p>
            <w:pPr>
              <w:jc w:val="right"/>
              <w:ind w:right="280"/>
              <w:spacing w:after="0"/>
              <w:rPr>
                <w:sz w:val="20"/>
                <w:szCs w:val="20"/>
                <w:color w:val="auto"/>
              </w:rPr>
            </w:pPr>
            <w:r>
              <w:rPr>
                <w:rFonts w:ascii="Arial" w:cs="Arial" w:eastAsia="Arial" w:hAnsi="Arial"/>
                <w:sz w:val="16"/>
                <w:szCs w:val="16"/>
                <w:color w:val="auto"/>
              </w:rPr>
              <w:t>2,420</w:t>
            </w:r>
          </w:p>
        </w:tc>
        <w:tc>
          <w:tcPr>
            <w:tcW w:w="1280" w:type="dxa"/>
            <w:vAlign w:val="bottom"/>
            <w:gridSpan w:val="2"/>
          </w:tcPr>
          <w:p>
            <w:pPr>
              <w:jc w:val="right"/>
              <w:ind w:right="260"/>
              <w:spacing w:after="0"/>
              <w:rPr>
                <w:sz w:val="20"/>
                <w:szCs w:val="20"/>
                <w:color w:val="auto"/>
              </w:rPr>
            </w:pPr>
            <w:r>
              <w:rPr>
                <w:rFonts w:ascii="Arial" w:cs="Arial" w:eastAsia="Arial" w:hAnsi="Arial"/>
                <w:sz w:val="16"/>
                <w:szCs w:val="16"/>
                <w:color w:val="auto"/>
              </w:rPr>
              <w:t>2,395</w:t>
            </w:r>
          </w:p>
        </w:tc>
        <w:tc>
          <w:tcPr>
            <w:tcW w:w="1020" w:type="dxa"/>
            <w:vAlign w:val="bottom"/>
          </w:tcPr>
          <w:p>
            <w:pPr>
              <w:jc w:val="right"/>
              <w:spacing w:after="0"/>
              <w:rPr>
                <w:sz w:val="20"/>
                <w:szCs w:val="20"/>
                <w:color w:val="auto"/>
              </w:rPr>
            </w:pPr>
            <w:r>
              <w:rPr>
                <w:rFonts w:ascii="Arial" w:cs="Arial" w:eastAsia="Arial" w:hAnsi="Arial"/>
                <w:sz w:val="16"/>
                <w:szCs w:val="16"/>
                <w:color w:val="auto"/>
              </w:rPr>
              <w:t>8,730</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9,565</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00" w:type="dxa"/>
            <w:vAlign w:val="bottom"/>
            <w:shd w:val="clear" w:color="auto" w:fill="CCFFCC"/>
          </w:tcPr>
          <w:p>
            <w:pPr>
              <w:spacing w:after="0"/>
              <w:rPr>
                <w:sz w:val="20"/>
                <w:szCs w:val="20"/>
                <w:color w:val="auto"/>
              </w:rPr>
            </w:pPr>
            <w:r>
              <w:rPr>
                <w:rFonts w:ascii="Arial" w:cs="Arial" w:eastAsia="Arial" w:hAnsi="Arial"/>
                <w:sz w:val="16"/>
                <w:szCs w:val="16"/>
                <w:b w:val="1"/>
                <w:bCs w:val="1"/>
                <w:color w:val="auto"/>
              </w:rPr>
              <w:t>Net commissions</w:t>
            </w:r>
          </w:p>
        </w:tc>
        <w:tc>
          <w:tcPr>
            <w:tcW w:w="1280" w:type="dxa"/>
            <w:vAlign w:val="bottom"/>
            <w:gridSpan w:val="2"/>
            <w:shd w:val="clear" w:color="auto" w:fill="CCFFCC"/>
          </w:tcPr>
          <w:p>
            <w:pPr>
              <w:jc w:val="right"/>
              <w:ind w:right="199"/>
              <w:spacing w:after="0"/>
              <w:rPr>
                <w:sz w:val="20"/>
                <w:szCs w:val="20"/>
                <w:color w:val="auto"/>
              </w:rPr>
            </w:pPr>
            <w:r>
              <w:rPr>
                <w:rFonts w:ascii="Arial" w:cs="Arial" w:eastAsia="Arial" w:hAnsi="Arial"/>
                <w:sz w:val="16"/>
                <w:szCs w:val="16"/>
                <w:b w:val="1"/>
                <w:bCs w:val="1"/>
                <w:color w:val="auto"/>
              </w:rPr>
              <w:t>16,016</w:t>
            </w:r>
          </w:p>
        </w:tc>
        <w:tc>
          <w:tcPr>
            <w:tcW w:w="1280" w:type="dxa"/>
            <w:vAlign w:val="bottom"/>
            <w:gridSpan w:val="2"/>
            <w:shd w:val="clear" w:color="auto" w:fill="CCFFCC"/>
          </w:tcPr>
          <w:p>
            <w:pPr>
              <w:jc w:val="right"/>
              <w:ind w:right="280"/>
              <w:spacing w:after="0"/>
              <w:rPr>
                <w:sz w:val="20"/>
                <w:szCs w:val="20"/>
                <w:color w:val="auto"/>
              </w:rPr>
            </w:pPr>
            <w:r>
              <w:rPr>
                <w:rFonts w:ascii="Arial" w:cs="Arial" w:eastAsia="Arial" w:hAnsi="Arial"/>
                <w:sz w:val="16"/>
                <w:szCs w:val="16"/>
                <w:b w:val="1"/>
                <w:bCs w:val="1"/>
                <w:color w:val="auto"/>
              </w:rPr>
              <w:t>14,609</w:t>
            </w:r>
          </w:p>
        </w:tc>
        <w:tc>
          <w:tcPr>
            <w:tcW w:w="1280" w:type="dxa"/>
            <w:vAlign w:val="bottom"/>
            <w:gridSpan w:val="2"/>
            <w:shd w:val="clear" w:color="auto" w:fill="CCFFCC"/>
          </w:tcPr>
          <w:p>
            <w:pPr>
              <w:jc w:val="right"/>
              <w:ind w:right="260"/>
              <w:spacing w:after="0"/>
              <w:rPr>
                <w:sz w:val="20"/>
                <w:szCs w:val="20"/>
                <w:color w:val="auto"/>
              </w:rPr>
            </w:pPr>
            <w:r>
              <w:rPr>
                <w:rFonts w:ascii="Arial" w:cs="Arial" w:eastAsia="Arial" w:hAnsi="Arial"/>
                <w:sz w:val="16"/>
                <w:szCs w:val="16"/>
                <w:b w:val="1"/>
                <w:bCs w:val="1"/>
                <w:color w:val="auto"/>
              </w:rPr>
              <w:t>15,575</w:t>
            </w:r>
          </w:p>
        </w:tc>
        <w:tc>
          <w:tcPr>
            <w:tcW w:w="1020" w:type="dxa"/>
            <w:vAlign w:val="bottom"/>
            <w:shd w:val="clear" w:color="auto" w:fill="CCFFCC"/>
          </w:tcPr>
          <w:p>
            <w:pPr>
              <w:jc w:val="right"/>
              <w:spacing w:after="0"/>
              <w:rPr>
                <w:sz w:val="20"/>
                <w:szCs w:val="20"/>
                <w:color w:val="auto"/>
              </w:rPr>
            </w:pPr>
            <w:r>
              <w:rPr>
                <w:rFonts w:ascii="Arial" w:cs="Arial" w:eastAsia="Arial" w:hAnsi="Arial"/>
                <w:sz w:val="16"/>
                <w:szCs w:val="16"/>
                <w:b w:val="1"/>
                <w:bCs w:val="1"/>
                <w:color w:val="auto"/>
              </w:rPr>
              <w:t>56,816</w:t>
            </w:r>
          </w:p>
        </w:tc>
        <w:tc>
          <w:tcPr>
            <w:tcW w:w="26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760" w:type="dxa"/>
            <w:vAlign w:val="bottom"/>
            <w:shd w:val="clear" w:color="auto" w:fill="CCFFCC"/>
          </w:tcPr>
          <w:p>
            <w:pPr>
              <w:jc w:val="right"/>
              <w:spacing w:after="0"/>
              <w:rPr>
                <w:sz w:val="20"/>
                <w:szCs w:val="20"/>
                <w:color w:val="auto"/>
              </w:rPr>
            </w:pPr>
            <w:r>
              <w:rPr>
                <w:rFonts w:ascii="Arial" w:cs="Arial" w:eastAsia="Arial" w:hAnsi="Arial"/>
                <w:sz w:val="16"/>
                <w:szCs w:val="16"/>
                <w:b w:val="1"/>
                <w:bCs w:val="1"/>
                <w:color w:val="auto"/>
              </w:rPr>
              <w:t>59,574</w:t>
            </w:r>
          </w:p>
        </w:tc>
        <w:tc>
          <w:tcPr>
            <w:tcW w:w="160" w:type="dxa"/>
            <w:vAlign w:val="bottom"/>
            <w:shd w:val="clear" w:color="auto" w:fill="CCFFC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00" w:type="dxa"/>
            <w:vAlign w:val="bottom"/>
          </w:tcPr>
          <w:p>
            <w:pPr>
              <w:ind w:left="160"/>
              <w:spacing w:after="0"/>
              <w:rPr>
                <w:sz w:val="20"/>
                <w:szCs w:val="20"/>
                <w:color w:val="auto"/>
              </w:rPr>
            </w:pPr>
            <w:r>
              <w:rPr>
                <w:rFonts w:ascii="Arial" w:cs="Arial" w:eastAsia="Arial" w:hAnsi="Arial"/>
                <w:sz w:val="16"/>
                <w:szCs w:val="16"/>
                <w:color w:val="auto"/>
              </w:rPr>
              <w:t>Technical expenses</w:t>
            </w:r>
          </w:p>
        </w:tc>
        <w:tc>
          <w:tcPr>
            <w:tcW w:w="1280" w:type="dxa"/>
            <w:vAlign w:val="bottom"/>
            <w:gridSpan w:val="2"/>
          </w:tcPr>
          <w:p>
            <w:pPr>
              <w:jc w:val="right"/>
              <w:ind w:right="199"/>
              <w:spacing w:after="0"/>
              <w:rPr>
                <w:sz w:val="20"/>
                <w:szCs w:val="20"/>
                <w:color w:val="auto"/>
              </w:rPr>
            </w:pPr>
            <w:r>
              <w:rPr>
                <w:rFonts w:ascii="Arial" w:cs="Arial" w:eastAsia="Arial" w:hAnsi="Arial"/>
                <w:sz w:val="16"/>
                <w:szCs w:val="16"/>
                <w:color w:val="auto"/>
              </w:rPr>
              <w:t>5,772</w:t>
            </w:r>
          </w:p>
        </w:tc>
        <w:tc>
          <w:tcPr>
            <w:tcW w:w="1280" w:type="dxa"/>
            <w:vAlign w:val="bottom"/>
            <w:gridSpan w:val="2"/>
          </w:tcPr>
          <w:p>
            <w:pPr>
              <w:jc w:val="right"/>
              <w:ind w:right="280"/>
              <w:spacing w:after="0"/>
              <w:rPr>
                <w:sz w:val="20"/>
                <w:szCs w:val="20"/>
                <w:color w:val="auto"/>
              </w:rPr>
            </w:pPr>
            <w:r>
              <w:rPr>
                <w:rFonts w:ascii="Arial" w:cs="Arial" w:eastAsia="Arial" w:hAnsi="Arial"/>
                <w:sz w:val="16"/>
                <w:szCs w:val="16"/>
                <w:color w:val="auto"/>
              </w:rPr>
              <w:t>6,099</w:t>
            </w:r>
          </w:p>
        </w:tc>
        <w:tc>
          <w:tcPr>
            <w:tcW w:w="1280" w:type="dxa"/>
            <w:vAlign w:val="bottom"/>
            <w:gridSpan w:val="2"/>
          </w:tcPr>
          <w:p>
            <w:pPr>
              <w:jc w:val="right"/>
              <w:ind w:right="260"/>
              <w:spacing w:after="0"/>
              <w:rPr>
                <w:sz w:val="20"/>
                <w:szCs w:val="20"/>
                <w:color w:val="auto"/>
              </w:rPr>
            </w:pPr>
            <w:r>
              <w:rPr>
                <w:rFonts w:ascii="Arial" w:cs="Arial" w:eastAsia="Arial" w:hAnsi="Arial"/>
                <w:sz w:val="16"/>
                <w:szCs w:val="16"/>
                <w:color w:val="auto"/>
              </w:rPr>
              <w:t>7,267</w:t>
            </w:r>
          </w:p>
        </w:tc>
        <w:tc>
          <w:tcPr>
            <w:tcW w:w="1020" w:type="dxa"/>
            <w:vAlign w:val="bottom"/>
          </w:tcPr>
          <w:p>
            <w:pPr>
              <w:jc w:val="right"/>
              <w:spacing w:after="0"/>
              <w:rPr>
                <w:sz w:val="20"/>
                <w:szCs w:val="20"/>
                <w:color w:val="auto"/>
              </w:rPr>
            </w:pPr>
            <w:r>
              <w:rPr>
                <w:rFonts w:ascii="Arial" w:cs="Arial" w:eastAsia="Arial" w:hAnsi="Arial"/>
                <w:sz w:val="16"/>
                <w:szCs w:val="16"/>
                <w:color w:val="auto"/>
              </w:rPr>
              <w:t>24,798</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24,777</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00" w:type="dxa"/>
            <w:vAlign w:val="bottom"/>
            <w:shd w:val="clear" w:color="auto" w:fill="CCFFCC"/>
          </w:tcPr>
          <w:p>
            <w:pPr>
              <w:ind w:left="160"/>
              <w:spacing w:after="0"/>
              <w:rPr>
                <w:sz w:val="20"/>
                <w:szCs w:val="20"/>
                <w:color w:val="auto"/>
              </w:rPr>
            </w:pPr>
            <w:r>
              <w:rPr>
                <w:rFonts w:ascii="Arial" w:cs="Arial" w:eastAsia="Arial" w:hAnsi="Arial"/>
                <w:sz w:val="16"/>
                <w:szCs w:val="16"/>
                <w:color w:val="auto"/>
              </w:rPr>
              <w:t>Technical resolves</w:t>
            </w:r>
          </w:p>
        </w:tc>
        <w:tc>
          <w:tcPr>
            <w:tcW w:w="1280" w:type="dxa"/>
            <w:vAlign w:val="bottom"/>
            <w:gridSpan w:val="2"/>
            <w:shd w:val="clear" w:color="auto" w:fill="CCFFCC"/>
          </w:tcPr>
          <w:p>
            <w:pPr>
              <w:jc w:val="right"/>
              <w:ind w:right="199"/>
              <w:spacing w:after="0"/>
              <w:rPr>
                <w:sz w:val="20"/>
                <w:szCs w:val="20"/>
                <w:color w:val="auto"/>
              </w:rPr>
            </w:pPr>
            <w:r>
              <w:rPr>
                <w:rFonts w:ascii="Arial" w:cs="Arial" w:eastAsia="Arial" w:hAnsi="Arial"/>
                <w:sz w:val="16"/>
                <w:szCs w:val="16"/>
                <w:color w:val="auto"/>
              </w:rPr>
              <w:t>2,618</w:t>
            </w:r>
          </w:p>
        </w:tc>
        <w:tc>
          <w:tcPr>
            <w:tcW w:w="1280" w:type="dxa"/>
            <w:vAlign w:val="bottom"/>
            <w:gridSpan w:val="2"/>
            <w:shd w:val="clear" w:color="auto" w:fill="CCFFCC"/>
          </w:tcPr>
          <w:p>
            <w:pPr>
              <w:jc w:val="right"/>
              <w:ind w:right="280"/>
              <w:spacing w:after="0"/>
              <w:rPr>
                <w:sz w:val="20"/>
                <w:szCs w:val="20"/>
                <w:color w:val="auto"/>
              </w:rPr>
            </w:pPr>
            <w:r>
              <w:rPr>
                <w:rFonts w:ascii="Arial" w:cs="Arial" w:eastAsia="Arial" w:hAnsi="Arial"/>
                <w:sz w:val="16"/>
                <w:szCs w:val="16"/>
                <w:color w:val="auto"/>
              </w:rPr>
              <w:t>3,549</w:t>
            </w:r>
          </w:p>
        </w:tc>
        <w:tc>
          <w:tcPr>
            <w:tcW w:w="1280" w:type="dxa"/>
            <w:vAlign w:val="bottom"/>
            <w:gridSpan w:val="2"/>
            <w:shd w:val="clear" w:color="auto" w:fill="CCFFCC"/>
          </w:tcPr>
          <w:p>
            <w:pPr>
              <w:jc w:val="right"/>
              <w:ind w:right="260"/>
              <w:spacing w:after="0"/>
              <w:rPr>
                <w:sz w:val="20"/>
                <w:szCs w:val="20"/>
                <w:color w:val="auto"/>
              </w:rPr>
            </w:pPr>
            <w:r>
              <w:rPr>
                <w:rFonts w:ascii="Arial" w:cs="Arial" w:eastAsia="Arial" w:hAnsi="Arial"/>
                <w:sz w:val="16"/>
                <w:szCs w:val="16"/>
                <w:color w:val="auto"/>
              </w:rPr>
              <w:t>2,749</w:t>
            </w:r>
          </w:p>
        </w:tc>
        <w:tc>
          <w:tcPr>
            <w:tcW w:w="10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10,130</w:t>
            </w:r>
          </w:p>
        </w:tc>
        <w:tc>
          <w:tcPr>
            <w:tcW w:w="26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920" w:type="dxa"/>
            <w:vAlign w:val="bottom"/>
            <w:gridSpan w:val="2"/>
            <w:shd w:val="clear" w:color="auto" w:fill="CCFFCC"/>
          </w:tcPr>
          <w:p>
            <w:pPr>
              <w:jc w:val="right"/>
              <w:ind w:right="160"/>
              <w:spacing w:after="0"/>
              <w:rPr>
                <w:sz w:val="20"/>
                <w:szCs w:val="20"/>
                <w:color w:val="auto"/>
              </w:rPr>
            </w:pPr>
            <w:r>
              <w:rPr>
                <w:rFonts w:ascii="Arial" w:cs="Arial" w:eastAsia="Arial" w:hAnsi="Arial"/>
                <w:sz w:val="16"/>
                <w:szCs w:val="16"/>
                <w:color w:val="auto"/>
              </w:rPr>
              <w:t>11,202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00" w:type="dxa"/>
            <w:vAlign w:val="bottom"/>
          </w:tcPr>
          <w:p>
            <w:pPr>
              <w:spacing w:after="0"/>
              <w:rPr>
                <w:sz w:val="20"/>
                <w:szCs w:val="20"/>
                <w:color w:val="auto"/>
              </w:rPr>
            </w:pPr>
            <w:r>
              <w:rPr>
                <w:rFonts w:ascii="Arial" w:cs="Arial" w:eastAsia="Arial" w:hAnsi="Arial"/>
                <w:sz w:val="16"/>
                <w:szCs w:val="16"/>
                <w:b w:val="1"/>
                <w:bCs w:val="1"/>
                <w:color w:val="auto"/>
              </w:rPr>
              <w:t>Net technical expenses</w:t>
            </w:r>
          </w:p>
        </w:tc>
        <w:tc>
          <w:tcPr>
            <w:tcW w:w="1280" w:type="dxa"/>
            <w:vAlign w:val="bottom"/>
            <w:gridSpan w:val="2"/>
          </w:tcPr>
          <w:p>
            <w:pPr>
              <w:jc w:val="right"/>
              <w:ind w:right="199"/>
              <w:spacing w:after="0"/>
              <w:rPr>
                <w:sz w:val="20"/>
                <w:szCs w:val="20"/>
                <w:color w:val="auto"/>
              </w:rPr>
            </w:pPr>
            <w:r>
              <w:rPr>
                <w:rFonts w:ascii="Arial" w:cs="Arial" w:eastAsia="Arial" w:hAnsi="Arial"/>
                <w:sz w:val="16"/>
                <w:szCs w:val="16"/>
                <w:b w:val="1"/>
                <w:bCs w:val="1"/>
                <w:color w:val="auto"/>
              </w:rPr>
              <w:t>3,154</w:t>
            </w:r>
          </w:p>
        </w:tc>
        <w:tc>
          <w:tcPr>
            <w:tcW w:w="128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2,550</w:t>
            </w:r>
          </w:p>
        </w:tc>
        <w:tc>
          <w:tcPr>
            <w:tcW w:w="128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4,518</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14,668</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13,574</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00" w:type="dxa"/>
            <w:vAlign w:val="bottom"/>
            <w:shd w:val="clear" w:color="auto" w:fill="CCFFCC"/>
          </w:tcPr>
          <w:p>
            <w:pPr>
              <w:spacing w:after="0"/>
              <w:rPr>
                <w:sz w:val="20"/>
                <w:szCs w:val="20"/>
                <w:color w:val="auto"/>
              </w:rPr>
            </w:pPr>
            <w:r>
              <w:rPr>
                <w:rFonts w:ascii="Arial" w:cs="Arial" w:eastAsia="Arial" w:hAnsi="Arial"/>
                <w:sz w:val="16"/>
                <w:szCs w:val="16"/>
                <w:b w:val="1"/>
                <w:bCs w:val="1"/>
                <w:color w:val="auto"/>
              </w:rPr>
              <w:t>Technical results</w:t>
            </w:r>
          </w:p>
        </w:tc>
        <w:tc>
          <w:tcPr>
            <w:tcW w:w="1280" w:type="dxa"/>
            <w:vAlign w:val="bottom"/>
            <w:gridSpan w:val="2"/>
            <w:shd w:val="clear" w:color="auto" w:fill="CCFFCC"/>
          </w:tcPr>
          <w:p>
            <w:pPr>
              <w:jc w:val="right"/>
              <w:ind w:right="199"/>
              <w:spacing w:after="0"/>
              <w:rPr>
                <w:sz w:val="20"/>
                <w:szCs w:val="20"/>
                <w:color w:val="auto"/>
              </w:rPr>
            </w:pPr>
            <w:r>
              <w:rPr>
                <w:rFonts w:ascii="Arial" w:cs="Arial" w:eastAsia="Arial" w:hAnsi="Arial"/>
                <w:sz w:val="16"/>
                <w:szCs w:val="16"/>
                <w:b w:val="1"/>
                <w:bCs w:val="1"/>
                <w:color w:val="auto"/>
              </w:rPr>
              <w:t>3,920</w:t>
            </w:r>
          </w:p>
        </w:tc>
        <w:tc>
          <w:tcPr>
            <w:tcW w:w="1280" w:type="dxa"/>
            <w:vAlign w:val="bottom"/>
            <w:gridSpan w:val="2"/>
            <w:shd w:val="clear" w:color="auto" w:fill="CCFFCC"/>
          </w:tcPr>
          <w:p>
            <w:pPr>
              <w:jc w:val="right"/>
              <w:ind w:right="280"/>
              <w:spacing w:after="0"/>
              <w:rPr>
                <w:sz w:val="20"/>
                <w:szCs w:val="20"/>
                <w:color w:val="auto"/>
              </w:rPr>
            </w:pPr>
            <w:r>
              <w:rPr>
                <w:rFonts w:ascii="Arial" w:cs="Arial" w:eastAsia="Arial" w:hAnsi="Arial"/>
                <w:sz w:val="16"/>
                <w:szCs w:val="16"/>
                <w:b w:val="1"/>
                <w:bCs w:val="1"/>
                <w:color w:val="auto"/>
              </w:rPr>
              <w:t>22,634</w:t>
            </w:r>
          </w:p>
        </w:tc>
        <w:tc>
          <w:tcPr>
            <w:tcW w:w="1280" w:type="dxa"/>
            <w:vAlign w:val="bottom"/>
            <w:gridSpan w:val="2"/>
            <w:shd w:val="clear" w:color="auto" w:fill="CCFFCC"/>
          </w:tcPr>
          <w:p>
            <w:pPr>
              <w:jc w:val="right"/>
              <w:ind w:right="260"/>
              <w:spacing w:after="0"/>
              <w:rPr>
                <w:sz w:val="20"/>
                <w:szCs w:val="20"/>
                <w:color w:val="auto"/>
              </w:rPr>
            </w:pPr>
            <w:r>
              <w:rPr>
                <w:rFonts w:ascii="Arial" w:cs="Arial" w:eastAsia="Arial" w:hAnsi="Arial"/>
                <w:sz w:val="16"/>
                <w:szCs w:val="16"/>
                <w:b w:val="1"/>
                <w:bCs w:val="1"/>
                <w:color w:val="auto"/>
              </w:rPr>
              <w:t>28,976</w:t>
            </w:r>
          </w:p>
        </w:tc>
        <w:tc>
          <w:tcPr>
            <w:tcW w:w="1280" w:type="dxa"/>
            <w:vAlign w:val="bottom"/>
            <w:gridSpan w:val="2"/>
            <w:shd w:val="clear" w:color="auto" w:fill="CCFFCC"/>
          </w:tcPr>
          <w:p>
            <w:pPr>
              <w:jc w:val="right"/>
              <w:ind w:right="220"/>
              <w:spacing w:after="0"/>
              <w:rPr>
                <w:sz w:val="20"/>
                <w:szCs w:val="20"/>
                <w:color w:val="auto"/>
              </w:rPr>
            </w:pPr>
            <w:r>
              <w:rPr>
                <w:rFonts w:ascii="Arial" w:cs="Arial" w:eastAsia="Arial" w:hAnsi="Arial"/>
                <w:sz w:val="16"/>
                <w:szCs w:val="16"/>
                <w:b w:val="1"/>
                <w:bCs w:val="1"/>
                <w:color w:val="auto"/>
              </w:rPr>
              <w:t>(7,664.2)</w:t>
            </w:r>
          </w:p>
        </w:tc>
        <w:tc>
          <w:tcPr>
            <w:tcW w:w="260" w:type="dxa"/>
            <w:vAlign w:val="bottom"/>
            <w:shd w:val="clear" w:color="auto" w:fill="CCFFCC"/>
          </w:tcPr>
          <w:p>
            <w:pPr>
              <w:spacing w:after="0"/>
              <w:rPr>
                <w:sz w:val="17"/>
                <w:szCs w:val="17"/>
                <w:color w:val="auto"/>
              </w:rPr>
            </w:pPr>
          </w:p>
        </w:tc>
        <w:tc>
          <w:tcPr>
            <w:tcW w:w="760" w:type="dxa"/>
            <w:vAlign w:val="bottom"/>
            <w:shd w:val="clear" w:color="auto" w:fill="CCFFCC"/>
          </w:tcPr>
          <w:p>
            <w:pPr>
              <w:jc w:val="right"/>
              <w:spacing w:after="0"/>
              <w:rPr>
                <w:sz w:val="20"/>
                <w:szCs w:val="20"/>
                <w:color w:val="auto"/>
              </w:rPr>
            </w:pPr>
            <w:r>
              <w:rPr>
                <w:rFonts w:ascii="Arial" w:cs="Arial" w:eastAsia="Arial" w:hAnsi="Arial"/>
                <w:sz w:val="16"/>
                <w:szCs w:val="16"/>
                <w:b w:val="1"/>
                <w:bCs w:val="1"/>
                <w:color w:val="auto"/>
              </w:rPr>
              <w:t>79,909</w:t>
            </w:r>
          </w:p>
        </w:tc>
        <w:tc>
          <w:tcPr>
            <w:tcW w:w="160" w:type="dxa"/>
            <w:vAlign w:val="bottom"/>
            <w:shd w:val="clear" w:color="auto" w:fill="CCFFC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00" w:type="dxa"/>
            <w:vAlign w:val="bottom"/>
            <w:shd w:val="clear" w:color="auto" w:fill="CCFFCC"/>
          </w:tcPr>
          <w:p>
            <w:pPr>
              <w:ind w:left="160"/>
              <w:spacing w:after="0"/>
              <w:rPr>
                <w:sz w:val="20"/>
                <w:szCs w:val="20"/>
                <w:color w:val="auto"/>
              </w:rPr>
            </w:pPr>
            <w:r>
              <w:rPr>
                <w:rFonts w:ascii="Arial" w:cs="Arial" w:eastAsia="Arial" w:hAnsi="Arial"/>
                <w:sz w:val="16"/>
                <w:szCs w:val="16"/>
                <w:color w:val="auto"/>
              </w:rPr>
              <w:t>Financial income</w:t>
            </w:r>
          </w:p>
        </w:tc>
        <w:tc>
          <w:tcPr>
            <w:tcW w:w="1280" w:type="dxa"/>
            <w:vAlign w:val="bottom"/>
            <w:gridSpan w:val="2"/>
            <w:shd w:val="clear" w:color="auto" w:fill="CCFFCC"/>
          </w:tcPr>
          <w:p>
            <w:pPr>
              <w:jc w:val="right"/>
              <w:ind w:right="199"/>
              <w:spacing w:after="0"/>
              <w:rPr>
                <w:sz w:val="20"/>
                <w:szCs w:val="20"/>
                <w:color w:val="auto"/>
              </w:rPr>
            </w:pPr>
            <w:r>
              <w:rPr>
                <w:rFonts w:ascii="Arial" w:cs="Arial" w:eastAsia="Arial" w:hAnsi="Arial"/>
                <w:sz w:val="16"/>
                <w:szCs w:val="16"/>
                <w:color w:val="auto"/>
              </w:rPr>
              <w:t>18,273</w:t>
            </w:r>
          </w:p>
        </w:tc>
        <w:tc>
          <w:tcPr>
            <w:tcW w:w="1280" w:type="dxa"/>
            <w:vAlign w:val="bottom"/>
            <w:gridSpan w:val="2"/>
            <w:shd w:val="clear" w:color="auto" w:fill="CCFFCC"/>
          </w:tcPr>
          <w:p>
            <w:pPr>
              <w:jc w:val="right"/>
              <w:ind w:right="280"/>
              <w:spacing w:after="0"/>
              <w:rPr>
                <w:sz w:val="20"/>
                <w:szCs w:val="20"/>
                <w:color w:val="auto"/>
              </w:rPr>
            </w:pPr>
            <w:r>
              <w:rPr>
                <w:rFonts w:ascii="Arial" w:cs="Arial" w:eastAsia="Arial" w:hAnsi="Arial"/>
                <w:sz w:val="16"/>
                <w:szCs w:val="16"/>
                <w:color w:val="auto"/>
              </w:rPr>
              <w:t>15,774</w:t>
            </w:r>
          </w:p>
        </w:tc>
        <w:tc>
          <w:tcPr>
            <w:tcW w:w="1280" w:type="dxa"/>
            <w:vAlign w:val="bottom"/>
            <w:gridSpan w:val="2"/>
            <w:shd w:val="clear" w:color="auto" w:fill="CCFFCC"/>
          </w:tcPr>
          <w:p>
            <w:pPr>
              <w:jc w:val="right"/>
              <w:ind w:right="260"/>
              <w:spacing w:after="0"/>
              <w:rPr>
                <w:sz w:val="20"/>
                <w:szCs w:val="20"/>
                <w:color w:val="auto"/>
              </w:rPr>
            </w:pPr>
            <w:r>
              <w:rPr>
                <w:rFonts w:ascii="Arial" w:cs="Arial" w:eastAsia="Arial" w:hAnsi="Arial"/>
                <w:sz w:val="16"/>
                <w:szCs w:val="16"/>
                <w:color w:val="auto"/>
              </w:rPr>
              <w:t>16,043</w:t>
            </w:r>
          </w:p>
        </w:tc>
        <w:tc>
          <w:tcPr>
            <w:tcW w:w="10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70,432</w:t>
            </w:r>
          </w:p>
        </w:tc>
        <w:tc>
          <w:tcPr>
            <w:tcW w:w="26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760" w:type="dxa"/>
            <w:vAlign w:val="bottom"/>
            <w:shd w:val="clear" w:color="auto" w:fill="CCFFCC"/>
          </w:tcPr>
          <w:p>
            <w:pPr>
              <w:jc w:val="right"/>
              <w:spacing w:after="0"/>
              <w:rPr>
                <w:sz w:val="20"/>
                <w:szCs w:val="20"/>
                <w:color w:val="auto"/>
              </w:rPr>
            </w:pPr>
            <w:r>
              <w:rPr>
                <w:rFonts w:ascii="Arial" w:cs="Arial" w:eastAsia="Arial" w:hAnsi="Arial"/>
                <w:sz w:val="16"/>
                <w:szCs w:val="16"/>
                <w:color w:val="auto"/>
              </w:rPr>
              <w:t>61,471</w:t>
            </w:r>
          </w:p>
        </w:tc>
        <w:tc>
          <w:tcPr>
            <w:tcW w:w="160" w:type="dxa"/>
            <w:vAlign w:val="bottom"/>
            <w:shd w:val="clear" w:color="auto" w:fill="CCFFC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00" w:type="dxa"/>
            <w:vAlign w:val="bottom"/>
          </w:tcPr>
          <w:p>
            <w:pPr>
              <w:ind w:left="160"/>
              <w:spacing w:after="0"/>
              <w:rPr>
                <w:sz w:val="20"/>
                <w:szCs w:val="20"/>
                <w:color w:val="auto"/>
              </w:rPr>
            </w:pPr>
            <w:r>
              <w:rPr>
                <w:rFonts w:ascii="Arial" w:cs="Arial" w:eastAsia="Arial" w:hAnsi="Arial"/>
                <w:sz w:val="16"/>
                <w:szCs w:val="16"/>
                <w:color w:val="auto"/>
              </w:rPr>
              <w:t>Gains on sale of real state and secutirities</w:t>
            </w:r>
          </w:p>
        </w:tc>
        <w:tc>
          <w:tcPr>
            <w:tcW w:w="1280" w:type="dxa"/>
            <w:vAlign w:val="bottom"/>
            <w:gridSpan w:val="2"/>
          </w:tcPr>
          <w:p>
            <w:pPr>
              <w:jc w:val="right"/>
              <w:ind w:right="139"/>
              <w:spacing w:after="0"/>
              <w:rPr>
                <w:sz w:val="20"/>
                <w:szCs w:val="20"/>
                <w:color w:val="auto"/>
              </w:rPr>
            </w:pPr>
            <w:r>
              <w:rPr>
                <w:rFonts w:ascii="Arial" w:cs="Arial" w:eastAsia="Arial" w:hAnsi="Arial"/>
                <w:sz w:val="16"/>
                <w:szCs w:val="16"/>
                <w:color w:val="auto"/>
              </w:rPr>
              <w:t>(14,209.5)</w:t>
            </w:r>
          </w:p>
        </w:tc>
        <w:tc>
          <w:tcPr>
            <w:tcW w:w="1280" w:type="dxa"/>
            <w:vAlign w:val="bottom"/>
            <w:gridSpan w:val="2"/>
          </w:tcPr>
          <w:p>
            <w:pPr>
              <w:jc w:val="right"/>
              <w:ind w:right="280"/>
              <w:spacing w:after="0"/>
              <w:rPr>
                <w:sz w:val="20"/>
                <w:szCs w:val="20"/>
                <w:color w:val="auto"/>
              </w:rPr>
            </w:pPr>
            <w:r>
              <w:rPr>
                <w:rFonts w:ascii="Arial" w:cs="Arial" w:eastAsia="Arial" w:hAnsi="Arial"/>
                <w:sz w:val="16"/>
                <w:szCs w:val="16"/>
                <w:color w:val="auto"/>
              </w:rPr>
              <w:t>4,122</w:t>
            </w:r>
          </w:p>
        </w:tc>
        <w:tc>
          <w:tcPr>
            <w:tcW w:w="1280" w:type="dxa"/>
            <w:vAlign w:val="bottom"/>
            <w:gridSpan w:val="2"/>
          </w:tcPr>
          <w:p>
            <w:pPr>
              <w:jc w:val="right"/>
              <w:ind w:right="260"/>
              <w:spacing w:after="0"/>
              <w:rPr>
                <w:sz w:val="20"/>
                <w:szCs w:val="20"/>
                <w:color w:val="auto"/>
              </w:rPr>
            </w:pPr>
            <w:r>
              <w:rPr>
                <w:rFonts w:ascii="Arial" w:cs="Arial" w:eastAsia="Arial" w:hAnsi="Arial"/>
                <w:sz w:val="16"/>
                <w:szCs w:val="16"/>
                <w:color w:val="auto"/>
              </w:rPr>
              <w:t>2,262</w:t>
            </w: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(628.4)</w:t>
            </w:r>
          </w:p>
        </w:tc>
        <w:tc>
          <w:tcPr>
            <w:tcW w:w="2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12,173</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00" w:type="dxa"/>
            <w:vAlign w:val="bottom"/>
            <w:shd w:val="clear" w:color="auto" w:fill="CCFFCC"/>
          </w:tcPr>
          <w:p>
            <w:pPr>
              <w:ind w:left="160"/>
              <w:spacing w:after="0"/>
              <w:rPr>
                <w:sz w:val="20"/>
                <w:szCs w:val="20"/>
                <w:color w:val="auto"/>
              </w:rPr>
            </w:pPr>
            <w:r>
              <w:rPr>
                <w:rFonts w:ascii="Arial" w:cs="Arial" w:eastAsia="Arial" w:hAnsi="Arial"/>
                <w:sz w:val="16"/>
                <w:szCs w:val="16"/>
                <w:color w:val="auto"/>
              </w:rPr>
              <w:t>Renting (Net of expenses)</w:t>
            </w:r>
          </w:p>
        </w:tc>
        <w:tc>
          <w:tcPr>
            <w:tcW w:w="1280" w:type="dxa"/>
            <w:vAlign w:val="bottom"/>
            <w:gridSpan w:val="2"/>
            <w:shd w:val="clear" w:color="auto" w:fill="CCFFCC"/>
          </w:tcPr>
          <w:p>
            <w:pPr>
              <w:jc w:val="right"/>
              <w:ind w:right="199"/>
              <w:spacing w:after="0"/>
              <w:rPr>
                <w:sz w:val="20"/>
                <w:szCs w:val="20"/>
                <w:color w:val="auto"/>
              </w:rPr>
            </w:pPr>
            <w:r>
              <w:rPr>
                <w:rFonts w:ascii="Arial" w:cs="Arial" w:eastAsia="Arial" w:hAnsi="Arial"/>
                <w:sz w:val="16"/>
                <w:szCs w:val="16"/>
                <w:color w:val="auto"/>
              </w:rPr>
              <w:t>751</w:t>
            </w:r>
          </w:p>
        </w:tc>
        <w:tc>
          <w:tcPr>
            <w:tcW w:w="1280" w:type="dxa"/>
            <w:vAlign w:val="bottom"/>
            <w:gridSpan w:val="2"/>
            <w:shd w:val="clear" w:color="auto" w:fill="CCFFCC"/>
          </w:tcPr>
          <w:p>
            <w:pPr>
              <w:jc w:val="right"/>
              <w:ind w:right="280"/>
              <w:spacing w:after="0"/>
              <w:rPr>
                <w:sz w:val="20"/>
                <w:szCs w:val="20"/>
                <w:color w:val="auto"/>
              </w:rPr>
            </w:pPr>
            <w:r>
              <w:rPr>
                <w:rFonts w:ascii="Arial" w:cs="Arial" w:eastAsia="Arial" w:hAnsi="Arial"/>
                <w:sz w:val="16"/>
                <w:szCs w:val="16"/>
                <w:color w:val="auto"/>
              </w:rPr>
              <w:t>1,136</w:t>
            </w:r>
          </w:p>
        </w:tc>
        <w:tc>
          <w:tcPr>
            <w:tcW w:w="1280" w:type="dxa"/>
            <w:vAlign w:val="bottom"/>
            <w:gridSpan w:val="2"/>
            <w:shd w:val="clear" w:color="auto" w:fill="CCFFCC"/>
          </w:tcPr>
          <w:p>
            <w:pPr>
              <w:jc w:val="right"/>
              <w:ind w:right="260"/>
              <w:spacing w:after="0"/>
              <w:rPr>
                <w:sz w:val="20"/>
                <w:szCs w:val="20"/>
                <w:color w:val="auto"/>
              </w:rPr>
            </w:pPr>
            <w:r>
              <w:rPr>
                <w:rFonts w:ascii="Arial" w:cs="Arial" w:eastAsia="Arial" w:hAnsi="Arial"/>
                <w:sz w:val="16"/>
                <w:szCs w:val="16"/>
                <w:color w:val="auto"/>
              </w:rPr>
              <w:t>1,147</w:t>
            </w:r>
          </w:p>
        </w:tc>
        <w:tc>
          <w:tcPr>
            <w:tcW w:w="10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2,943</w:t>
            </w:r>
          </w:p>
        </w:tc>
        <w:tc>
          <w:tcPr>
            <w:tcW w:w="26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760" w:type="dxa"/>
            <w:vAlign w:val="bottom"/>
            <w:shd w:val="clear" w:color="auto" w:fill="CCFFCC"/>
          </w:tcPr>
          <w:p>
            <w:pPr>
              <w:jc w:val="right"/>
              <w:spacing w:after="0"/>
              <w:rPr>
                <w:sz w:val="20"/>
                <w:szCs w:val="20"/>
                <w:color w:val="auto"/>
              </w:rPr>
            </w:pPr>
            <w:r>
              <w:rPr>
                <w:rFonts w:ascii="Arial" w:cs="Arial" w:eastAsia="Arial" w:hAnsi="Arial"/>
                <w:sz w:val="16"/>
                <w:szCs w:val="16"/>
                <w:color w:val="auto"/>
              </w:rPr>
              <w:t>4,025</w:t>
            </w:r>
          </w:p>
        </w:tc>
        <w:tc>
          <w:tcPr>
            <w:tcW w:w="160" w:type="dxa"/>
            <w:vAlign w:val="bottom"/>
            <w:shd w:val="clear" w:color="auto" w:fill="CCFFC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00" w:type="dxa"/>
            <w:vAlign w:val="bottom"/>
          </w:tcPr>
          <w:p>
            <w:pPr>
              <w:ind w:left="160"/>
              <w:spacing w:after="0"/>
              <w:rPr>
                <w:sz w:val="20"/>
                <w:szCs w:val="20"/>
                <w:color w:val="auto"/>
              </w:rPr>
            </w:pPr>
            <w:r>
              <w:rPr>
                <w:rFonts w:ascii="Arial" w:cs="Arial" w:eastAsia="Arial" w:hAnsi="Arial"/>
                <w:sz w:val="16"/>
                <w:szCs w:val="16"/>
                <w:color w:val="auto"/>
              </w:rPr>
              <w:t>(-) Financial expenses</w:t>
            </w:r>
          </w:p>
        </w:tc>
        <w:tc>
          <w:tcPr>
            <w:tcW w:w="1280" w:type="dxa"/>
            <w:vAlign w:val="bottom"/>
            <w:gridSpan w:val="2"/>
          </w:tcPr>
          <w:p>
            <w:pPr>
              <w:jc w:val="right"/>
              <w:ind w:right="199"/>
              <w:spacing w:after="0"/>
              <w:rPr>
                <w:sz w:val="20"/>
                <w:szCs w:val="20"/>
                <w:color w:val="auto"/>
              </w:rPr>
            </w:pPr>
            <w:r>
              <w:rPr>
                <w:rFonts w:ascii="Arial" w:cs="Arial" w:eastAsia="Arial" w:hAnsi="Arial"/>
                <w:sz w:val="16"/>
                <w:szCs w:val="16"/>
                <w:color w:val="auto"/>
              </w:rPr>
              <w:t>523</w:t>
            </w:r>
          </w:p>
        </w:tc>
        <w:tc>
          <w:tcPr>
            <w:tcW w:w="1280" w:type="dxa"/>
            <w:vAlign w:val="bottom"/>
            <w:gridSpan w:val="2"/>
          </w:tcPr>
          <w:p>
            <w:pPr>
              <w:jc w:val="right"/>
              <w:ind w:right="280"/>
              <w:spacing w:after="0"/>
              <w:rPr>
                <w:sz w:val="20"/>
                <w:szCs w:val="20"/>
                <w:color w:val="auto"/>
              </w:rPr>
            </w:pPr>
            <w:r>
              <w:rPr>
                <w:rFonts w:ascii="Arial" w:cs="Arial" w:eastAsia="Arial" w:hAnsi="Arial"/>
                <w:sz w:val="16"/>
                <w:szCs w:val="16"/>
                <w:color w:val="auto"/>
              </w:rPr>
              <w:t>412</w:t>
            </w:r>
          </w:p>
        </w:tc>
        <w:tc>
          <w:tcPr>
            <w:tcW w:w="1280" w:type="dxa"/>
            <w:vAlign w:val="bottom"/>
            <w:gridSpan w:val="2"/>
          </w:tcPr>
          <w:p>
            <w:pPr>
              <w:jc w:val="right"/>
              <w:ind w:right="260"/>
              <w:spacing w:after="0"/>
              <w:rPr>
                <w:sz w:val="20"/>
                <w:szCs w:val="20"/>
                <w:color w:val="auto"/>
              </w:rPr>
            </w:pPr>
            <w:r>
              <w:rPr>
                <w:rFonts w:ascii="Arial" w:cs="Arial" w:eastAsia="Arial" w:hAnsi="Arial"/>
                <w:sz w:val="16"/>
                <w:szCs w:val="16"/>
                <w:color w:val="auto"/>
              </w:rPr>
              <w:t>493</w:t>
            </w:r>
          </w:p>
        </w:tc>
        <w:tc>
          <w:tcPr>
            <w:tcW w:w="1020" w:type="dxa"/>
            <w:vAlign w:val="bottom"/>
          </w:tcPr>
          <w:p>
            <w:pPr>
              <w:jc w:val="right"/>
              <w:spacing w:after="0"/>
              <w:rPr>
                <w:sz w:val="20"/>
                <w:szCs w:val="20"/>
                <w:color w:val="auto"/>
              </w:rPr>
            </w:pPr>
            <w:r>
              <w:rPr>
                <w:rFonts w:ascii="Arial" w:cs="Arial" w:eastAsia="Arial" w:hAnsi="Arial"/>
                <w:sz w:val="16"/>
                <w:szCs w:val="16"/>
                <w:color w:val="auto"/>
              </w:rPr>
              <w:t>2,313</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2,017</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00" w:type="dxa"/>
            <w:vAlign w:val="bottom"/>
            <w:shd w:val="clear" w:color="auto" w:fill="CCFFCC"/>
          </w:tcPr>
          <w:p>
            <w:pPr>
              <w:spacing w:after="0"/>
              <w:rPr>
                <w:sz w:val="20"/>
                <w:szCs w:val="20"/>
                <w:color w:val="auto"/>
              </w:rPr>
            </w:pPr>
            <w:r>
              <w:rPr>
                <w:rFonts w:ascii="Arial" w:cs="Arial" w:eastAsia="Arial" w:hAnsi="Arial"/>
                <w:sz w:val="16"/>
                <w:szCs w:val="16"/>
                <w:b w:val="1"/>
                <w:bCs w:val="1"/>
                <w:color w:val="auto"/>
              </w:rPr>
              <w:t>Financial income, net</w:t>
            </w:r>
          </w:p>
        </w:tc>
        <w:tc>
          <w:tcPr>
            <w:tcW w:w="1280" w:type="dxa"/>
            <w:vAlign w:val="bottom"/>
            <w:gridSpan w:val="2"/>
            <w:shd w:val="clear" w:color="auto" w:fill="CCFFCC"/>
          </w:tcPr>
          <w:p>
            <w:pPr>
              <w:jc w:val="right"/>
              <w:ind w:right="199"/>
              <w:spacing w:after="0"/>
              <w:rPr>
                <w:sz w:val="20"/>
                <w:szCs w:val="20"/>
                <w:color w:val="auto"/>
              </w:rPr>
            </w:pPr>
            <w:r>
              <w:rPr>
                <w:rFonts w:ascii="Arial" w:cs="Arial" w:eastAsia="Arial" w:hAnsi="Arial"/>
                <w:sz w:val="16"/>
                <w:szCs w:val="16"/>
                <w:b w:val="1"/>
                <w:bCs w:val="1"/>
                <w:color w:val="auto"/>
              </w:rPr>
              <w:t>4,291</w:t>
            </w:r>
          </w:p>
        </w:tc>
        <w:tc>
          <w:tcPr>
            <w:tcW w:w="1280" w:type="dxa"/>
            <w:vAlign w:val="bottom"/>
            <w:gridSpan w:val="2"/>
            <w:shd w:val="clear" w:color="auto" w:fill="CCFFCC"/>
          </w:tcPr>
          <w:p>
            <w:pPr>
              <w:jc w:val="right"/>
              <w:ind w:right="280"/>
              <w:spacing w:after="0"/>
              <w:rPr>
                <w:sz w:val="20"/>
                <w:szCs w:val="20"/>
                <w:color w:val="auto"/>
              </w:rPr>
            </w:pPr>
            <w:r>
              <w:rPr>
                <w:rFonts w:ascii="Arial" w:cs="Arial" w:eastAsia="Arial" w:hAnsi="Arial"/>
                <w:sz w:val="16"/>
                <w:szCs w:val="16"/>
                <w:b w:val="1"/>
                <w:bCs w:val="1"/>
                <w:color w:val="auto"/>
              </w:rPr>
              <w:t>20,620</w:t>
            </w:r>
          </w:p>
        </w:tc>
        <w:tc>
          <w:tcPr>
            <w:tcW w:w="1280" w:type="dxa"/>
            <w:vAlign w:val="bottom"/>
            <w:gridSpan w:val="2"/>
            <w:shd w:val="clear" w:color="auto" w:fill="CCFFCC"/>
          </w:tcPr>
          <w:p>
            <w:pPr>
              <w:jc w:val="right"/>
              <w:ind w:right="260"/>
              <w:spacing w:after="0"/>
              <w:rPr>
                <w:sz w:val="20"/>
                <w:szCs w:val="20"/>
                <w:color w:val="auto"/>
              </w:rPr>
            </w:pPr>
            <w:r>
              <w:rPr>
                <w:rFonts w:ascii="Arial" w:cs="Arial" w:eastAsia="Arial" w:hAnsi="Arial"/>
                <w:sz w:val="16"/>
                <w:szCs w:val="16"/>
                <w:b w:val="1"/>
                <w:bCs w:val="1"/>
                <w:color w:val="auto"/>
              </w:rPr>
              <w:t>18,960</w:t>
            </w:r>
          </w:p>
        </w:tc>
        <w:tc>
          <w:tcPr>
            <w:tcW w:w="1020" w:type="dxa"/>
            <w:vAlign w:val="bottom"/>
            <w:shd w:val="clear" w:color="auto" w:fill="CCFFCC"/>
          </w:tcPr>
          <w:p>
            <w:pPr>
              <w:jc w:val="right"/>
              <w:spacing w:after="0"/>
              <w:rPr>
                <w:sz w:val="20"/>
                <w:szCs w:val="20"/>
                <w:color w:val="auto"/>
              </w:rPr>
            </w:pPr>
            <w:r>
              <w:rPr>
                <w:rFonts w:ascii="Arial" w:cs="Arial" w:eastAsia="Arial" w:hAnsi="Arial"/>
                <w:sz w:val="16"/>
                <w:szCs w:val="16"/>
                <w:b w:val="1"/>
                <w:bCs w:val="1"/>
                <w:color w:val="auto"/>
              </w:rPr>
              <w:t>70,435</w:t>
            </w:r>
          </w:p>
        </w:tc>
        <w:tc>
          <w:tcPr>
            <w:tcW w:w="26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760" w:type="dxa"/>
            <w:vAlign w:val="bottom"/>
            <w:shd w:val="clear" w:color="auto" w:fill="CCFFCC"/>
          </w:tcPr>
          <w:p>
            <w:pPr>
              <w:jc w:val="right"/>
              <w:spacing w:after="0"/>
              <w:rPr>
                <w:sz w:val="20"/>
                <w:szCs w:val="20"/>
                <w:color w:val="auto"/>
              </w:rPr>
            </w:pPr>
            <w:r>
              <w:rPr>
                <w:rFonts w:ascii="Arial" w:cs="Arial" w:eastAsia="Arial" w:hAnsi="Arial"/>
                <w:sz w:val="16"/>
                <w:szCs w:val="16"/>
                <w:b w:val="1"/>
                <w:bCs w:val="1"/>
                <w:color w:val="auto"/>
              </w:rPr>
              <w:t>75,652</w:t>
            </w:r>
          </w:p>
        </w:tc>
        <w:tc>
          <w:tcPr>
            <w:tcW w:w="160" w:type="dxa"/>
            <w:vAlign w:val="bottom"/>
            <w:shd w:val="clear" w:color="auto" w:fill="CCFFC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00" w:type="dxa"/>
            <w:vAlign w:val="bottom"/>
            <w:shd w:val="clear" w:color="auto" w:fill="CCFFCC"/>
          </w:tcPr>
          <w:p>
            <w:pPr>
              <w:ind w:left="160"/>
              <w:spacing w:after="0"/>
              <w:rPr>
                <w:sz w:val="20"/>
                <w:szCs w:val="20"/>
                <w:color w:val="auto"/>
              </w:rPr>
            </w:pPr>
            <w:r>
              <w:rPr>
                <w:rFonts w:ascii="Arial" w:cs="Arial" w:eastAsia="Arial" w:hAnsi="Arial"/>
                <w:sz w:val="16"/>
                <w:szCs w:val="16"/>
                <w:color w:val="auto"/>
              </w:rPr>
              <w:t>Salaries and benefits</w:t>
            </w:r>
          </w:p>
        </w:tc>
        <w:tc>
          <w:tcPr>
            <w:tcW w:w="1280" w:type="dxa"/>
            <w:vAlign w:val="bottom"/>
            <w:gridSpan w:val="2"/>
            <w:shd w:val="clear" w:color="auto" w:fill="CCFFCC"/>
          </w:tcPr>
          <w:p>
            <w:pPr>
              <w:jc w:val="right"/>
              <w:ind w:right="199"/>
              <w:spacing w:after="0"/>
              <w:rPr>
                <w:sz w:val="20"/>
                <w:szCs w:val="20"/>
                <w:color w:val="auto"/>
              </w:rPr>
            </w:pPr>
            <w:r>
              <w:rPr>
                <w:rFonts w:ascii="Arial" w:cs="Arial" w:eastAsia="Arial" w:hAnsi="Arial"/>
                <w:sz w:val="16"/>
                <w:szCs w:val="16"/>
                <w:color w:val="auto"/>
              </w:rPr>
              <w:t>10,953</w:t>
            </w:r>
          </w:p>
        </w:tc>
        <w:tc>
          <w:tcPr>
            <w:tcW w:w="1280" w:type="dxa"/>
            <w:vAlign w:val="bottom"/>
            <w:gridSpan w:val="2"/>
            <w:shd w:val="clear" w:color="auto" w:fill="CCFFCC"/>
          </w:tcPr>
          <w:p>
            <w:pPr>
              <w:jc w:val="right"/>
              <w:ind w:right="280"/>
              <w:spacing w:after="0"/>
              <w:rPr>
                <w:sz w:val="20"/>
                <w:szCs w:val="20"/>
                <w:color w:val="auto"/>
              </w:rPr>
            </w:pPr>
            <w:r>
              <w:rPr>
                <w:rFonts w:ascii="Arial" w:cs="Arial" w:eastAsia="Arial" w:hAnsi="Arial"/>
                <w:sz w:val="16"/>
                <w:szCs w:val="16"/>
                <w:color w:val="auto"/>
              </w:rPr>
              <w:t>11,752</w:t>
            </w:r>
          </w:p>
        </w:tc>
        <w:tc>
          <w:tcPr>
            <w:tcW w:w="1280" w:type="dxa"/>
            <w:vAlign w:val="bottom"/>
            <w:gridSpan w:val="2"/>
            <w:shd w:val="clear" w:color="auto" w:fill="CCFFCC"/>
          </w:tcPr>
          <w:p>
            <w:pPr>
              <w:jc w:val="right"/>
              <w:ind w:right="260"/>
              <w:spacing w:after="0"/>
              <w:rPr>
                <w:sz w:val="20"/>
                <w:szCs w:val="20"/>
                <w:color w:val="auto"/>
              </w:rPr>
            </w:pPr>
            <w:r>
              <w:rPr>
                <w:rFonts w:ascii="Arial" w:cs="Arial" w:eastAsia="Arial" w:hAnsi="Arial"/>
                <w:sz w:val="16"/>
                <w:szCs w:val="16"/>
                <w:color w:val="auto"/>
              </w:rPr>
              <w:t>14,258</w:t>
            </w:r>
          </w:p>
        </w:tc>
        <w:tc>
          <w:tcPr>
            <w:tcW w:w="10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42,757</w:t>
            </w:r>
          </w:p>
        </w:tc>
        <w:tc>
          <w:tcPr>
            <w:tcW w:w="26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760" w:type="dxa"/>
            <w:vAlign w:val="bottom"/>
            <w:shd w:val="clear" w:color="auto" w:fill="CCFFCC"/>
          </w:tcPr>
          <w:p>
            <w:pPr>
              <w:jc w:val="right"/>
              <w:spacing w:after="0"/>
              <w:rPr>
                <w:sz w:val="20"/>
                <w:szCs w:val="20"/>
                <w:color w:val="auto"/>
              </w:rPr>
            </w:pPr>
            <w:r>
              <w:rPr>
                <w:rFonts w:ascii="Arial" w:cs="Arial" w:eastAsia="Arial" w:hAnsi="Arial"/>
                <w:sz w:val="16"/>
                <w:szCs w:val="16"/>
                <w:color w:val="auto"/>
              </w:rPr>
              <w:t>46,713</w:t>
            </w:r>
          </w:p>
        </w:tc>
        <w:tc>
          <w:tcPr>
            <w:tcW w:w="160" w:type="dxa"/>
            <w:vAlign w:val="bottom"/>
            <w:shd w:val="clear" w:color="auto" w:fill="CCFFC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00" w:type="dxa"/>
            <w:vAlign w:val="bottom"/>
          </w:tcPr>
          <w:p>
            <w:pPr>
              <w:ind w:left="160"/>
              <w:spacing w:after="0"/>
              <w:rPr>
                <w:sz w:val="20"/>
                <w:szCs w:val="20"/>
                <w:color w:val="auto"/>
              </w:rPr>
            </w:pPr>
            <w:r>
              <w:rPr>
                <w:rFonts w:ascii="Arial" w:cs="Arial" w:eastAsia="Arial" w:hAnsi="Arial"/>
                <w:sz w:val="16"/>
                <w:szCs w:val="16"/>
                <w:color w:val="auto"/>
              </w:rPr>
              <w:t>Administrative expenses</w:t>
            </w:r>
          </w:p>
        </w:tc>
        <w:tc>
          <w:tcPr>
            <w:tcW w:w="1280" w:type="dxa"/>
            <w:vAlign w:val="bottom"/>
            <w:gridSpan w:val="2"/>
          </w:tcPr>
          <w:p>
            <w:pPr>
              <w:jc w:val="right"/>
              <w:ind w:right="199"/>
              <w:spacing w:after="0"/>
              <w:rPr>
                <w:sz w:val="20"/>
                <w:szCs w:val="20"/>
                <w:color w:val="auto"/>
              </w:rPr>
            </w:pPr>
            <w:r>
              <w:rPr>
                <w:rFonts w:ascii="Arial" w:cs="Arial" w:eastAsia="Arial" w:hAnsi="Arial"/>
                <w:sz w:val="16"/>
                <w:szCs w:val="16"/>
                <w:color w:val="auto"/>
              </w:rPr>
              <w:t>8,685</w:t>
            </w:r>
          </w:p>
        </w:tc>
        <w:tc>
          <w:tcPr>
            <w:tcW w:w="1280" w:type="dxa"/>
            <w:vAlign w:val="bottom"/>
            <w:gridSpan w:val="2"/>
          </w:tcPr>
          <w:p>
            <w:pPr>
              <w:jc w:val="right"/>
              <w:ind w:right="280"/>
              <w:spacing w:after="0"/>
              <w:rPr>
                <w:sz w:val="20"/>
                <w:szCs w:val="20"/>
                <w:color w:val="auto"/>
              </w:rPr>
            </w:pPr>
            <w:r>
              <w:rPr>
                <w:rFonts w:ascii="Arial" w:cs="Arial" w:eastAsia="Arial" w:hAnsi="Arial"/>
                <w:sz w:val="16"/>
                <w:szCs w:val="16"/>
                <w:color w:val="auto"/>
              </w:rPr>
              <w:t>11,117</w:t>
            </w:r>
          </w:p>
        </w:tc>
        <w:tc>
          <w:tcPr>
            <w:tcW w:w="1280" w:type="dxa"/>
            <w:vAlign w:val="bottom"/>
            <w:gridSpan w:val="2"/>
          </w:tcPr>
          <w:p>
            <w:pPr>
              <w:jc w:val="right"/>
              <w:ind w:right="260"/>
              <w:spacing w:after="0"/>
              <w:rPr>
                <w:sz w:val="20"/>
                <w:szCs w:val="20"/>
                <w:color w:val="auto"/>
              </w:rPr>
            </w:pPr>
            <w:r>
              <w:rPr>
                <w:rFonts w:ascii="Arial" w:cs="Arial" w:eastAsia="Arial" w:hAnsi="Arial"/>
                <w:sz w:val="16"/>
                <w:szCs w:val="16"/>
                <w:color w:val="auto"/>
              </w:rPr>
              <w:t>17,128</w:t>
            </w:r>
          </w:p>
        </w:tc>
        <w:tc>
          <w:tcPr>
            <w:tcW w:w="1020" w:type="dxa"/>
            <w:vAlign w:val="bottom"/>
          </w:tcPr>
          <w:p>
            <w:pPr>
              <w:jc w:val="right"/>
              <w:spacing w:after="0"/>
              <w:rPr>
                <w:sz w:val="20"/>
                <w:szCs w:val="20"/>
                <w:color w:val="auto"/>
              </w:rPr>
            </w:pPr>
            <w:r>
              <w:rPr>
                <w:rFonts w:ascii="Arial" w:cs="Arial" w:eastAsia="Arial" w:hAnsi="Arial"/>
                <w:sz w:val="16"/>
                <w:szCs w:val="16"/>
                <w:color w:val="auto"/>
              </w:rPr>
              <w:t>37,598</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44,777</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00" w:type="dxa"/>
            <w:vAlign w:val="bottom"/>
            <w:shd w:val="clear" w:color="auto" w:fill="CCFFCC"/>
          </w:tcPr>
          <w:p>
            <w:pPr>
              <w:ind w:left="320"/>
              <w:spacing w:after="0"/>
              <w:rPr>
                <w:sz w:val="20"/>
                <w:szCs w:val="20"/>
                <w:color w:val="auto"/>
              </w:rPr>
            </w:pPr>
            <w:r>
              <w:rPr>
                <w:rFonts w:ascii="Arial" w:cs="Arial" w:eastAsia="Arial" w:hAnsi="Arial"/>
                <w:sz w:val="16"/>
                <w:szCs w:val="16"/>
                <w:color w:val="auto"/>
              </w:rPr>
              <w:t>Third party services</w:t>
            </w:r>
          </w:p>
        </w:tc>
        <w:tc>
          <w:tcPr>
            <w:tcW w:w="1280" w:type="dxa"/>
            <w:vAlign w:val="bottom"/>
            <w:gridSpan w:val="2"/>
            <w:shd w:val="clear" w:color="auto" w:fill="CCFFCC"/>
          </w:tcPr>
          <w:p>
            <w:pPr>
              <w:jc w:val="right"/>
              <w:ind w:right="199"/>
              <w:spacing w:after="0"/>
              <w:rPr>
                <w:sz w:val="20"/>
                <w:szCs w:val="20"/>
                <w:color w:val="auto"/>
              </w:rPr>
            </w:pPr>
            <w:r>
              <w:rPr>
                <w:rFonts w:ascii="Arial" w:cs="Arial" w:eastAsia="Arial" w:hAnsi="Arial"/>
                <w:sz w:val="16"/>
                <w:szCs w:val="16"/>
                <w:color w:val="auto"/>
              </w:rPr>
              <w:t>3,668</w:t>
            </w:r>
          </w:p>
        </w:tc>
        <w:tc>
          <w:tcPr>
            <w:tcW w:w="1280" w:type="dxa"/>
            <w:vAlign w:val="bottom"/>
            <w:gridSpan w:val="2"/>
            <w:shd w:val="clear" w:color="auto" w:fill="CCFFCC"/>
          </w:tcPr>
          <w:p>
            <w:pPr>
              <w:jc w:val="right"/>
              <w:ind w:right="280"/>
              <w:spacing w:after="0"/>
              <w:rPr>
                <w:sz w:val="20"/>
                <w:szCs w:val="20"/>
                <w:color w:val="auto"/>
              </w:rPr>
            </w:pPr>
            <w:r>
              <w:rPr>
                <w:rFonts w:ascii="Arial" w:cs="Arial" w:eastAsia="Arial" w:hAnsi="Arial"/>
                <w:sz w:val="16"/>
                <w:szCs w:val="16"/>
                <w:color w:val="auto"/>
              </w:rPr>
              <w:t>4,531</w:t>
            </w:r>
          </w:p>
        </w:tc>
        <w:tc>
          <w:tcPr>
            <w:tcW w:w="1280" w:type="dxa"/>
            <w:vAlign w:val="bottom"/>
            <w:gridSpan w:val="2"/>
            <w:shd w:val="clear" w:color="auto" w:fill="CCFFCC"/>
          </w:tcPr>
          <w:p>
            <w:pPr>
              <w:jc w:val="right"/>
              <w:ind w:right="260"/>
              <w:spacing w:after="0"/>
              <w:rPr>
                <w:sz w:val="20"/>
                <w:szCs w:val="20"/>
                <w:color w:val="auto"/>
              </w:rPr>
            </w:pPr>
            <w:r>
              <w:rPr>
                <w:rFonts w:ascii="Arial" w:cs="Arial" w:eastAsia="Arial" w:hAnsi="Arial"/>
                <w:sz w:val="16"/>
                <w:szCs w:val="16"/>
                <w:color w:val="auto"/>
              </w:rPr>
              <w:t>5,039</w:t>
            </w:r>
          </w:p>
        </w:tc>
        <w:tc>
          <w:tcPr>
            <w:tcW w:w="10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16,249</w:t>
            </w:r>
          </w:p>
        </w:tc>
        <w:tc>
          <w:tcPr>
            <w:tcW w:w="26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76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17,806</w:t>
            </w:r>
          </w:p>
        </w:tc>
        <w:tc>
          <w:tcPr>
            <w:tcW w:w="160" w:type="dxa"/>
            <w:vAlign w:val="bottom"/>
            <w:shd w:val="clear" w:color="auto" w:fill="CCFFC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00" w:type="dxa"/>
            <w:vAlign w:val="bottom"/>
          </w:tcPr>
          <w:p>
            <w:pPr>
              <w:ind w:left="320"/>
              <w:spacing w:after="0"/>
              <w:rPr>
                <w:sz w:val="20"/>
                <w:szCs w:val="20"/>
                <w:color w:val="auto"/>
              </w:rPr>
            </w:pPr>
            <w:r>
              <w:rPr>
                <w:rFonts w:ascii="Arial" w:cs="Arial" w:eastAsia="Arial" w:hAnsi="Arial"/>
                <w:sz w:val="16"/>
                <w:szCs w:val="16"/>
                <w:color w:val="auto"/>
              </w:rPr>
              <w:t>Sundry management expenses</w:t>
            </w:r>
          </w:p>
        </w:tc>
        <w:tc>
          <w:tcPr>
            <w:tcW w:w="1280" w:type="dxa"/>
            <w:vAlign w:val="bottom"/>
            <w:gridSpan w:val="2"/>
          </w:tcPr>
          <w:p>
            <w:pPr>
              <w:jc w:val="right"/>
              <w:ind w:right="199"/>
              <w:spacing w:after="0"/>
              <w:rPr>
                <w:sz w:val="20"/>
                <w:szCs w:val="20"/>
                <w:color w:val="auto"/>
              </w:rPr>
            </w:pPr>
            <w:r>
              <w:rPr>
                <w:rFonts w:ascii="Arial" w:cs="Arial" w:eastAsia="Arial" w:hAnsi="Arial"/>
                <w:sz w:val="16"/>
                <w:szCs w:val="16"/>
                <w:color w:val="auto"/>
              </w:rPr>
              <w:t>1,549</w:t>
            </w:r>
          </w:p>
        </w:tc>
        <w:tc>
          <w:tcPr>
            <w:tcW w:w="1280" w:type="dxa"/>
            <w:vAlign w:val="bottom"/>
            <w:gridSpan w:val="2"/>
          </w:tcPr>
          <w:p>
            <w:pPr>
              <w:jc w:val="right"/>
              <w:ind w:right="280"/>
              <w:spacing w:after="0"/>
              <w:rPr>
                <w:sz w:val="20"/>
                <w:szCs w:val="20"/>
                <w:color w:val="auto"/>
              </w:rPr>
            </w:pPr>
            <w:r>
              <w:rPr>
                <w:rFonts w:ascii="Arial" w:cs="Arial" w:eastAsia="Arial" w:hAnsi="Arial"/>
                <w:sz w:val="16"/>
                <w:szCs w:val="16"/>
                <w:color w:val="auto"/>
              </w:rPr>
              <w:t>1,602</w:t>
            </w:r>
          </w:p>
        </w:tc>
        <w:tc>
          <w:tcPr>
            <w:tcW w:w="1280" w:type="dxa"/>
            <w:vAlign w:val="bottom"/>
            <w:gridSpan w:val="2"/>
          </w:tcPr>
          <w:p>
            <w:pPr>
              <w:jc w:val="right"/>
              <w:ind w:right="260"/>
              <w:spacing w:after="0"/>
              <w:rPr>
                <w:sz w:val="20"/>
                <w:szCs w:val="20"/>
                <w:color w:val="auto"/>
              </w:rPr>
            </w:pPr>
            <w:r>
              <w:rPr>
                <w:rFonts w:ascii="Arial" w:cs="Arial" w:eastAsia="Arial" w:hAnsi="Arial"/>
                <w:sz w:val="16"/>
                <w:szCs w:val="16"/>
                <w:color w:val="auto"/>
              </w:rPr>
              <w:t>2,192</w:t>
            </w:r>
          </w:p>
        </w:tc>
        <w:tc>
          <w:tcPr>
            <w:tcW w:w="1020" w:type="dxa"/>
            <w:vAlign w:val="bottom"/>
          </w:tcPr>
          <w:p>
            <w:pPr>
              <w:jc w:val="right"/>
              <w:spacing w:after="0"/>
              <w:rPr>
                <w:sz w:val="20"/>
                <w:szCs w:val="20"/>
                <w:color w:val="auto"/>
              </w:rPr>
            </w:pPr>
            <w:r>
              <w:rPr>
                <w:rFonts w:ascii="Arial" w:cs="Arial" w:eastAsia="Arial" w:hAnsi="Arial"/>
                <w:sz w:val="16"/>
                <w:szCs w:val="16"/>
                <w:color w:val="auto"/>
              </w:rPr>
              <w:t>7,019</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7,303</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00" w:type="dxa"/>
            <w:vAlign w:val="bottom"/>
            <w:shd w:val="clear" w:color="auto" w:fill="CCFFCC"/>
          </w:tcPr>
          <w:p>
            <w:pPr>
              <w:ind w:left="320"/>
              <w:spacing w:after="0"/>
              <w:rPr>
                <w:sz w:val="20"/>
                <w:szCs w:val="20"/>
                <w:color w:val="auto"/>
              </w:rPr>
            </w:pPr>
            <w:r>
              <w:rPr>
                <w:rFonts w:ascii="Arial" w:cs="Arial" w:eastAsia="Arial" w:hAnsi="Arial"/>
                <w:sz w:val="16"/>
                <w:szCs w:val="16"/>
                <w:color w:val="auto"/>
              </w:rPr>
              <w:t>Provisions</w:t>
            </w:r>
          </w:p>
        </w:tc>
        <w:tc>
          <w:tcPr>
            <w:tcW w:w="1280" w:type="dxa"/>
            <w:vAlign w:val="bottom"/>
            <w:gridSpan w:val="2"/>
            <w:shd w:val="clear" w:color="auto" w:fill="CCFFCC"/>
          </w:tcPr>
          <w:p>
            <w:pPr>
              <w:jc w:val="right"/>
              <w:ind w:right="199"/>
              <w:spacing w:after="0"/>
              <w:rPr>
                <w:sz w:val="20"/>
                <w:szCs w:val="20"/>
                <w:color w:val="auto"/>
              </w:rPr>
            </w:pPr>
            <w:r>
              <w:rPr>
                <w:rFonts w:ascii="Arial" w:cs="Arial" w:eastAsia="Arial" w:hAnsi="Arial"/>
                <w:sz w:val="16"/>
                <w:szCs w:val="16"/>
                <w:color w:val="auto"/>
              </w:rPr>
              <w:t>1,237</w:t>
            </w:r>
          </w:p>
        </w:tc>
        <w:tc>
          <w:tcPr>
            <w:tcW w:w="1280" w:type="dxa"/>
            <w:vAlign w:val="bottom"/>
            <w:gridSpan w:val="2"/>
            <w:shd w:val="clear" w:color="auto" w:fill="CCFFCC"/>
          </w:tcPr>
          <w:p>
            <w:pPr>
              <w:jc w:val="right"/>
              <w:ind w:right="280"/>
              <w:spacing w:after="0"/>
              <w:rPr>
                <w:sz w:val="20"/>
                <w:szCs w:val="20"/>
                <w:color w:val="auto"/>
              </w:rPr>
            </w:pPr>
            <w:r>
              <w:rPr>
                <w:rFonts w:ascii="Arial" w:cs="Arial" w:eastAsia="Arial" w:hAnsi="Arial"/>
                <w:sz w:val="16"/>
                <w:szCs w:val="16"/>
                <w:color w:val="auto"/>
              </w:rPr>
              <w:t>1,751</w:t>
            </w:r>
          </w:p>
        </w:tc>
        <w:tc>
          <w:tcPr>
            <w:tcW w:w="1280" w:type="dxa"/>
            <w:vAlign w:val="bottom"/>
            <w:gridSpan w:val="2"/>
            <w:shd w:val="clear" w:color="auto" w:fill="CCFFCC"/>
          </w:tcPr>
          <w:p>
            <w:pPr>
              <w:jc w:val="right"/>
              <w:ind w:right="260"/>
              <w:spacing w:after="0"/>
              <w:rPr>
                <w:sz w:val="20"/>
                <w:szCs w:val="20"/>
                <w:color w:val="auto"/>
              </w:rPr>
            </w:pPr>
            <w:r>
              <w:rPr>
                <w:rFonts w:ascii="Arial" w:cs="Arial" w:eastAsia="Arial" w:hAnsi="Arial"/>
                <w:sz w:val="16"/>
                <w:szCs w:val="16"/>
                <w:color w:val="auto"/>
              </w:rPr>
              <w:t>5,204</w:t>
            </w:r>
          </w:p>
        </w:tc>
        <w:tc>
          <w:tcPr>
            <w:tcW w:w="10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4,921</w:t>
            </w:r>
          </w:p>
        </w:tc>
        <w:tc>
          <w:tcPr>
            <w:tcW w:w="26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760" w:type="dxa"/>
            <w:vAlign w:val="bottom"/>
            <w:shd w:val="clear" w:color="auto" w:fill="CCFFCC"/>
          </w:tcPr>
          <w:p>
            <w:pPr>
              <w:jc w:val="right"/>
              <w:spacing w:after="0"/>
              <w:rPr>
                <w:sz w:val="20"/>
                <w:szCs w:val="20"/>
                <w:color w:val="auto"/>
              </w:rPr>
            </w:pPr>
            <w:r>
              <w:rPr>
                <w:rFonts w:ascii="Arial" w:cs="Arial" w:eastAsia="Arial" w:hAnsi="Arial"/>
                <w:sz w:val="16"/>
                <w:szCs w:val="16"/>
                <w:color w:val="auto"/>
              </w:rPr>
              <w:t>9,463</w:t>
            </w:r>
          </w:p>
        </w:tc>
        <w:tc>
          <w:tcPr>
            <w:tcW w:w="160" w:type="dxa"/>
            <w:vAlign w:val="bottom"/>
            <w:shd w:val="clear" w:color="auto" w:fill="CCFFC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00" w:type="dxa"/>
            <w:vAlign w:val="bottom"/>
          </w:tcPr>
          <w:p>
            <w:pPr>
              <w:ind w:left="320"/>
              <w:spacing w:after="0"/>
              <w:rPr>
                <w:sz w:val="20"/>
                <w:szCs w:val="20"/>
                <w:color w:val="auto"/>
              </w:rPr>
            </w:pPr>
            <w:r>
              <w:rPr>
                <w:rFonts w:ascii="Arial" w:cs="Arial" w:eastAsia="Arial" w:hAnsi="Arial"/>
                <w:sz w:val="16"/>
                <w:szCs w:val="16"/>
                <w:color w:val="auto"/>
              </w:rPr>
              <w:t>Taxes</w:t>
            </w:r>
          </w:p>
        </w:tc>
        <w:tc>
          <w:tcPr>
            <w:tcW w:w="1280" w:type="dxa"/>
            <w:vAlign w:val="bottom"/>
            <w:gridSpan w:val="2"/>
          </w:tcPr>
          <w:p>
            <w:pPr>
              <w:jc w:val="right"/>
              <w:ind w:right="199"/>
              <w:spacing w:after="0"/>
              <w:rPr>
                <w:sz w:val="20"/>
                <w:szCs w:val="20"/>
                <w:color w:val="auto"/>
              </w:rPr>
            </w:pPr>
            <w:r>
              <w:rPr>
                <w:rFonts w:ascii="Arial" w:cs="Arial" w:eastAsia="Arial" w:hAnsi="Arial"/>
                <w:sz w:val="16"/>
                <w:szCs w:val="16"/>
                <w:color w:val="auto"/>
              </w:rPr>
              <w:t>1,231</w:t>
            </w:r>
          </w:p>
        </w:tc>
        <w:tc>
          <w:tcPr>
            <w:tcW w:w="1280" w:type="dxa"/>
            <w:vAlign w:val="bottom"/>
            <w:gridSpan w:val="2"/>
          </w:tcPr>
          <w:p>
            <w:pPr>
              <w:jc w:val="right"/>
              <w:ind w:right="280"/>
              <w:spacing w:after="0"/>
              <w:rPr>
                <w:sz w:val="20"/>
                <w:szCs w:val="20"/>
                <w:color w:val="auto"/>
              </w:rPr>
            </w:pPr>
            <w:r>
              <w:rPr>
                <w:rFonts w:ascii="Arial" w:cs="Arial" w:eastAsia="Arial" w:hAnsi="Arial"/>
                <w:sz w:val="16"/>
                <w:szCs w:val="16"/>
                <w:color w:val="auto"/>
              </w:rPr>
              <w:t>1,382</w:t>
            </w:r>
          </w:p>
        </w:tc>
        <w:tc>
          <w:tcPr>
            <w:tcW w:w="1280" w:type="dxa"/>
            <w:vAlign w:val="bottom"/>
            <w:gridSpan w:val="2"/>
          </w:tcPr>
          <w:p>
            <w:pPr>
              <w:jc w:val="right"/>
              <w:ind w:right="260"/>
              <w:spacing w:after="0"/>
              <w:rPr>
                <w:sz w:val="20"/>
                <w:szCs w:val="20"/>
                <w:color w:val="auto"/>
              </w:rPr>
            </w:pPr>
            <w:r>
              <w:rPr>
                <w:rFonts w:ascii="Arial" w:cs="Arial" w:eastAsia="Arial" w:hAnsi="Arial"/>
                <w:sz w:val="16"/>
                <w:szCs w:val="16"/>
                <w:color w:val="auto"/>
              </w:rPr>
              <w:t>1,697</w:t>
            </w:r>
          </w:p>
        </w:tc>
        <w:tc>
          <w:tcPr>
            <w:tcW w:w="1020" w:type="dxa"/>
            <w:vAlign w:val="bottom"/>
          </w:tcPr>
          <w:p>
            <w:pPr>
              <w:jc w:val="right"/>
              <w:spacing w:after="0"/>
              <w:rPr>
                <w:sz w:val="20"/>
                <w:szCs w:val="20"/>
                <w:color w:val="auto"/>
              </w:rPr>
            </w:pPr>
            <w:r>
              <w:rPr>
                <w:rFonts w:ascii="Arial" w:cs="Arial" w:eastAsia="Arial" w:hAnsi="Arial"/>
                <w:sz w:val="16"/>
                <w:szCs w:val="16"/>
                <w:color w:val="auto"/>
              </w:rPr>
              <w:t>4,848</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5,441</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00" w:type="dxa"/>
            <w:vAlign w:val="bottom"/>
            <w:shd w:val="clear" w:color="auto" w:fill="CCFFCC"/>
          </w:tcPr>
          <w:p>
            <w:pPr>
              <w:ind w:left="320"/>
              <w:spacing w:after="0"/>
              <w:rPr>
                <w:sz w:val="20"/>
                <w:szCs w:val="20"/>
                <w:color w:val="auto"/>
              </w:rPr>
            </w:pPr>
            <w:r>
              <w:rPr>
                <w:rFonts w:ascii="Arial" w:cs="Arial" w:eastAsia="Arial" w:hAnsi="Arial"/>
                <w:sz w:val="16"/>
                <w:szCs w:val="16"/>
                <w:color w:val="auto"/>
              </w:rPr>
              <w:t>Other expenses</w:t>
            </w:r>
          </w:p>
        </w:tc>
        <w:tc>
          <w:tcPr>
            <w:tcW w:w="1280" w:type="dxa"/>
            <w:vAlign w:val="bottom"/>
            <w:gridSpan w:val="2"/>
            <w:shd w:val="clear" w:color="auto" w:fill="CCFFCC"/>
          </w:tcPr>
          <w:p>
            <w:pPr>
              <w:jc w:val="right"/>
              <w:ind w:right="199"/>
              <w:spacing w:after="0"/>
              <w:rPr>
                <w:sz w:val="20"/>
                <w:szCs w:val="20"/>
                <w:color w:val="auto"/>
              </w:rPr>
            </w:pPr>
            <w:r>
              <w:rPr>
                <w:rFonts w:ascii="Arial" w:cs="Arial" w:eastAsia="Arial" w:hAnsi="Arial"/>
                <w:sz w:val="16"/>
                <w:szCs w:val="16"/>
                <w:color w:val="auto"/>
              </w:rPr>
              <w:t>1,000</w:t>
            </w:r>
          </w:p>
        </w:tc>
        <w:tc>
          <w:tcPr>
            <w:tcW w:w="1280" w:type="dxa"/>
            <w:vAlign w:val="bottom"/>
            <w:gridSpan w:val="2"/>
            <w:shd w:val="clear" w:color="auto" w:fill="CCFFCC"/>
          </w:tcPr>
          <w:p>
            <w:pPr>
              <w:jc w:val="right"/>
              <w:ind w:right="280"/>
              <w:spacing w:after="0"/>
              <w:rPr>
                <w:sz w:val="20"/>
                <w:szCs w:val="20"/>
                <w:color w:val="auto"/>
              </w:rPr>
            </w:pPr>
            <w:r>
              <w:rPr>
                <w:rFonts w:ascii="Arial" w:cs="Arial" w:eastAsia="Arial" w:hAnsi="Arial"/>
                <w:sz w:val="16"/>
                <w:szCs w:val="16"/>
                <w:color w:val="auto"/>
              </w:rPr>
              <w:t>1,851</w:t>
            </w:r>
          </w:p>
        </w:tc>
        <w:tc>
          <w:tcPr>
            <w:tcW w:w="1280" w:type="dxa"/>
            <w:vAlign w:val="bottom"/>
            <w:gridSpan w:val="2"/>
            <w:shd w:val="clear" w:color="auto" w:fill="CCFFCC"/>
          </w:tcPr>
          <w:p>
            <w:pPr>
              <w:jc w:val="right"/>
              <w:ind w:right="260"/>
              <w:spacing w:after="0"/>
              <w:rPr>
                <w:sz w:val="20"/>
                <w:szCs w:val="20"/>
                <w:color w:val="auto"/>
              </w:rPr>
            </w:pPr>
            <w:r>
              <w:rPr>
                <w:rFonts w:ascii="Arial" w:cs="Arial" w:eastAsia="Arial" w:hAnsi="Arial"/>
                <w:sz w:val="16"/>
                <w:szCs w:val="16"/>
                <w:color w:val="auto"/>
              </w:rPr>
              <w:t>2,997</w:t>
            </w:r>
          </w:p>
        </w:tc>
        <w:tc>
          <w:tcPr>
            <w:tcW w:w="10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4,561</w:t>
            </w:r>
          </w:p>
        </w:tc>
        <w:tc>
          <w:tcPr>
            <w:tcW w:w="26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760" w:type="dxa"/>
            <w:vAlign w:val="bottom"/>
            <w:shd w:val="clear" w:color="auto" w:fill="CCFFCC"/>
          </w:tcPr>
          <w:p>
            <w:pPr>
              <w:jc w:val="right"/>
              <w:spacing w:after="0"/>
              <w:rPr>
                <w:sz w:val="20"/>
                <w:szCs w:val="20"/>
                <w:color w:val="auto"/>
              </w:rPr>
            </w:pPr>
            <w:r>
              <w:rPr>
                <w:rFonts w:ascii="Arial" w:cs="Arial" w:eastAsia="Arial" w:hAnsi="Arial"/>
                <w:sz w:val="16"/>
                <w:szCs w:val="16"/>
                <w:color w:val="auto"/>
              </w:rPr>
              <w:t>4,764</w:t>
            </w:r>
          </w:p>
        </w:tc>
        <w:tc>
          <w:tcPr>
            <w:tcW w:w="160" w:type="dxa"/>
            <w:vAlign w:val="bottom"/>
            <w:shd w:val="clear" w:color="auto" w:fill="CCFFC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00" w:type="dxa"/>
            <w:vAlign w:val="bottom"/>
          </w:tcPr>
          <w:p>
            <w:pPr>
              <w:spacing w:after="0"/>
              <w:rPr>
                <w:sz w:val="20"/>
                <w:szCs w:val="20"/>
                <w:color w:val="auto"/>
              </w:rPr>
            </w:pPr>
            <w:r>
              <w:rPr>
                <w:rFonts w:ascii="Arial" w:cs="Arial" w:eastAsia="Arial" w:hAnsi="Arial"/>
                <w:sz w:val="16"/>
                <w:szCs w:val="16"/>
                <w:b w:val="1"/>
                <w:bCs w:val="1"/>
                <w:color w:val="auto"/>
              </w:rPr>
              <w:t>General expenses</w:t>
            </w:r>
          </w:p>
        </w:tc>
        <w:tc>
          <w:tcPr>
            <w:tcW w:w="1280" w:type="dxa"/>
            <w:vAlign w:val="bottom"/>
            <w:gridSpan w:val="2"/>
          </w:tcPr>
          <w:p>
            <w:pPr>
              <w:jc w:val="right"/>
              <w:ind w:right="199"/>
              <w:spacing w:after="0"/>
              <w:rPr>
                <w:sz w:val="20"/>
                <w:szCs w:val="20"/>
                <w:color w:val="auto"/>
              </w:rPr>
            </w:pPr>
            <w:r>
              <w:rPr>
                <w:rFonts w:ascii="Arial" w:cs="Arial" w:eastAsia="Arial" w:hAnsi="Arial"/>
                <w:sz w:val="16"/>
                <w:szCs w:val="16"/>
                <w:b w:val="1"/>
                <w:bCs w:val="1"/>
                <w:color w:val="auto"/>
              </w:rPr>
              <w:t>19,637</w:t>
            </w:r>
          </w:p>
        </w:tc>
        <w:tc>
          <w:tcPr>
            <w:tcW w:w="128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22,869</w:t>
            </w:r>
          </w:p>
        </w:tc>
        <w:tc>
          <w:tcPr>
            <w:tcW w:w="128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31,386</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80,354</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91,489</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5100" w:type="dxa"/>
            <w:vAlign w:val="bottom"/>
            <w:shd w:val="clear" w:color="auto" w:fill="CCFFCC"/>
          </w:tcPr>
          <w:p>
            <w:pPr>
              <w:spacing w:after="0"/>
              <w:rPr>
                <w:sz w:val="17"/>
                <w:szCs w:val="17"/>
                <w:color w:val="auto"/>
              </w:rPr>
            </w:pPr>
          </w:p>
        </w:tc>
        <w:tc>
          <w:tcPr>
            <w:tcW w:w="1000" w:type="dxa"/>
            <w:vAlign w:val="bottom"/>
            <w:shd w:val="clear" w:color="auto" w:fill="CCFFCC"/>
          </w:tcPr>
          <w:p>
            <w:pPr>
              <w:spacing w:after="0"/>
              <w:rPr>
                <w:sz w:val="17"/>
                <w:szCs w:val="17"/>
                <w:color w:val="auto"/>
              </w:rPr>
            </w:pPr>
          </w:p>
        </w:tc>
        <w:tc>
          <w:tcPr>
            <w:tcW w:w="280" w:type="dxa"/>
            <w:vAlign w:val="bottom"/>
            <w:shd w:val="clear" w:color="auto" w:fill="CCFFCC"/>
          </w:tcPr>
          <w:p>
            <w:pPr>
              <w:spacing w:after="0"/>
              <w:rPr>
                <w:sz w:val="17"/>
                <w:szCs w:val="17"/>
                <w:color w:val="auto"/>
              </w:rPr>
            </w:pPr>
          </w:p>
        </w:tc>
        <w:tc>
          <w:tcPr>
            <w:tcW w:w="1000" w:type="dxa"/>
            <w:vAlign w:val="bottom"/>
            <w:shd w:val="clear" w:color="auto" w:fill="CCFFCC"/>
          </w:tcPr>
          <w:p>
            <w:pPr>
              <w:spacing w:after="0"/>
              <w:rPr>
                <w:sz w:val="17"/>
                <w:szCs w:val="17"/>
                <w:color w:val="auto"/>
              </w:rPr>
            </w:pPr>
          </w:p>
        </w:tc>
        <w:tc>
          <w:tcPr>
            <w:tcW w:w="280" w:type="dxa"/>
            <w:vAlign w:val="bottom"/>
            <w:shd w:val="clear" w:color="auto" w:fill="CCFFCC"/>
          </w:tcPr>
          <w:p>
            <w:pPr>
              <w:spacing w:after="0"/>
              <w:rPr>
                <w:sz w:val="17"/>
                <w:szCs w:val="17"/>
                <w:color w:val="auto"/>
              </w:rPr>
            </w:pPr>
          </w:p>
        </w:tc>
        <w:tc>
          <w:tcPr>
            <w:tcW w:w="102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102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7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100" w:type="dxa"/>
            <w:vAlign w:val="bottom"/>
          </w:tcPr>
          <w:p>
            <w:pPr>
              <w:spacing w:after="0"/>
              <w:rPr>
                <w:sz w:val="20"/>
                <w:szCs w:val="20"/>
                <w:color w:val="auto"/>
              </w:rPr>
            </w:pPr>
            <w:r>
              <w:rPr>
                <w:rFonts w:ascii="Arial" w:cs="Arial" w:eastAsia="Arial" w:hAnsi="Arial"/>
                <w:sz w:val="16"/>
                <w:szCs w:val="16"/>
                <w:color w:val="auto"/>
              </w:rPr>
              <w:t>Other income</w:t>
            </w:r>
          </w:p>
        </w:tc>
        <w:tc>
          <w:tcPr>
            <w:tcW w:w="1280" w:type="dxa"/>
            <w:vAlign w:val="bottom"/>
            <w:gridSpan w:val="2"/>
          </w:tcPr>
          <w:p>
            <w:pPr>
              <w:jc w:val="right"/>
              <w:ind w:right="199"/>
              <w:spacing w:after="0"/>
              <w:rPr>
                <w:sz w:val="20"/>
                <w:szCs w:val="20"/>
                <w:color w:val="auto"/>
              </w:rPr>
            </w:pPr>
            <w:r>
              <w:rPr>
                <w:rFonts w:ascii="Arial" w:cs="Arial" w:eastAsia="Arial" w:hAnsi="Arial"/>
                <w:sz w:val="16"/>
                <w:szCs w:val="16"/>
                <w:color w:val="auto"/>
              </w:rPr>
              <w:t>1,352</w:t>
            </w: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(92.4)</w:t>
            </w:r>
          </w:p>
        </w:tc>
        <w:tc>
          <w:tcPr>
            <w:tcW w:w="1280" w:type="dxa"/>
            <w:vAlign w:val="bottom"/>
            <w:gridSpan w:val="2"/>
          </w:tcPr>
          <w:p>
            <w:pPr>
              <w:jc w:val="right"/>
              <w:ind w:right="260"/>
              <w:spacing w:after="0"/>
              <w:rPr>
                <w:sz w:val="20"/>
                <w:szCs w:val="20"/>
                <w:color w:val="auto"/>
              </w:rPr>
            </w:pPr>
            <w:r>
              <w:rPr>
                <w:rFonts w:ascii="Arial" w:cs="Arial" w:eastAsia="Arial" w:hAnsi="Arial"/>
                <w:sz w:val="16"/>
                <w:szCs w:val="16"/>
                <w:color w:val="auto"/>
              </w:rPr>
              <w:t>945</w:t>
            </w:r>
          </w:p>
        </w:tc>
        <w:tc>
          <w:tcPr>
            <w:tcW w:w="1020" w:type="dxa"/>
            <w:vAlign w:val="bottom"/>
          </w:tcPr>
          <w:p>
            <w:pPr>
              <w:jc w:val="right"/>
              <w:spacing w:after="0"/>
              <w:rPr>
                <w:sz w:val="20"/>
                <w:szCs w:val="20"/>
                <w:color w:val="auto"/>
              </w:rPr>
            </w:pPr>
            <w:r>
              <w:rPr>
                <w:rFonts w:ascii="Arial" w:cs="Arial" w:eastAsia="Arial" w:hAnsi="Arial"/>
                <w:sz w:val="16"/>
                <w:szCs w:val="16"/>
                <w:color w:val="auto"/>
              </w:rPr>
              <w:t>2,261</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1,778</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00" w:type="dxa"/>
            <w:vAlign w:val="bottom"/>
            <w:shd w:val="clear" w:color="auto" w:fill="CCFFCC"/>
          </w:tcPr>
          <w:p>
            <w:pPr>
              <w:spacing w:after="0"/>
              <w:rPr>
                <w:sz w:val="20"/>
                <w:szCs w:val="20"/>
                <w:color w:val="auto"/>
              </w:rPr>
            </w:pPr>
            <w:r>
              <w:rPr>
                <w:rFonts w:ascii="Arial" w:cs="Arial" w:eastAsia="Arial" w:hAnsi="Arial"/>
                <w:sz w:val="16"/>
                <w:szCs w:val="16"/>
                <w:color w:val="auto"/>
              </w:rPr>
              <w:t>Traslations results</w:t>
            </w:r>
          </w:p>
        </w:tc>
        <w:tc>
          <w:tcPr>
            <w:tcW w:w="1280" w:type="dxa"/>
            <w:vAlign w:val="bottom"/>
            <w:gridSpan w:val="2"/>
            <w:shd w:val="clear" w:color="auto" w:fill="CCFFCC"/>
          </w:tcPr>
          <w:p>
            <w:pPr>
              <w:jc w:val="right"/>
              <w:ind w:right="139"/>
              <w:spacing w:after="0"/>
              <w:rPr>
                <w:sz w:val="20"/>
                <w:szCs w:val="20"/>
                <w:color w:val="auto"/>
              </w:rPr>
            </w:pPr>
            <w:r>
              <w:rPr>
                <w:rFonts w:ascii="Arial" w:cs="Arial" w:eastAsia="Arial" w:hAnsi="Arial"/>
                <w:sz w:val="16"/>
                <w:szCs w:val="16"/>
                <w:color w:val="auto"/>
              </w:rPr>
              <w:t>(2,669.4)</w:t>
            </w:r>
          </w:p>
        </w:tc>
        <w:tc>
          <w:tcPr>
            <w:tcW w:w="1280" w:type="dxa"/>
            <w:vAlign w:val="bottom"/>
            <w:gridSpan w:val="2"/>
            <w:shd w:val="clear" w:color="auto" w:fill="CCFFCC"/>
          </w:tcPr>
          <w:p>
            <w:pPr>
              <w:jc w:val="right"/>
              <w:ind w:right="280"/>
              <w:spacing w:after="0"/>
              <w:rPr>
                <w:sz w:val="20"/>
                <w:szCs w:val="20"/>
                <w:color w:val="auto"/>
              </w:rPr>
            </w:pPr>
            <w:r>
              <w:rPr>
                <w:rFonts w:ascii="Arial" w:cs="Arial" w:eastAsia="Arial" w:hAnsi="Arial"/>
                <w:sz w:val="16"/>
                <w:szCs w:val="16"/>
                <w:color w:val="auto"/>
              </w:rPr>
              <w:t>1,879</w:t>
            </w:r>
          </w:p>
        </w:tc>
        <w:tc>
          <w:tcPr>
            <w:tcW w:w="1280" w:type="dxa"/>
            <w:vAlign w:val="bottom"/>
            <w:gridSpan w:val="2"/>
            <w:shd w:val="clear" w:color="auto" w:fill="CCFFCC"/>
          </w:tcPr>
          <w:p>
            <w:pPr>
              <w:jc w:val="right"/>
              <w:ind w:right="260"/>
              <w:spacing w:after="0"/>
              <w:rPr>
                <w:sz w:val="20"/>
                <w:szCs w:val="20"/>
                <w:color w:val="auto"/>
              </w:rPr>
            </w:pPr>
            <w:r>
              <w:rPr>
                <w:rFonts w:ascii="Arial" w:cs="Arial" w:eastAsia="Arial" w:hAnsi="Arial"/>
                <w:sz w:val="16"/>
                <w:szCs w:val="16"/>
                <w:color w:val="auto"/>
              </w:rPr>
              <w:t>382</w:t>
            </w:r>
          </w:p>
        </w:tc>
        <w:tc>
          <w:tcPr>
            <w:tcW w:w="1280" w:type="dxa"/>
            <w:vAlign w:val="bottom"/>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(3,402.0)</w:t>
            </w:r>
          </w:p>
        </w:tc>
        <w:tc>
          <w:tcPr>
            <w:tcW w:w="260" w:type="dxa"/>
            <w:vAlign w:val="bottom"/>
            <w:shd w:val="clear" w:color="auto" w:fill="CCFFCC"/>
          </w:tcPr>
          <w:p>
            <w:pPr>
              <w:spacing w:after="0"/>
              <w:rPr>
                <w:sz w:val="17"/>
                <w:szCs w:val="17"/>
                <w:color w:val="auto"/>
              </w:rPr>
            </w:pPr>
          </w:p>
        </w:tc>
        <w:tc>
          <w:tcPr>
            <w:tcW w:w="760" w:type="dxa"/>
            <w:vAlign w:val="bottom"/>
            <w:shd w:val="clear" w:color="auto" w:fill="CCFFCC"/>
          </w:tcPr>
          <w:p>
            <w:pPr>
              <w:jc w:val="right"/>
              <w:spacing w:after="0"/>
              <w:rPr>
                <w:sz w:val="20"/>
                <w:szCs w:val="20"/>
                <w:color w:val="auto"/>
              </w:rPr>
            </w:pPr>
            <w:r>
              <w:rPr>
                <w:rFonts w:ascii="Arial" w:cs="Arial" w:eastAsia="Arial" w:hAnsi="Arial"/>
                <w:sz w:val="16"/>
                <w:szCs w:val="16"/>
                <w:color w:val="auto"/>
              </w:rPr>
              <w:t>4,474</w:t>
            </w:r>
          </w:p>
        </w:tc>
        <w:tc>
          <w:tcPr>
            <w:tcW w:w="160" w:type="dxa"/>
            <w:vAlign w:val="bottom"/>
            <w:shd w:val="clear" w:color="auto" w:fill="CCFFC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00" w:type="dxa"/>
            <w:vAlign w:val="bottom"/>
          </w:tcPr>
          <w:p>
            <w:pPr>
              <w:spacing w:after="0"/>
              <w:rPr>
                <w:sz w:val="20"/>
                <w:szCs w:val="20"/>
                <w:color w:val="auto"/>
              </w:rPr>
            </w:pPr>
            <w:r>
              <w:rPr>
                <w:rFonts w:ascii="Arial" w:cs="Arial" w:eastAsia="Arial" w:hAnsi="Arial"/>
                <w:sz w:val="16"/>
                <w:szCs w:val="16"/>
                <w:color w:val="auto"/>
              </w:rPr>
              <w:t>Employee participations and income tax</w:t>
            </w:r>
          </w:p>
        </w:tc>
        <w:tc>
          <w:tcPr>
            <w:tcW w:w="1280" w:type="dxa"/>
            <w:vAlign w:val="bottom"/>
            <w:gridSpan w:val="2"/>
          </w:tcPr>
          <w:p>
            <w:pPr>
              <w:jc w:val="right"/>
              <w:ind w:right="139"/>
              <w:spacing w:after="0"/>
              <w:rPr>
                <w:sz w:val="20"/>
                <w:szCs w:val="20"/>
                <w:color w:val="auto"/>
              </w:rPr>
            </w:pPr>
            <w:r>
              <w:rPr>
                <w:rFonts w:ascii="Arial" w:cs="Arial" w:eastAsia="Arial" w:hAnsi="Arial"/>
                <w:sz w:val="16"/>
                <w:szCs w:val="16"/>
                <w:color w:val="auto"/>
              </w:rPr>
              <w:t>(3,629.8)</w:t>
            </w: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(6,281.9)</w:t>
            </w: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(2,387.6)</w:t>
            </w: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(9,182.3)</w:t>
            </w:r>
          </w:p>
        </w:tc>
        <w:tc>
          <w:tcPr>
            <w:tcW w:w="2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8,637</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5100" w:type="dxa"/>
            <w:vAlign w:val="bottom"/>
            <w:shd w:val="clear" w:color="auto" w:fill="CCFFCC"/>
          </w:tcPr>
          <w:p>
            <w:pPr>
              <w:spacing w:after="0"/>
              <w:rPr>
                <w:sz w:val="17"/>
                <w:szCs w:val="17"/>
                <w:color w:val="auto"/>
              </w:rPr>
            </w:pPr>
          </w:p>
        </w:tc>
        <w:tc>
          <w:tcPr>
            <w:tcW w:w="1000" w:type="dxa"/>
            <w:vAlign w:val="bottom"/>
            <w:shd w:val="clear" w:color="auto" w:fill="CCFFCC"/>
          </w:tcPr>
          <w:p>
            <w:pPr>
              <w:spacing w:after="0"/>
              <w:rPr>
                <w:sz w:val="17"/>
                <w:szCs w:val="17"/>
                <w:color w:val="auto"/>
              </w:rPr>
            </w:pPr>
          </w:p>
        </w:tc>
        <w:tc>
          <w:tcPr>
            <w:tcW w:w="280" w:type="dxa"/>
            <w:vAlign w:val="bottom"/>
            <w:shd w:val="clear" w:color="auto" w:fill="CCFFCC"/>
          </w:tcPr>
          <w:p>
            <w:pPr>
              <w:spacing w:after="0"/>
              <w:rPr>
                <w:sz w:val="17"/>
                <w:szCs w:val="17"/>
                <w:color w:val="auto"/>
              </w:rPr>
            </w:pPr>
          </w:p>
        </w:tc>
        <w:tc>
          <w:tcPr>
            <w:tcW w:w="1000" w:type="dxa"/>
            <w:vAlign w:val="bottom"/>
            <w:shd w:val="clear" w:color="auto" w:fill="CCFFCC"/>
          </w:tcPr>
          <w:p>
            <w:pPr>
              <w:spacing w:after="0"/>
              <w:rPr>
                <w:sz w:val="17"/>
                <w:szCs w:val="17"/>
                <w:color w:val="auto"/>
              </w:rPr>
            </w:pPr>
          </w:p>
        </w:tc>
        <w:tc>
          <w:tcPr>
            <w:tcW w:w="280" w:type="dxa"/>
            <w:vAlign w:val="bottom"/>
            <w:shd w:val="clear" w:color="auto" w:fill="CCFFCC"/>
          </w:tcPr>
          <w:p>
            <w:pPr>
              <w:spacing w:after="0"/>
              <w:rPr>
                <w:sz w:val="17"/>
                <w:szCs w:val="17"/>
                <w:color w:val="auto"/>
              </w:rPr>
            </w:pPr>
          </w:p>
        </w:tc>
        <w:tc>
          <w:tcPr>
            <w:tcW w:w="102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102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7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100" w:type="dxa"/>
            <w:vAlign w:val="bottom"/>
          </w:tcPr>
          <w:p>
            <w:pPr>
              <w:spacing w:after="0"/>
              <w:rPr>
                <w:sz w:val="20"/>
                <w:szCs w:val="20"/>
                <w:color w:val="auto"/>
              </w:rPr>
            </w:pPr>
            <w:r>
              <w:rPr>
                <w:rFonts w:ascii="Arial" w:cs="Arial" w:eastAsia="Arial" w:hAnsi="Arial"/>
                <w:sz w:val="16"/>
                <w:szCs w:val="16"/>
                <w:b w:val="1"/>
                <w:bCs w:val="1"/>
                <w:color w:val="auto"/>
              </w:rPr>
              <w:t>Income before minority interest</w:t>
            </w:r>
          </w:p>
        </w:tc>
        <w:tc>
          <w:tcPr>
            <w:tcW w:w="1280" w:type="dxa"/>
            <w:vAlign w:val="bottom"/>
            <w:gridSpan w:val="2"/>
          </w:tcPr>
          <w:p>
            <w:pPr>
              <w:jc w:val="right"/>
              <w:ind w:right="139"/>
              <w:spacing w:after="0"/>
              <w:rPr>
                <w:sz w:val="20"/>
                <w:szCs w:val="20"/>
                <w:color w:val="auto"/>
              </w:rPr>
            </w:pPr>
            <w:r>
              <w:rPr>
                <w:rFonts w:ascii="Arial" w:cs="Arial" w:eastAsia="Arial" w:hAnsi="Arial"/>
                <w:sz w:val="16"/>
                <w:szCs w:val="16"/>
                <w:b w:val="1"/>
                <w:bCs w:val="1"/>
                <w:color w:val="auto"/>
              </w:rPr>
              <w:t>(9,114.6)</w:t>
            </w:r>
          </w:p>
        </w:tc>
        <w:tc>
          <w:tcPr>
            <w:tcW w:w="128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15,890</w:t>
            </w:r>
          </w:p>
        </w:tc>
        <w:tc>
          <w:tcPr>
            <w:tcW w:w="128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20,264</w:t>
            </w:r>
          </w:p>
        </w:tc>
        <w:tc>
          <w:tcPr>
            <w:tcW w:w="128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(9,543.1)</w:t>
            </w:r>
          </w:p>
        </w:tc>
        <w:tc>
          <w:tcPr>
            <w:tcW w:w="2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61,687</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00" w:type="dxa"/>
            <w:vAlign w:val="bottom"/>
            <w:shd w:val="clear" w:color="auto" w:fill="CCFFCC"/>
          </w:tcPr>
          <w:p>
            <w:pPr>
              <w:spacing w:after="0"/>
              <w:rPr>
                <w:sz w:val="20"/>
                <w:szCs w:val="20"/>
                <w:color w:val="auto"/>
              </w:rPr>
            </w:pPr>
            <w:r>
              <w:rPr>
                <w:rFonts w:ascii="Arial" w:cs="Arial" w:eastAsia="Arial" w:hAnsi="Arial"/>
                <w:sz w:val="16"/>
                <w:szCs w:val="16"/>
                <w:color w:val="auto"/>
              </w:rPr>
              <w:t>Minority interest</w:t>
            </w:r>
          </w:p>
        </w:tc>
        <w:tc>
          <w:tcPr>
            <w:tcW w:w="1280" w:type="dxa"/>
            <w:vAlign w:val="bottom"/>
            <w:gridSpan w:val="2"/>
            <w:shd w:val="clear" w:color="auto" w:fill="CCFFCC"/>
          </w:tcPr>
          <w:p>
            <w:pPr>
              <w:jc w:val="right"/>
              <w:ind w:right="199"/>
              <w:spacing w:after="0"/>
              <w:rPr>
                <w:sz w:val="20"/>
                <w:szCs w:val="20"/>
                <w:color w:val="auto"/>
              </w:rPr>
            </w:pPr>
            <w:r>
              <w:rPr>
                <w:rFonts w:ascii="Arial" w:cs="Arial" w:eastAsia="Arial" w:hAnsi="Arial"/>
                <w:sz w:val="16"/>
                <w:szCs w:val="16"/>
                <w:color w:val="auto"/>
              </w:rPr>
              <w:t>709</w:t>
            </w:r>
          </w:p>
        </w:tc>
        <w:tc>
          <w:tcPr>
            <w:tcW w:w="1280" w:type="dxa"/>
            <w:vAlign w:val="bottom"/>
            <w:gridSpan w:val="2"/>
            <w:shd w:val="clear" w:color="auto" w:fill="CCFFCC"/>
          </w:tcPr>
          <w:p>
            <w:pPr>
              <w:jc w:val="right"/>
              <w:ind w:right="280"/>
              <w:spacing w:after="0"/>
              <w:rPr>
                <w:sz w:val="20"/>
                <w:szCs w:val="20"/>
                <w:color w:val="auto"/>
              </w:rPr>
            </w:pPr>
            <w:r>
              <w:rPr>
                <w:rFonts w:ascii="Arial" w:cs="Arial" w:eastAsia="Arial" w:hAnsi="Arial"/>
                <w:sz w:val="16"/>
                <w:szCs w:val="16"/>
                <w:color w:val="auto"/>
              </w:rPr>
              <w:t>2,613</w:t>
            </w:r>
          </w:p>
        </w:tc>
        <w:tc>
          <w:tcPr>
            <w:tcW w:w="1280" w:type="dxa"/>
            <w:vAlign w:val="bottom"/>
            <w:gridSpan w:val="2"/>
            <w:shd w:val="clear" w:color="auto" w:fill="CCFFCC"/>
          </w:tcPr>
          <w:p>
            <w:pPr>
              <w:jc w:val="right"/>
              <w:ind w:right="260"/>
              <w:spacing w:after="0"/>
              <w:rPr>
                <w:sz w:val="20"/>
                <w:szCs w:val="20"/>
                <w:color w:val="auto"/>
              </w:rPr>
            </w:pPr>
            <w:r>
              <w:rPr>
                <w:rFonts w:ascii="Arial" w:cs="Arial" w:eastAsia="Arial" w:hAnsi="Arial"/>
                <w:sz w:val="16"/>
                <w:szCs w:val="16"/>
                <w:color w:val="auto"/>
              </w:rPr>
              <w:t>3,981</w:t>
            </w:r>
          </w:p>
        </w:tc>
        <w:tc>
          <w:tcPr>
            <w:tcW w:w="10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5,492</w:t>
            </w:r>
          </w:p>
        </w:tc>
        <w:tc>
          <w:tcPr>
            <w:tcW w:w="26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76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12,495</w:t>
            </w:r>
          </w:p>
        </w:tc>
        <w:tc>
          <w:tcPr>
            <w:tcW w:w="160" w:type="dxa"/>
            <w:vAlign w:val="bottom"/>
            <w:shd w:val="clear" w:color="auto" w:fill="CCFFC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5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100" w:type="dxa"/>
            <w:vAlign w:val="bottom"/>
            <w:shd w:val="clear" w:color="auto" w:fill="CCFFCC"/>
          </w:tcPr>
          <w:p>
            <w:pPr>
              <w:spacing w:after="0"/>
              <w:rPr>
                <w:sz w:val="20"/>
                <w:szCs w:val="20"/>
                <w:color w:val="auto"/>
              </w:rPr>
            </w:pPr>
            <w:r>
              <w:rPr>
                <w:rFonts w:ascii="Arial" w:cs="Arial" w:eastAsia="Arial" w:hAnsi="Arial"/>
                <w:sz w:val="16"/>
                <w:szCs w:val="16"/>
                <w:b w:val="1"/>
                <w:bCs w:val="1"/>
                <w:color w:val="auto"/>
              </w:rPr>
              <w:t>Net income</w:t>
            </w:r>
          </w:p>
        </w:tc>
        <w:tc>
          <w:tcPr>
            <w:tcW w:w="1280" w:type="dxa"/>
            <w:vAlign w:val="bottom"/>
            <w:gridSpan w:val="2"/>
            <w:shd w:val="clear" w:color="auto" w:fill="CCFFCC"/>
          </w:tcPr>
          <w:p>
            <w:pPr>
              <w:jc w:val="right"/>
              <w:ind w:right="139"/>
              <w:spacing w:after="0"/>
              <w:rPr>
                <w:sz w:val="20"/>
                <w:szCs w:val="20"/>
                <w:color w:val="auto"/>
              </w:rPr>
            </w:pPr>
            <w:r>
              <w:rPr>
                <w:rFonts w:ascii="Arial" w:cs="Arial" w:eastAsia="Arial" w:hAnsi="Arial"/>
                <w:sz w:val="16"/>
                <w:szCs w:val="16"/>
                <w:b w:val="1"/>
                <w:bCs w:val="1"/>
                <w:color w:val="auto"/>
              </w:rPr>
              <w:t>(9,823.6)</w:t>
            </w:r>
          </w:p>
        </w:tc>
        <w:tc>
          <w:tcPr>
            <w:tcW w:w="1280" w:type="dxa"/>
            <w:vAlign w:val="bottom"/>
            <w:gridSpan w:val="2"/>
            <w:shd w:val="clear" w:color="auto" w:fill="CCFFCC"/>
          </w:tcPr>
          <w:p>
            <w:pPr>
              <w:jc w:val="right"/>
              <w:ind w:right="280"/>
              <w:spacing w:after="0"/>
              <w:rPr>
                <w:sz w:val="20"/>
                <w:szCs w:val="20"/>
                <w:color w:val="auto"/>
              </w:rPr>
            </w:pPr>
            <w:r>
              <w:rPr>
                <w:rFonts w:ascii="Arial" w:cs="Arial" w:eastAsia="Arial" w:hAnsi="Arial"/>
                <w:sz w:val="16"/>
                <w:szCs w:val="16"/>
                <w:b w:val="1"/>
                <w:bCs w:val="1"/>
                <w:color w:val="auto"/>
              </w:rPr>
              <w:t>13,277</w:t>
            </w:r>
          </w:p>
        </w:tc>
        <w:tc>
          <w:tcPr>
            <w:tcW w:w="1280" w:type="dxa"/>
            <w:vAlign w:val="bottom"/>
            <w:gridSpan w:val="2"/>
            <w:shd w:val="clear" w:color="auto" w:fill="CCFFCC"/>
          </w:tcPr>
          <w:p>
            <w:pPr>
              <w:jc w:val="right"/>
              <w:ind w:right="260"/>
              <w:spacing w:after="0"/>
              <w:rPr>
                <w:sz w:val="20"/>
                <w:szCs w:val="20"/>
                <w:color w:val="auto"/>
              </w:rPr>
            </w:pPr>
            <w:r>
              <w:rPr>
                <w:rFonts w:ascii="Arial" w:cs="Arial" w:eastAsia="Arial" w:hAnsi="Arial"/>
                <w:sz w:val="16"/>
                <w:szCs w:val="16"/>
                <w:b w:val="1"/>
                <w:bCs w:val="1"/>
                <w:color w:val="auto"/>
              </w:rPr>
              <w:t>16,283</w:t>
            </w:r>
          </w:p>
        </w:tc>
        <w:tc>
          <w:tcPr>
            <w:tcW w:w="1280" w:type="dxa"/>
            <w:vAlign w:val="bottom"/>
            <w:gridSpan w:val="2"/>
            <w:shd w:val="clear" w:color="auto" w:fill="CCFFCC"/>
          </w:tcPr>
          <w:p>
            <w:pPr>
              <w:jc w:val="right"/>
              <w:ind w:right="220"/>
              <w:spacing w:after="0"/>
              <w:rPr>
                <w:sz w:val="20"/>
                <w:szCs w:val="20"/>
                <w:color w:val="auto"/>
              </w:rPr>
            </w:pPr>
            <w:r>
              <w:rPr>
                <w:rFonts w:ascii="Arial" w:cs="Arial" w:eastAsia="Arial" w:hAnsi="Arial"/>
                <w:sz w:val="16"/>
                <w:szCs w:val="16"/>
                <w:b w:val="1"/>
                <w:bCs w:val="1"/>
                <w:color w:val="auto"/>
              </w:rPr>
              <w:t>(15,035.1)</w:t>
            </w:r>
          </w:p>
        </w:tc>
        <w:tc>
          <w:tcPr>
            <w:tcW w:w="260" w:type="dxa"/>
            <w:vAlign w:val="bottom"/>
            <w:shd w:val="clear" w:color="auto" w:fill="CCFFCC"/>
          </w:tcPr>
          <w:p>
            <w:pPr>
              <w:spacing w:after="0"/>
              <w:rPr>
                <w:sz w:val="17"/>
                <w:szCs w:val="17"/>
                <w:color w:val="auto"/>
              </w:rPr>
            </w:pPr>
          </w:p>
        </w:tc>
        <w:tc>
          <w:tcPr>
            <w:tcW w:w="760" w:type="dxa"/>
            <w:vAlign w:val="bottom"/>
            <w:shd w:val="clear" w:color="auto" w:fill="CCFFCC"/>
          </w:tcPr>
          <w:p>
            <w:pPr>
              <w:jc w:val="right"/>
              <w:spacing w:after="0"/>
              <w:rPr>
                <w:sz w:val="20"/>
                <w:szCs w:val="20"/>
                <w:color w:val="auto"/>
              </w:rPr>
            </w:pPr>
            <w:r>
              <w:rPr>
                <w:rFonts w:ascii="Arial" w:cs="Arial" w:eastAsia="Arial" w:hAnsi="Arial"/>
                <w:sz w:val="16"/>
                <w:szCs w:val="16"/>
                <w:b w:val="1"/>
                <w:bCs w:val="1"/>
                <w:color w:val="auto"/>
              </w:rPr>
              <w:t>49,192</w:t>
            </w:r>
          </w:p>
        </w:tc>
        <w:tc>
          <w:tcPr>
            <w:tcW w:w="160" w:type="dxa"/>
            <w:vAlign w:val="bottom"/>
            <w:shd w:val="clear" w:color="auto" w:fill="CCFFC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5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100" w:type="dxa"/>
            <w:vAlign w:val="bottom"/>
            <w:shd w:val="clear" w:color="auto" w:fill="CCFFCC"/>
          </w:tcPr>
          <w:p>
            <w:pPr>
              <w:spacing w:after="0"/>
              <w:rPr>
                <w:sz w:val="20"/>
                <w:szCs w:val="20"/>
                <w:color w:val="auto"/>
              </w:rPr>
            </w:pPr>
            <w:r>
              <w:rPr>
                <w:rFonts w:ascii="Arial" w:cs="Arial" w:eastAsia="Arial" w:hAnsi="Arial"/>
                <w:sz w:val="16"/>
                <w:szCs w:val="16"/>
                <w:b w:val="1"/>
                <w:bCs w:val="1"/>
                <w:color w:val="auto"/>
              </w:rPr>
              <w:t>Balance (end of period)</w:t>
            </w:r>
          </w:p>
        </w:tc>
        <w:tc>
          <w:tcPr>
            <w:tcW w:w="1000" w:type="dxa"/>
            <w:vAlign w:val="bottom"/>
            <w:shd w:val="clear" w:color="auto" w:fill="CCFFCC"/>
          </w:tcPr>
          <w:p>
            <w:pPr>
              <w:spacing w:after="0"/>
              <w:rPr>
                <w:sz w:val="17"/>
                <w:szCs w:val="17"/>
                <w:color w:val="auto"/>
              </w:rPr>
            </w:pPr>
          </w:p>
        </w:tc>
        <w:tc>
          <w:tcPr>
            <w:tcW w:w="280" w:type="dxa"/>
            <w:vAlign w:val="bottom"/>
            <w:shd w:val="clear" w:color="auto" w:fill="CCFFCC"/>
          </w:tcPr>
          <w:p>
            <w:pPr>
              <w:spacing w:after="0"/>
              <w:rPr>
                <w:sz w:val="17"/>
                <w:szCs w:val="17"/>
                <w:color w:val="auto"/>
              </w:rPr>
            </w:pPr>
          </w:p>
        </w:tc>
        <w:tc>
          <w:tcPr>
            <w:tcW w:w="1000" w:type="dxa"/>
            <w:vAlign w:val="bottom"/>
            <w:shd w:val="clear" w:color="auto" w:fill="CCFFCC"/>
          </w:tcPr>
          <w:p>
            <w:pPr>
              <w:spacing w:after="0"/>
              <w:rPr>
                <w:sz w:val="17"/>
                <w:szCs w:val="17"/>
                <w:color w:val="auto"/>
              </w:rPr>
            </w:pPr>
          </w:p>
        </w:tc>
        <w:tc>
          <w:tcPr>
            <w:tcW w:w="280" w:type="dxa"/>
            <w:vAlign w:val="bottom"/>
            <w:shd w:val="clear" w:color="auto" w:fill="CCFFCC"/>
          </w:tcPr>
          <w:p>
            <w:pPr>
              <w:spacing w:after="0"/>
              <w:rPr>
                <w:sz w:val="17"/>
                <w:szCs w:val="17"/>
                <w:color w:val="auto"/>
              </w:rPr>
            </w:pPr>
          </w:p>
        </w:tc>
        <w:tc>
          <w:tcPr>
            <w:tcW w:w="102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102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7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5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100" w:type="dxa"/>
            <w:vAlign w:val="bottom"/>
            <w:shd w:val="clear" w:color="auto" w:fill="CCFFCC"/>
          </w:tcPr>
          <w:p>
            <w:pPr>
              <w:spacing w:after="0"/>
              <w:rPr>
                <w:sz w:val="20"/>
                <w:szCs w:val="20"/>
                <w:color w:val="auto"/>
              </w:rPr>
            </w:pPr>
            <w:r>
              <w:rPr>
                <w:rFonts w:ascii="Arial" w:cs="Arial" w:eastAsia="Arial" w:hAnsi="Arial"/>
                <w:sz w:val="16"/>
                <w:szCs w:val="16"/>
                <w:color w:val="auto"/>
              </w:rPr>
              <w:t>Total Assets</w:t>
            </w:r>
          </w:p>
        </w:tc>
        <w:tc>
          <w:tcPr>
            <w:tcW w:w="1280" w:type="dxa"/>
            <w:vAlign w:val="bottom"/>
            <w:gridSpan w:val="2"/>
            <w:shd w:val="clear" w:color="auto" w:fill="CCFFCC"/>
          </w:tcPr>
          <w:p>
            <w:pPr>
              <w:jc w:val="right"/>
              <w:ind w:right="199"/>
              <w:spacing w:after="0"/>
              <w:rPr>
                <w:sz w:val="20"/>
                <w:szCs w:val="20"/>
                <w:color w:val="auto"/>
              </w:rPr>
            </w:pPr>
            <w:r>
              <w:rPr>
                <w:rFonts w:ascii="Arial" w:cs="Arial" w:eastAsia="Arial" w:hAnsi="Arial"/>
                <w:sz w:val="16"/>
                <w:szCs w:val="16"/>
                <w:color w:val="auto"/>
              </w:rPr>
              <w:t>1,308,096</w:t>
            </w:r>
          </w:p>
        </w:tc>
        <w:tc>
          <w:tcPr>
            <w:tcW w:w="1280" w:type="dxa"/>
            <w:vAlign w:val="bottom"/>
            <w:gridSpan w:val="2"/>
            <w:shd w:val="clear" w:color="auto" w:fill="CCFFCC"/>
          </w:tcPr>
          <w:p>
            <w:pPr>
              <w:jc w:val="right"/>
              <w:ind w:right="280"/>
              <w:spacing w:after="0"/>
              <w:rPr>
                <w:sz w:val="20"/>
                <w:szCs w:val="20"/>
                <w:color w:val="auto"/>
              </w:rPr>
            </w:pPr>
            <w:r>
              <w:rPr>
                <w:rFonts w:ascii="Arial" w:cs="Arial" w:eastAsia="Arial" w:hAnsi="Arial"/>
                <w:sz w:val="16"/>
                <w:szCs w:val="16"/>
                <w:color w:val="auto"/>
              </w:rPr>
              <w:t>1,476,861</w:t>
            </w:r>
          </w:p>
        </w:tc>
        <w:tc>
          <w:tcPr>
            <w:tcW w:w="1280" w:type="dxa"/>
            <w:vAlign w:val="bottom"/>
            <w:gridSpan w:val="2"/>
            <w:shd w:val="clear" w:color="auto" w:fill="CCFFCC"/>
          </w:tcPr>
          <w:p>
            <w:pPr>
              <w:jc w:val="right"/>
              <w:ind w:right="260"/>
              <w:spacing w:after="0"/>
              <w:rPr>
                <w:sz w:val="20"/>
                <w:szCs w:val="20"/>
                <w:color w:val="auto"/>
              </w:rPr>
            </w:pPr>
            <w:r>
              <w:rPr>
                <w:rFonts w:ascii="Arial" w:cs="Arial" w:eastAsia="Arial" w:hAnsi="Arial"/>
                <w:sz w:val="16"/>
                <w:szCs w:val="16"/>
                <w:color w:val="auto"/>
              </w:rPr>
              <w:t>1,498,255</w:t>
            </w:r>
          </w:p>
        </w:tc>
        <w:tc>
          <w:tcPr>
            <w:tcW w:w="10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1,308,096</w:t>
            </w:r>
          </w:p>
        </w:tc>
        <w:tc>
          <w:tcPr>
            <w:tcW w:w="26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76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1,498,255</w:t>
            </w:r>
          </w:p>
        </w:tc>
        <w:tc>
          <w:tcPr>
            <w:tcW w:w="160" w:type="dxa"/>
            <w:vAlign w:val="bottom"/>
            <w:shd w:val="clear" w:color="auto" w:fill="CCFFC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00" w:type="dxa"/>
            <w:vAlign w:val="bottom"/>
          </w:tcPr>
          <w:p>
            <w:pPr>
              <w:spacing w:after="0"/>
              <w:rPr>
                <w:sz w:val="20"/>
                <w:szCs w:val="20"/>
                <w:color w:val="auto"/>
              </w:rPr>
            </w:pPr>
            <w:r>
              <w:rPr>
                <w:rFonts w:ascii="Arial" w:cs="Arial" w:eastAsia="Arial" w:hAnsi="Arial"/>
                <w:sz w:val="16"/>
                <w:szCs w:val="16"/>
                <w:color w:val="auto"/>
              </w:rPr>
              <w:t>Invesment on securities and real state (1)</w:t>
            </w:r>
          </w:p>
        </w:tc>
        <w:tc>
          <w:tcPr>
            <w:tcW w:w="1280" w:type="dxa"/>
            <w:vAlign w:val="bottom"/>
            <w:gridSpan w:val="2"/>
          </w:tcPr>
          <w:p>
            <w:pPr>
              <w:jc w:val="right"/>
              <w:ind w:right="199"/>
              <w:spacing w:after="0"/>
              <w:rPr>
                <w:sz w:val="20"/>
                <w:szCs w:val="20"/>
                <w:color w:val="auto"/>
              </w:rPr>
            </w:pPr>
            <w:r>
              <w:rPr>
                <w:rFonts w:ascii="Arial" w:cs="Arial" w:eastAsia="Arial" w:hAnsi="Arial"/>
                <w:sz w:val="16"/>
                <w:szCs w:val="16"/>
                <w:color w:val="auto"/>
              </w:rPr>
              <w:t>822,297</w:t>
            </w:r>
          </w:p>
        </w:tc>
        <w:tc>
          <w:tcPr>
            <w:tcW w:w="1280" w:type="dxa"/>
            <w:vAlign w:val="bottom"/>
            <w:gridSpan w:val="2"/>
          </w:tcPr>
          <w:p>
            <w:pPr>
              <w:jc w:val="right"/>
              <w:ind w:right="280"/>
              <w:spacing w:after="0"/>
              <w:rPr>
                <w:sz w:val="20"/>
                <w:szCs w:val="20"/>
                <w:color w:val="auto"/>
              </w:rPr>
            </w:pPr>
            <w:r>
              <w:rPr>
                <w:rFonts w:ascii="Arial" w:cs="Arial" w:eastAsia="Arial" w:hAnsi="Arial"/>
                <w:sz w:val="16"/>
                <w:szCs w:val="16"/>
                <w:color w:val="auto"/>
              </w:rPr>
              <w:t>1,026,507</w:t>
            </w:r>
          </w:p>
        </w:tc>
        <w:tc>
          <w:tcPr>
            <w:tcW w:w="1280" w:type="dxa"/>
            <w:vAlign w:val="bottom"/>
            <w:gridSpan w:val="2"/>
          </w:tcPr>
          <w:p>
            <w:pPr>
              <w:jc w:val="right"/>
              <w:ind w:right="260"/>
              <w:spacing w:after="0"/>
              <w:rPr>
                <w:sz w:val="20"/>
                <w:szCs w:val="20"/>
                <w:color w:val="auto"/>
              </w:rPr>
            </w:pPr>
            <w:r>
              <w:rPr>
                <w:rFonts w:ascii="Arial" w:cs="Arial" w:eastAsia="Arial" w:hAnsi="Arial"/>
                <w:sz w:val="16"/>
                <w:szCs w:val="16"/>
                <w:color w:val="auto"/>
              </w:rPr>
              <w:t>1,057,162</w:t>
            </w:r>
          </w:p>
        </w:tc>
        <w:tc>
          <w:tcPr>
            <w:tcW w:w="1020" w:type="dxa"/>
            <w:vAlign w:val="bottom"/>
          </w:tcPr>
          <w:p>
            <w:pPr>
              <w:jc w:val="right"/>
              <w:spacing w:after="0"/>
              <w:rPr>
                <w:sz w:val="20"/>
                <w:szCs w:val="20"/>
                <w:color w:val="auto"/>
              </w:rPr>
            </w:pPr>
            <w:r>
              <w:rPr>
                <w:rFonts w:ascii="Arial" w:cs="Arial" w:eastAsia="Arial" w:hAnsi="Arial"/>
                <w:sz w:val="16"/>
                <w:szCs w:val="16"/>
                <w:color w:val="auto"/>
              </w:rPr>
              <w:t>822,297</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1,057,162</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00" w:type="dxa"/>
            <w:vAlign w:val="bottom"/>
            <w:shd w:val="clear" w:color="auto" w:fill="CCFFCC"/>
          </w:tcPr>
          <w:p>
            <w:pPr>
              <w:spacing w:after="0"/>
              <w:rPr>
                <w:sz w:val="20"/>
                <w:szCs w:val="20"/>
                <w:color w:val="auto"/>
              </w:rPr>
            </w:pPr>
            <w:r>
              <w:rPr>
                <w:rFonts w:ascii="Arial" w:cs="Arial" w:eastAsia="Arial" w:hAnsi="Arial"/>
                <w:sz w:val="16"/>
                <w:szCs w:val="16"/>
                <w:color w:val="auto"/>
              </w:rPr>
              <w:t>Technical reserves</w:t>
            </w:r>
          </w:p>
        </w:tc>
        <w:tc>
          <w:tcPr>
            <w:tcW w:w="1280" w:type="dxa"/>
            <w:vAlign w:val="bottom"/>
            <w:gridSpan w:val="2"/>
            <w:shd w:val="clear" w:color="auto" w:fill="CCFFCC"/>
          </w:tcPr>
          <w:p>
            <w:pPr>
              <w:jc w:val="right"/>
              <w:ind w:right="199"/>
              <w:spacing w:after="0"/>
              <w:rPr>
                <w:sz w:val="20"/>
                <w:szCs w:val="20"/>
                <w:color w:val="auto"/>
              </w:rPr>
            </w:pPr>
            <w:r>
              <w:rPr>
                <w:rFonts w:ascii="Arial" w:cs="Arial" w:eastAsia="Arial" w:hAnsi="Arial"/>
                <w:sz w:val="16"/>
                <w:szCs w:val="16"/>
                <w:color w:val="auto"/>
              </w:rPr>
              <w:t>968,499</w:t>
            </w:r>
          </w:p>
        </w:tc>
        <w:tc>
          <w:tcPr>
            <w:tcW w:w="1280" w:type="dxa"/>
            <w:vAlign w:val="bottom"/>
            <w:gridSpan w:val="2"/>
            <w:shd w:val="clear" w:color="auto" w:fill="CCFFCC"/>
          </w:tcPr>
          <w:p>
            <w:pPr>
              <w:jc w:val="right"/>
              <w:ind w:right="280"/>
              <w:spacing w:after="0"/>
              <w:rPr>
                <w:sz w:val="20"/>
                <w:szCs w:val="20"/>
                <w:color w:val="auto"/>
              </w:rPr>
            </w:pPr>
            <w:r>
              <w:rPr>
                <w:rFonts w:ascii="Arial" w:cs="Arial" w:eastAsia="Arial" w:hAnsi="Arial"/>
                <w:sz w:val="16"/>
                <w:szCs w:val="16"/>
                <w:color w:val="auto"/>
              </w:rPr>
              <w:t>1,016,054</w:t>
            </w:r>
          </w:p>
        </w:tc>
        <w:tc>
          <w:tcPr>
            <w:tcW w:w="1280" w:type="dxa"/>
            <w:vAlign w:val="bottom"/>
            <w:gridSpan w:val="2"/>
            <w:shd w:val="clear" w:color="auto" w:fill="CCFFCC"/>
          </w:tcPr>
          <w:p>
            <w:pPr>
              <w:jc w:val="right"/>
              <w:ind w:right="260"/>
              <w:spacing w:after="0"/>
              <w:rPr>
                <w:sz w:val="20"/>
                <w:szCs w:val="20"/>
                <w:color w:val="auto"/>
              </w:rPr>
            </w:pPr>
            <w:r>
              <w:rPr>
                <w:rFonts w:ascii="Arial" w:cs="Arial" w:eastAsia="Arial" w:hAnsi="Arial"/>
                <w:sz w:val="16"/>
                <w:szCs w:val="16"/>
                <w:color w:val="auto"/>
              </w:rPr>
              <w:t>1,019,551</w:t>
            </w:r>
          </w:p>
        </w:tc>
        <w:tc>
          <w:tcPr>
            <w:tcW w:w="10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968,499</w:t>
            </w:r>
          </w:p>
        </w:tc>
        <w:tc>
          <w:tcPr>
            <w:tcW w:w="26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76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1,019,551</w:t>
            </w:r>
          </w:p>
        </w:tc>
        <w:tc>
          <w:tcPr>
            <w:tcW w:w="160" w:type="dxa"/>
            <w:vAlign w:val="bottom"/>
            <w:shd w:val="clear" w:color="auto" w:fill="CCFFC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00" w:type="dxa"/>
            <w:vAlign w:val="bottom"/>
          </w:tcPr>
          <w:p>
            <w:pPr>
              <w:spacing w:after="0"/>
              <w:rPr>
                <w:sz w:val="20"/>
                <w:szCs w:val="20"/>
                <w:color w:val="auto"/>
              </w:rPr>
            </w:pPr>
            <w:r>
              <w:rPr>
                <w:rFonts w:ascii="Arial" w:cs="Arial" w:eastAsia="Arial" w:hAnsi="Arial"/>
                <w:sz w:val="16"/>
                <w:szCs w:val="16"/>
                <w:color w:val="auto"/>
              </w:rPr>
              <w:t>Net equity</w:t>
            </w:r>
          </w:p>
        </w:tc>
        <w:tc>
          <w:tcPr>
            <w:tcW w:w="1280" w:type="dxa"/>
            <w:vAlign w:val="bottom"/>
            <w:gridSpan w:val="2"/>
          </w:tcPr>
          <w:p>
            <w:pPr>
              <w:jc w:val="right"/>
              <w:ind w:right="199"/>
              <w:spacing w:after="0"/>
              <w:rPr>
                <w:sz w:val="20"/>
                <w:szCs w:val="20"/>
                <w:color w:val="auto"/>
              </w:rPr>
            </w:pPr>
            <w:r>
              <w:rPr>
                <w:rFonts w:ascii="Arial" w:cs="Arial" w:eastAsia="Arial" w:hAnsi="Arial"/>
                <w:sz w:val="16"/>
                <w:szCs w:val="16"/>
                <w:color w:val="auto"/>
              </w:rPr>
              <w:t>146,255</w:t>
            </w:r>
          </w:p>
        </w:tc>
        <w:tc>
          <w:tcPr>
            <w:tcW w:w="1280" w:type="dxa"/>
            <w:vAlign w:val="bottom"/>
            <w:gridSpan w:val="2"/>
          </w:tcPr>
          <w:p>
            <w:pPr>
              <w:jc w:val="right"/>
              <w:ind w:right="280"/>
              <w:spacing w:after="0"/>
              <w:rPr>
                <w:sz w:val="20"/>
                <w:szCs w:val="20"/>
                <w:color w:val="auto"/>
              </w:rPr>
            </w:pPr>
            <w:r>
              <w:rPr>
                <w:rFonts w:ascii="Arial" w:cs="Arial" w:eastAsia="Arial" w:hAnsi="Arial"/>
                <w:sz w:val="16"/>
                <w:szCs w:val="16"/>
                <w:color w:val="auto"/>
              </w:rPr>
              <w:t>242,243</w:t>
            </w:r>
          </w:p>
        </w:tc>
        <w:tc>
          <w:tcPr>
            <w:tcW w:w="1280" w:type="dxa"/>
            <w:vAlign w:val="bottom"/>
            <w:gridSpan w:val="2"/>
          </w:tcPr>
          <w:p>
            <w:pPr>
              <w:jc w:val="right"/>
              <w:ind w:right="260"/>
              <w:spacing w:after="0"/>
              <w:rPr>
                <w:sz w:val="20"/>
                <w:szCs w:val="20"/>
                <w:color w:val="auto"/>
              </w:rPr>
            </w:pPr>
            <w:r>
              <w:rPr>
                <w:rFonts w:ascii="Arial" w:cs="Arial" w:eastAsia="Arial" w:hAnsi="Arial"/>
                <w:sz w:val="16"/>
                <w:szCs w:val="16"/>
                <w:color w:val="auto"/>
              </w:rPr>
              <w:t>265,219</w:t>
            </w:r>
          </w:p>
        </w:tc>
        <w:tc>
          <w:tcPr>
            <w:tcW w:w="1020" w:type="dxa"/>
            <w:vAlign w:val="bottom"/>
          </w:tcPr>
          <w:p>
            <w:pPr>
              <w:jc w:val="right"/>
              <w:spacing w:after="0"/>
              <w:rPr>
                <w:sz w:val="20"/>
                <w:szCs w:val="20"/>
                <w:color w:val="auto"/>
              </w:rPr>
            </w:pPr>
            <w:r>
              <w:rPr>
                <w:rFonts w:ascii="Arial" w:cs="Arial" w:eastAsia="Arial" w:hAnsi="Arial"/>
                <w:sz w:val="16"/>
                <w:szCs w:val="16"/>
                <w:color w:val="auto"/>
              </w:rPr>
              <w:t>146,255</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265,219</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5100" w:type="dxa"/>
            <w:vAlign w:val="bottom"/>
            <w:shd w:val="clear" w:color="auto" w:fill="CCFFCC"/>
          </w:tcPr>
          <w:p>
            <w:pPr>
              <w:spacing w:after="0"/>
              <w:rPr>
                <w:sz w:val="17"/>
                <w:szCs w:val="17"/>
                <w:color w:val="auto"/>
              </w:rPr>
            </w:pPr>
          </w:p>
        </w:tc>
        <w:tc>
          <w:tcPr>
            <w:tcW w:w="1000" w:type="dxa"/>
            <w:vAlign w:val="bottom"/>
            <w:shd w:val="clear" w:color="auto" w:fill="CCFFCC"/>
          </w:tcPr>
          <w:p>
            <w:pPr>
              <w:spacing w:after="0"/>
              <w:rPr>
                <w:sz w:val="17"/>
                <w:szCs w:val="17"/>
                <w:color w:val="auto"/>
              </w:rPr>
            </w:pPr>
          </w:p>
        </w:tc>
        <w:tc>
          <w:tcPr>
            <w:tcW w:w="280" w:type="dxa"/>
            <w:vAlign w:val="bottom"/>
            <w:shd w:val="clear" w:color="auto" w:fill="CCFFCC"/>
          </w:tcPr>
          <w:p>
            <w:pPr>
              <w:spacing w:after="0"/>
              <w:rPr>
                <w:sz w:val="17"/>
                <w:szCs w:val="17"/>
                <w:color w:val="auto"/>
              </w:rPr>
            </w:pPr>
          </w:p>
        </w:tc>
        <w:tc>
          <w:tcPr>
            <w:tcW w:w="1000" w:type="dxa"/>
            <w:vAlign w:val="bottom"/>
            <w:shd w:val="clear" w:color="auto" w:fill="CCFFCC"/>
          </w:tcPr>
          <w:p>
            <w:pPr>
              <w:spacing w:after="0"/>
              <w:rPr>
                <w:sz w:val="17"/>
                <w:szCs w:val="17"/>
                <w:color w:val="auto"/>
              </w:rPr>
            </w:pPr>
          </w:p>
        </w:tc>
        <w:tc>
          <w:tcPr>
            <w:tcW w:w="280" w:type="dxa"/>
            <w:vAlign w:val="bottom"/>
            <w:shd w:val="clear" w:color="auto" w:fill="CCFFCC"/>
          </w:tcPr>
          <w:p>
            <w:pPr>
              <w:spacing w:after="0"/>
              <w:rPr>
                <w:sz w:val="17"/>
                <w:szCs w:val="17"/>
                <w:color w:val="auto"/>
              </w:rPr>
            </w:pPr>
          </w:p>
        </w:tc>
        <w:tc>
          <w:tcPr>
            <w:tcW w:w="102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102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7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100" w:type="dxa"/>
            <w:vAlign w:val="bottom"/>
          </w:tcPr>
          <w:p>
            <w:pPr>
              <w:spacing w:after="0"/>
              <w:rPr>
                <w:sz w:val="20"/>
                <w:szCs w:val="20"/>
                <w:color w:val="auto"/>
              </w:rPr>
            </w:pPr>
            <w:r>
              <w:rPr>
                <w:rFonts w:ascii="Arial" w:cs="Arial" w:eastAsia="Arial" w:hAnsi="Arial"/>
                <w:sz w:val="16"/>
                <w:szCs w:val="16"/>
                <w:b w:val="1"/>
                <w:bCs w:val="1"/>
                <w:color w:val="auto"/>
              </w:rPr>
              <w:t>Ratios</w:t>
            </w: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5100" w:type="dxa"/>
            <w:vAlign w:val="bottom"/>
            <w:shd w:val="clear" w:color="auto" w:fill="CCFFCC"/>
          </w:tcPr>
          <w:p>
            <w:pPr>
              <w:spacing w:after="0"/>
              <w:rPr>
                <w:sz w:val="17"/>
                <w:szCs w:val="17"/>
                <w:color w:val="auto"/>
              </w:rPr>
            </w:pPr>
          </w:p>
        </w:tc>
        <w:tc>
          <w:tcPr>
            <w:tcW w:w="1000" w:type="dxa"/>
            <w:vAlign w:val="bottom"/>
            <w:shd w:val="clear" w:color="auto" w:fill="CCFFCC"/>
          </w:tcPr>
          <w:p>
            <w:pPr>
              <w:spacing w:after="0"/>
              <w:rPr>
                <w:sz w:val="17"/>
                <w:szCs w:val="17"/>
                <w:color w:val="auto"/>
              </w:rPr>
            </w:pPr>
          </w:p>
        </w:tc>
        <w:tc>
          <w:tcPr>
            <w:tcW w:w="280" w:type="dxa"/>
            <w:vAlign w:val="bottom"/>
            <w:shd w:val="clear" w:color="auto" w:fill="CCFFCC"/>
          </w:tcPr>
          <w:p>
            <w:pPr>
              <w:spacing w:after="0"/>
              <w:rPr>
                <w:sz w:val="17"/>
                <w:szCs w:val="17"/>
                <w:color w:val="auto"/>
              </w:rPr>
            </w:pPr>
          </w:p>
        </w:tc>
        <w:tc>
          <w:tcPr>
            <w:tcW w:w="1000" w:type="dxa"/>
            <w:vAlign w:val="bottom"/>
            <w:shd w:val="clear" w:color="auto" w:fill="CCFFCC"/>
          </w:tcPr>
          <w:p>
            <w:pPr>
              <w:spacing w:after="0"/>
              <w:rPr>
                <w:sz w:val="17"/>
                <w:szCs w:val="17"/>
                <w:color w:val="auto"/>
              </w:rPr>
            </w:pPr>
          </w:p>
        </w:tc>
        <w:tc>
          <w:tcPr>
            <w:tcW w:w="280" w:type="dxa"/>
            <w:vAlign w:val="bottom"/>
            <w:shd w:val="clear" w:color="auto" w:fill="CCFFCC"/>
          </w:tcPr>
          <w:p>
            <w:pPr>
              <w:spacing w:after="0"/>
              <w:rPr>
                <w:sz w:val="17"/>
                <w:szCs w:val="17"/>
                <w:color w:val="auto"/>
              </w:rPr>
            </w:pPr>
          </w:p>
        </w:tc>
        <w:tc>
          <w:tcPr>
            <w:tcW w:w="102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102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7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100" w:type="dxa"/>
            <w:vAlign w:val="bottom"/>
          </w:tcPr>
          <w:p>
            <w:pPr>
              <w:spacing w:after="0"/>
              <w:rPr>
                <w:sz w:val="20"/>
                <w:szCs w:val="20"/>
                <w:color w:val="auto"/>
              </w:rPr>
            </w:pPr>
            <w:r>
              <w:rPr>
                <w:rFonts w:ascii="Arial" w:cs="Arial" w:eastAsia="Arial" w:hAnsi="Arial"/>
                <w:sz w:val="16"/>
                <w:szCs w:val="16"/>
                <w:color w:val="auto"/>
              </w:rPr>
              <w:t>Ceded</w:t>
            </w:r>
          </w:p>
        </w:tc>
        <w:tc>
          <w:tcPr>
            <w:tcW w:w="1280" w:type="dxa"/>
            <w:vAlign w:val="bottom"/>
            <w:gridSpan w:val="2"/>
          </w:tcPr>
          <w:p>
            <w:pPr>
              <w:jc w:val="right"/>
              <w:ind w:right="59"/>
              <w:spacing w:after="0"/>
              <w:rPr>
                <w:sz w:val="20"/>
                <w:szCs w:val="20"/>
                <w:color w:val="auto"/>
              </w:rPr>
            </w:pPr>
            <w:r>
              <w:rPr>
                <w:rFonts w:ascii="Arial" w:cs="Arial" w:eastAsia="Arial" w:hAnsi="Arial"/>
                <w:sz w:val="16"/>
                <w:szCs w:val="16"/>
                <w:color w:val="auto"/>
              </w:rPr>
              <w:t>22.6%</w:t>
            </w:r>
          </w:p>
        </w:tc>
        <w:tc>
          <w:tcPr>
            <w:tcW w:w="1280" w:type="dxa"/>
            <w:vAlign w:val="bottom"/>
            <w:gridSpan w:val="2"/>
          </w:tcPr>
          <w:p>
            <w:pPr>
              <w:jc w:val="right"/>
              <w:ind w:right="140"/>
              <w:spacing w:after="0"/>
              <w:rPr>
                <w:sz w:val="20"/>
                <w:szCs w:val="20"/>
                <w:color w:val="auto"/>
              </w:rPr>
            </w:pPr>
            <w:r>
              <w:rPr>
                <w:rFonts w:ascii="Arial" w:cs="Arial" w:eastAsia="Arial" w:hAnsi="Arial"/>
                <w:sz w:val="16"/>
                <w:szCs w:val="16"/>
                <w:color w:val="auto"/>
              </w:rPr>
              <w:t>13.2%</w:t>
            </w:r>
          </w:p>
        </w:tc>
        <w:tc>
          <w:tcPr>
            <w:tcW w:w="1280" w:type="dxa"/>
            <w:vAlign w:val="bottom"/>
            <w:gridSpan w:val="2"/>
          </w:tcPr>
          <w:p>
            <w:pPr>
              <w:jc w:val="right"/>
              <w:ind w:right="140"/>
              <w:spacing w:after="0"/>
              <w:rPr>
                <w:sz w:val="20"/>
                <w:szCs w:val="20"/>
                <w:color w:val="auto"/>
              </w:rPr>
            </w:pPr>
            <w:r>
              <w:rPr>
                <w:rFonts w:ascii="Arial" w:cs="Arial" w:eastAsia="Arial" w:hAnsi="Arial"/>
                <w:sz w:val="16"/>
                <w:szCs w:val="16"/>
                <w:color w:val="auto"/>
              </w:rPr>
              <w:t>20.2%</w:t>
            </w:r>
          </w:p>
        </w:tc>
        <w:tc>
          <w:tcPr>
            <w:tcW w:w="1280" w:type="dxa"/>
            <w:vAlign w:val="bottom"/>
            <w:gridSpan w:val="2"/>
          </w:tcPr>
          <w:p>
            <w:pPr>
              <w:jc w:val="right"/>
              <w:ind w:right="140"/>
              <w:spacing w:after="0"/>
              <w:rPr>
                <w:sz w:val="20"/>
                <w:szCs w:val="20"/>
                <w:color w:val="auto"/>
              </w:rPr>
            </w:pPr>
            <w:r>
              <w:rPr>
                <w:rFonts w:ascii="Arial" w:cs="Arial" w:eastAsia="Arial" w:hAnsi="Arial"/>
                <w:sz w:val="16"/>
                <w:szCs w:val="16"/>
                <w:color w:val="auto"/>
              </w:rPr>
              <w:t>18.9%</w:t>
            </w:r>
          </w:p>
        </w:tc>
        <w:tc>
          <w:tcPr>
            <w:tcW w:w="260" w:type="dxa"/>
            <w:vAlign w:val="bottom"/>
          </w:tcPr>
          <w:p>
            <w:pPr>
              <w:spacing w:after="0"/>
              <w:rPr>
                <w:sz w:val="17"/>
                <w:szCs w:val="17"/>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16.7%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00" w:type="dxa"/>
            <w:vAlign w:val="bottom"/>
            <w:shd w:val="clear" w:color="auto" w:fill="CCFFCC"/>
          </w:tcPr>
          <w:p>
            <w:pPr>
              <w:spacing w:after="0"/>
              <w:rPr>
                <w:sz w:val="20"/>
                <w:szCs w:val="20"/>
                <w:color w:val="auto"/>
              </w:rPr>
            </w:pPr>
            <w:r>
              <w:rPr>
                <w:rFonts w:ascii="Arial" w:cs="Arial" w:eastAsia="Arial" w:hAnsi="Arial"/>
                <w:sz w:val="16"/>
                <w:szCs w:val="16"/>
                <w:color w:val="auto"/>
              </w:rPr>
              <w:t>Net claims/ earned net premiums</w:t>
            </w:r>
          </w:p>
        </w:tc>
        <w:tc>
          <w:tcPr>
            <w:tcW w:w="1280" w:type="dxa"/>
            <w:vAlign w:val="bottom"/>
            <w:gridSpan w:val="2"/>
            <w:shd w:val="clear" w:color="auto" w:fill="CCFFCC"/>
          </w:tcPr>
          <w:p>
            <w:pPr>
              <w:jc w:val="right"/>
              <w:ind w:right="59"/>
              <w:spacing w:after="0"/>
              <w:rPr>
                <w:sz w:val="20"/>
                <w:szCs w:val="20"/>
                <w:color w:val="auto"/>
              </w:rPr>
            </w:pPr>
            <w:r>
              <w:rPr>
                <w:rFonts w:ascii="Arial" w:cs="Arial" w:eastAsia="Arial" w:hAnsi="Arial"/>
                <w:sz w:val="16"/>
                <w:szCs w:val="16"/>
                <w:color w:val="auto"/>
              </w:rPr>
              <w:t>78.6%</w:t>
            </w:r>
          </w:p>
        </w:tc>
        <w:tc>
          <w:tcPr>
            <w:tcW w:w="1280" w:type="dxa"/>
            <w:vAlign w:val="bottom"/>
            <w:gridSpan w:val="2"/>
            <w:shd w:val="clear" w:color="auto" w:fill="CCFFCC"/>
          </w:tcPr>
          <w:p>
            <w:pPr>
              <w:jc w:val="right"/>
              <w:ind w:right="140"/>
              <w:spacing w:after="0"/>
              <w:rPr>
                <w:sz w:val="20"/>
                <w:szCs w:val="20"/>
                <w:color w:val="auto"/>
              </w:rPr>
            </w:pPr>
            <w:r>
              <w:rPr>
                <w:rFonts w:ascii="Arial" w:cs="Arial" w:eastAsia="Arial" w:hAnsi="Arial"/>
                <w:sz w:val="16"/>
                <w:szCs w:val="16"/>
                <w:color w:val="auto"/>
              </w:rPr>
              <w:t>64.7%</w:t>
            </w:r>
          </w:p>
        </w:tc>
        <w:tc>
          <w:tcPr>
            <w:tcW w:w="1280" w:type="dxa"/>
            <w:vAlign w:val="bottom"/>
            <w:gridSpan w:val="2"/>
            <w:shd w:val="clear" w:color="auto" w:fill="CCFFCC"/>
          </w:tcPr>
          <w:p>
            <w:pPr>
              <w:jc w:val="right"/>
              <w:ind w:right="140"/>
              <w:spacing w:after="0"/>
              <w:rPr>
                <w:sz w:val="20"/>
                <w:szCs w:val="20"/>
                <w:color w:val="auto"/>
              </w:rPr>
            </w:pPr>
            <w:r>
              <w:rPr>
                <w:rFonts w:ascii="Arial" w:cs="Arial" w:eastAsia="Arial" w:hAnsi="Arial"/>
                <w:sz w:val="16"/>
                <w:szCs w:val="16"/>
                <w:color w:val="auto"/>
              </w:rPr>
              <w:t>58.8%</w:t>
            </w:r>
          </w:p>
        </w:tc>
        <w:tc>
          <w:tcPr>
            <w:tcW w:w="1280" w:type="dxa"/>
            <w:vAlign w:val="bottom"/>
            <w:gridSpan w:val="2"/>
            <w:shd w:val="clear" w:color="auto" w:fill="CCFFCC"/>
          </w:tcPr>
          <w:p>
            <w:pPr>
              <w:jc w:val="right"/>
              <w:ind w:right="140"/>
              <w:spacing w:after="0"/>
              <w:rPr>
                <w:sz w:val="20"/>
                <w:szCs w:val="20"/>
                <w:color w:val="auto"/>
              </w:rPr>
            </w:pPr>
            <w:r>
              <w:rPr>
                <w:rFonts w:ascii="Arial" w:cs="Arial" w:eastAsia="Arial" w:hAnsi="Arial"/>
                <w:sz w:val="16"/>
                <w:szCs w:val="16"/>
                <w:color w:val="auto"/>
              </w:rPr>
              <w:t>84.3%</w:t>
            </w:r>
          </w:p>
        </w:tc>
        <w:tc>
          <w:tcPr>
            <w:tcW w:w="260" w:type="dxa"/>
            <w:vAlign w:val="bottom"/>
            <w:shd w:val="clear" w:color="auto" w:fill="CCFFCC"/>
          </w:tcPr>
          <w:p>
            <w:pPr>
              <w:spacing w:after="0"/>
              <w:rPr>
                <w:sz w:val="17"/>
                <w:szCs w:val="17"/>
                <w:color w:val="auto"/>
              </w:rPr>
            </w:pPr>
          </w:p>
        </w:tc>
        <w:tc>
          <w:tcPr>
            <w:tcW w:w="920" w:type="dxa"/>
            <w:vAlign w:val="bottom"/>
            <w:gridSpan w:val="2"/>
            <w:shd w:val="clear" w:color="auto" w:fill="CCFFCC"/>
          </w:tcPr>
          <w:p>
            <w:pPr>
              <w:jc w:val="right"/>
              <w:ind w:right="20"/>
              <w:spacing w:after="0"/>
              <w:rPr>
                <w:sz w:val="20"/>
                <w:szCs w:val="20"/>
                <w:color w:val="auto"/>
              </w:rPr>
            </w:pPr>
            <w:r>
              <w:rPr>
                <w:rFonts w:ascii="Arial" w:cs="Arial" w:eastAsia="Arial" w:hAnsi="Arial"/>
                <w:sz w:val="16"/>
                <w:szCs w:val="16"/>
                <w:color w:val="auto"/>
              </w:rPr>
              <w:t>65.2%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00" w:type="dxa"/>
            <w:vAlign w:val="bottom"/>
          </w:tcPr>
          <w:p>
            <w:pPr>
              <w:spacing w:after="0"/>
              <w:rPr>
                <w:sz w:val="20"/>
                <w:szCs w:val="20"/>
                <w:color w:val="auto"/>
              </w:rPr>
            </w:pPr>
            <w:r>
              <w:rPr>
                <w:rFonts w:ascii="Arial" w:cs="Arial" w:eastAsia="Arial" w:hAnsi="Arial"/>
                <w:sz w:val="16"/>
                <w:szCs w:val="16"/>
                <w:color w:val="auto"/>
              </w:rPr>
              <w:t>Commissions+technical expenses, net / earned net premiums</w:t>
            </w:r>
          </w:p>
        </w:tc>
        <w:tc>
          <w:tcPr>
            <w:tcW w:w="1280" w:type="dxa"/>
            <w:vAlign w:val="bottom"/>
            <w:gridSpan w:val="2"/>
          </w:tcPr>
          <w:p>
            <w:pPr>
              <w:jc w:val="right"/>
              <w:ind w:right="59"/>
              <w:spacing w:after="0"/>
              <w:rPr>
                <w:sz w:val="20"/>
                <w:szCs w:val="20"/>
                <w:color w:val="auto"/>
              </w:rPr>
            </w:pPr>
            <w:r>
              <w:rPr>
                <w:rFonts w:ascii="Arial" w:cs="Arial" w:eastAsia="Arial" w:hAnsi="Arial"/>
                <w:sz w:val="16"/>
                <w:szCs w:val="16"/>
                <w:color w:val="auto"/>
              </w:rPr>
              <w:t>17.8%</w:t>
            </w:r>
          </w:p>
        </w:tc>
        <w:tc>
          <w:tcPr>
            <w:tcW w:w="1280" w:type="dxa"/>
            <w:vAlign w:val="bottom"/>
            <w:gridSpan w:val="2"/>
          </w:tcPr>
          <w:p>
            <w:pPr>
              <w:jc w:val="right"/>
              <w:ind w:right="140"/>
              <w:spacing w:after="0"/>
              <w:rPr>
                <w:sz w:val="20"/>
                <w:szCs w:val="20"/>
                <w:color w:val="auto"/>
              </w:rPr>
            </w:pPr>
            <w:r>
              <w:rPr>
                <w:rFonts w:ascii="Arial" w:cs="Arial" w:eastAsia="Arial" w:hAnsi="Arial"/>
                <w:sz w:val="16"/>
                <w:szCs w:val="16"/>
                <w:color w:val="auto"/>
              </w:rPr>
              <w:t>15.2%</w:t>
            </w:r>
          </w:p>
        </w:tc>
        <w:tc>
          <w:tcPr>
            <w:tcW w:w="1280" w:type="dxa"/>
            <w:vAlign w:val="bottom"/>
            <w:gridSpan w:val="2"/>
          </w:tcPr>
          <w:p>
            <w:pPr>
              <w:jc w:val="right"/>
              <w:ind w:right="140"/>
              <w:spacing w:after="0"/>
              <w:rPr>
                <w:sz w:val="20"/>
                <w:szCs w:val="20"/>
                <w:color w:val="auto"/>
              </w:rPr>
            </w:pPr>
            <w:r>
              <w:rPr>
                <w:rFonts w:ascii="Arial" w:cs="Arial" w:eastAsia="Arial" w:hAnsi="Arial"/>
                <w:sz w:val="16"/>
                <w:szCs w:val="16"/>
                <w:color w:val="auto"/>
              </w:rPr>
              <w:t>16.9%</w:t>
            </w:r>
          </w:p>
        </w:tc>
        <w:tc>
          <w:tcPr>
            <w:tcW w:w="1280" w:type="dxa"/>
            <w:vAlign w:val="bottom"/>
            <w:gridSpan w:val="2"/>
          </w:tcPr>
          <w:p>
            <w:pPr>
              <w:jc w:val="right"/>
              <w:ind w:right="140"/>
              <w:spacing w:after="0"/>
              <w:rPr>
                <w:sz w:val="20"/>
                <w:szCs w:val="20"/>
                <w:color w:val="auto"/>
              </w:rPr>
            </w:pPr>
            <w:r>
              <w:rPr>
                <w:rFonts w:ascii="Arial" w:cs="Arial" w:eastAsia="Arial" w:hAnsi="Arial"/>
                <w:sz w:val="16"/>
                <w:szCs w:val="16"/>
                <w:color w:val="auto"/>
              </w:rPr>
              <w:t>17.6%</w:t>
            </w:r>
          </w:p>
        </w:tc>
        <w:tc>
          <w:tcPr>
            <w:tcW w:w="260" w:type="dxa"/>
            <w:vAlign w:val="bottom"/>
          </w:tcPr>
          <w:p>
            <w:pPr>
              <w:spacing w:after="0"/>
              <w:rPr>
                <w:sz w:val="17"/>
                <w:szCs w:val="17"/>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16.6%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00" w:type="dxa"/>
            <w:vAlign w:val="bottom"/>
            <w:shd w:val="clear" w:color="auto" w:fill="CCFFCC"/>
          </w:tcPr>
          <w:p>
            <w:pPr>
              <w:spacing w:after="0"/>
              <w:rPr>
                <w:sz w:val="20"/>
                <w:szCs w:val="20"/>
                <w:color w:val="auto"/>
              </w:rPr>
            </w:pPr>
            <w:r>
              <w:rPr>
                <w:rFonts w:ascii="Arial" w:cs="Arial" w:eastAsia="Arial" w:hAnsi="Arial"/>
                <w:sz w:val="16"/>
                <w:szCs w:val="16"/>
                <w:color w:val="auto"/>
              </w:rPr>
              <w:t>Technical results / earned net premiums</w:t>
            </w:r>
          </w:p>
        </w:tc>
        <w:tc>
          <w:tcPr>
            <w:tcW w:w="1280" w:type="dxa"/>
            <w:vAlign w:val="bottom"/>
            <w:gridSpan w:val="2"/>
            <w:shd w:val="clear" w:color="auto" w:fill="CCFFCC"/>
          </w:tcPr>
          <w:p>
            <w:pPr>
              <w:jc w:val="right"/>
              <w:ind w:right="59"/>
              <w:spacing w:after="0"/>
              <w:rPr>
                <w:sz w:val="20"/>
                <w:szCs w:val="20"/>
                <w:color w:val="auto"/>
              </w:rPr>
            </w:pPr>
            <w:r>
              <w:rPr>
                <w:rFonts w:ascii="Arial" w:cs="Arial" w:eastAsia="Arial" w:hAnsi="Arial"/>
                <w:sz w:val="16"/>
                <w:szCs w:val="16"/>
                <w:color w:val="auto"/>
              </w:rPr>
              <w:t>3.6%</w:t>
            </w:r>
          </w:p>
        </w:tc>
        <w:tc>
          <w:tcPr>
            <w:tcW w:w="1280" w:type="dxa"/>
            <w:vAlign w:val="bottom"/>
            <w:gridSpan w:val="2"/>
            <w:shd w:val="clear" w:color="auto" w:fill="CCFFCC"/>
          </w:tcPr>
          <w:p>
            <w:pPr>
              <w:jc w:val="right"/>
              <w:ind w:right="140"/>
              <w:spacing w:after="0"/>
              <w:rPr>
                <w:sz w:val="20"/>
                <w:szCs w:val="20"/>
                <w:color w:val="auto"/>
              </w:rPr>
            </w:pPr>
            <w:r>
              <w:rPr>
                <w:rFonts w:ascii="Arial" w:cs="Arial" w:eastAsia="Arial" w:hAnsi="Arial"/>
                <w:sz w:val="16"/>
                <w:szCs w:val="16"/>
                <w:color w:val="auto"/>
              </w:rPr>
              <w:t>20.1%</w:t>
            </w:r>
          </w:p>
        </w:tc>
        <w:tc>
          <w:tcPr>
            <w:tcW w:w="1280" w:type="dxa"/>
            <w:vAlign w:val="bottom"/>
            <w:gridSpan w:val="2"/>
            <w:shd w:val="clear" w:color="auto" w:fill="CCFFCC"/>
          </w:tcPr>
          <w:p>
            <w:pPr>
              <w:jc w:val="right"/>
              <w:ind w:right="140"/>
              <w:spacing w:after="0"/>
              <w:rPr>
                <w:sz w:val="20"/>
                <w:szCs w:val="20"/>
                <w:color w:val="auto"/>
              </w:rPr>
            </w:pPr>
            <w:r>
              <w:rPr>
                <w:rFonts w:ascii="Arial" w:cs="Arial" w:eastAsia="Arial" w:hAnsi="Arial"/>
                <w:sz w:val="16"/>
                <w:szCs w:val="16"/>
                <w:color w:val="auto"/>
              </w:rPr>
              <w:t>24.3%</w:t>
            </w:r>
          </w:p>
        </w:tc>
        <w:tc>
          <w:tcPr>
            <w:tcW w:w="1280" w:type="dxa"/>
            <w:vAlign w:val="bottom"/>
            <w:gridSpan w:val="2"/>
            <w:shd w:val="clear" w:color="auto" w:fill="CCFFCC"/>
          </w:tcPr>
          <w:p>
            <w:pPr>
              <w:jc w:val="right"/>
              <w:ind w:right="140"/>
              <w:spacing w:after="0"/>
              <w:rPr>
                <w:sz w:val="20"/>
                <w:szCs w:val="20"/>
                <w:color w:val="auto"/>
              </w:rPr>
            </w:pPr>
            <w:r>
              <w:rPr>
                <w:rFonts w:ascii="Arial" w:cs="Arial" w:eastAsia="Arial" w:hAnsi="Arial"/>
                <w:sz w:val="16"/>
                <w:szCs w:val="16"/>
                <w:color w:val="auto"/>
              </w:rPr>
              <w:t>-1.9%</w:t>
            </w:r>
          </w:p>
        </w:tc>
        <w:tc>
          <w:tcPr>
            <w:tcW w:w="260" w:type="dxa"/>
            <w:vAlign w:val="bottom"/>
            <w:shd w:val="clear" w:color="auto" w:fill="CCFFCC"/>
          </w:tcPr>
          <w:p>
            <w:pPr>
              <w:spacing w:after="0"/>
              <w:rPr>
                <w:sz w:val="17"/>
                <w:szCs w:val="17"/>
                <w:color w:val="auto"/>
              </w:rPr>
            </w:pPr>
          </w:p>
        </w:tc>
        <w:tc>
          <w:tcPr>
            <w:tcW w:w="920" w:type="dxa"/>
            <w:vAlign w:val="bottom"/>
            <w:gridSpan w:val="2"/>
            <w:shd w:val="clear" w:color="auto" w:fill="CCFFCC"/>
          </w:tcPr>
          <w:p>
            <w:pPr>
              <w:jc w:val="right"/>
              <w:ind w:right="20"/>
              <w:spacing w:after="0"/>
              <w:rPr>
                <w:sz w:val="20"/>
                <w:szCs w:val="20"/>
                <w:color w:val="auto"/>
              </w:rPr>
            </w:pPr>
            <w:r>
              <w:rPr>
                <w:rFonts w:ascii="Arial" w:cs="Arial" w:eastAsia="Arial" w:hAnsi="Arial"/>
                <w:sz w:val="16"/>
                <w:szCs w:val="16"/>
                <w:color w:val="auto"/>
              </w:rPr>
              <w:t>18.2%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00" w:type="dxa"/>
            <w:vAlign w:val="bottom"/>
          </w:tcPr>
          <w:p>
            <w:pPr>
              <w:spacing w:after="0"/>
              <w:rPr>
                <w:sz w:val="20"/>
                <w:szCs w:val="20"/>
                <w:color w:val="auto"/>
              </w:rPr>
            </w:pPr>
            <w:r>
              <w:rPr>
                <w:rFonts w:ascii="Arial" w:cs="Arial" w:eastAsia="Arial" w:hAnsi="Arial"/>
                <w:sz w:val="16"/>
                <w:szCs w:val="16"/>
                <w:color w:val="auto"/>
              </w:rPr>
              <w:t>General expenses / earned net premiums</w:t>
            </w:r>
          </w:p>
        </w:tc>
        <w:tc>
          <w:tcPr>
            <w:tcW w:w="1280" w:type="dxa"/>
            <w:vAlign w:val="bottom"/>
            <w:gridSpan w:val="2"/>
          </w:tcPr>
          <w:p>
            <w:pPr>
              <w:jc w:val="right"/>
              <w:ind w:right="59"/>
              <w:spacing w:after="0"/>
              <w:rPr>
                <w:sz w:val="20"/>
                <w:szCs w:val="20"/>
                <w:color w:val="auto"/>
              </w:rPr>
            </w:pPr>
            <w:r>
              <w:rPr>
                <w:rFonts w:ascii="Arial" w:cs="Arial" w:eastAsia="Arial" w:hAnsi="Arial"/>
                <w:sz w:val="16"/>
                <w:szCs w:val="16"/>
                <w:color w:val="auto"/>
              </w:rPr>
              <w:t>18.2%</w:t>
            </w:r>
          </w:p>
        </w:tc>
        <w:tc>
          <w:tcPr>
            <w:tcW w:w="1280" w:type="dxa"/>
            <w:vAlign w:val="bottom"/>
            <w:gridSpan w:val="2"/>
          </w:tcPr>
          <w:p>
            <w:pPr>
              <w:jc w:val="right"/>
              <w:ind w:right="140"/>
              <w:spacing w:after="0"/>
              <w:rPr>
                <w:sz w:val="20"/>
                <w:szCs w:val="20"/>
                <w:color w:val="auto"/>
              </w:rPr>
            </w:pPr>
            <w:r>
              <w:rPr>
                <w:rFonts w:ascii="Arial" w:cs="Arial" w:eastAsia="Arial" w:hAnsi="Arial"/>
                <w:sz w:val="16"/>
                <w:szCs w:val="16"/>
                <w:color w:val="auto"/>
              </w:rPr>
              <w:t>20.3%</w:t>
            </w:r>
          </w:p>
        </w:tc>
        <w:tc>
          <w:tcPr>
            <w:tcW w:w="1280" w:type="dxa"/>
            <w:vAlign w:val="bottom"/>
            <w:gridSpan w:val="2"/>
          </w:tcPr>
          <w:p>
            <w:pPr>
              <w:jc w:val="right"/>
              <w:ind w:right="140"/>
              <w:spacing w:after="0"/>
              <w:rPr>
                <w:sz w:val="20"/>
                <w:szCs w:val="20"/>
                <w:color w:val="auto"/>
              </w:rPr>
            </w:pPr>
            <w:r>
              <w:rPr>
                <w:rFonts w:ascii="Arial" w:cs="Arial" w:eastAsia="Arial" w:hAnsi="Arial"/>
                <w:sz w:val="16"/>
                <w:szCs w:val="16"/>
                <w:color w:val="auto"/>
              </w:rPr>
              <w:t>26.3%</w:t>
            </w:r>
          </w:p>
        </w:tc>
        <w:tc>
          <w:tcPr>
            <w:tcW w:w="1280" w:type="dxa"/>
            <w:vAlign w:val="bottom"/>
            <w:gridSpan w:val="2"/>
          </w:tcPr>
          <w:p>
            <w:pPr>
              <w:jc w:val="right"/>
              <w:ind w:right="140"/>
              <w:spacing w:after="0"/>
              <w:rPr>
                <w:sz w:val="20"/>
                <w:szCs w:val="20"/>
                <w:color w:val="auto"/>
              </w:rPr>
            </w:pPr>
            <w:r>
              <w:rPr>
                <w:rFonts w:ascii="Arial" w:cs="Arial" w:eastAsia="Arial" w:hAnsi="Arial"/>
                <w:sz w:val="16"/>
                <w:szCs w:val="16"/>
                <w:color w:val="auto"/>
              </w:rPr>
              <w:t>19.8%</w:t>
            </w:r>
          </w:p>
        </w:tc>
        <w:tc>
          <w:tcPr>
            <w:tcW w:w="260" w:type="dxa"/>
            <w:vAlign w:val="bottom"/>
          </w:tcPr>
          <w:p>
            <w:pPr>
              <w:spacing w:after="0"/>
              <w:rPr>
                <w:sz w:val="17"/>
                <w:szCs w:val="17"/>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20.8%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00" w:type="dxa"/>
            <w:vAlign w:val="bottom"/>
            <w:shd w:val="clear" w:color="auto" w:fill="CCFFCC"/>
          </w:tcPr>
          <w:p>
            <w:pPr>
              <w:spacing w:after="0"/>
              <w:rPr>
                <w:sz w:val="20"/>
                <w:szCs w:val="20"/>
                <w:color w:val="auto"/>
              </w:rPr>
            </w:pPr>
            <w:r>
              <w:rPr>
                <w:rFonts w:ascii="Arial" w:cs="Arial" w:eastAsia="Arial" w:hAnsi="Arial"/>
                <w:sz w:val="16"/>
                <w:szCs w:val="16"/>
                <w:color w:val="auto"/>
              </w:rPr>
              <w:t>Return on equity (2)(3)</w:t>
            </w:r>
          </w:p>
        </w:tc>
        <w:tc>
          <w:tcPr>
            <w:tcW w:w="1280" w:type="dxa"/>
            <w:vAlign w:val="bottom"/>
            <w:gridSpan w:val="2"/>
            <w:shd w:val="clear" w:color="auto" w:fill="CCFFCC"/>
          </w:tcPr>
          <w:p>
            <w:pPr>
              <w:jc w:val="right"/>
              <w:ind w:right="59"/>
              <w:spacing w:after="0"/>
              <w:rPr>
                <w:sz w:val="20"/>
                <w:szCs w:val="20"/>
                <w:color w:val="auto"/>
              </w:rPr>
            </w:pPr>
            <w:r>
              <w:rPr>
                <w:rFonts w:ascii="Arial" w:cs="Arial" w:eastAsia="Arial" w:hAnsi="Arial"/>
                <w:sz w:val="16"/>
                <w:szCs w:val="16"/>
                <w:color w:val="auto"/>
              </w:rPr>
              <w:t>-23.8%</w:t>
            </w:r>
          </w:p>
        </w:tc>
        <w:tc>
          <w:tcPr>
            <w:tcW w:w="1280" w:type="dxa"/>
            <w:vAlign w:val="bottom"/>
            <w:gridSpan w:val="2"/>
            <w:shd w:val="clear" w:color="auto" w:fill="CCFFCC"/>
          </w:tcPr>
          <w:p>
            <w:pPr>
              <w:jc w:val="right"/>
              <w:ind w:right="140"/>
              <w:spacing w:after="0"/>
              <w:rPr>
                <w:sz w:val="20"/>
                <w:szCs w:val="20"/>
                <w:color w:val="auto"/>
              </w:rPr>
            </w:pPr>
            <w:r>
              <w:rPr>
                <w:rFonts w:ascii="Arial" w:cs="Arial" w:eastAsia="Arial" w:hAnsi="Arial"/>
                <w:sz w:val="16"/>
                <w:szCs w:val="16"/>
                <w:color w:val="auto"/>
              </w:rPr>
              <w:t>26.6%</w:t>
            </w:r>
          </w:p>
        </w:tc>
        <w:tc>
          <w:tcPr>
            <w:tcW w:w="1280" w:type="dxa"/>
            <w:vAlign w:val="bottom"/>
            <w:gridSpan w:val="2"/>
            <w:shd w:val="clear" w:color="auto" w:fill="CCFFCC"/>
          </w:tcPr>
          <w:p>
            <w:pPr>
              <w:jc w:val="right"/>
              <w:ind w:right="140"/>
              <w:spacing w:after="0"/>
              <w:rPr>
                <w:sz w:val="20"/>
                <w:szCs w:val="20"/>
                <w:color w:val="auto"/>
              </w:rPr>
            </w:pPr>
            <w:r>
              <w:rPr>
                <w:rFonts w:ascii="Arial" w:cs="Arial" w:eastAsia="Arial" w:hAnsi="Arial"/>
                <w:sz w:val="16"/>
                <w:szCs w:val="16"/>
                <w:color w:val="auto"/>
              </w:rPr>
              <w:t>6.4%</w:t>
            </w:r>
          </w:p>
        </w:tc>
        <w:tc>
          <w:tcPr>
            <w:tcW w:w="1280" w:type="dxa"/>
            <w:vAlign w:val="bottom"/>
            <w:gridSpan w:val="2"/>
            <w:shd w:val="clear" w:color="auto" w:fill="CCFFCC"/>
          </w:tcPr>
          <w:p>
            <w:pPr>
              <w:jc w:val="right"/>
              <w:ind w:right="140"/>
              <w:spacing w:after="0"/>
              <w:rPr>
                <w:sz w:val="20"/>
                <w:szCs w:val="20"/>
                <w:color w:val="auto"/>
              </w:rPr>
            </w:pPr>
            <w:r>
              <w:rPr>
                <w:rFonts w:ascii="Arial" w:cs="Arial" w:eastAsia="Arial" w:hAnsi="Arial"/>
                <w:sz w:val="16"/>
                <w:szCs w:val="16"/>
                <w:color w:val="auto"/>
              </w:rPr>
              <w:t>-8.6%</w:t>
            </w:r>
          </w:p>
        </w:tc>
        <w:tc>
          <w:tcPr>
            <w:tcW w:w="260" w:type="dxa"/>
            <w:vAlign w:val="bottom"/>
            <w:shd w:val="clear" w:color="auto" w:fill="CCFFCC"/>
          </w:tcPr>
          <w:p>
            <w:pPr>
              <w:spacing w:after="0"/>
              <w:rPr>
                <w:sz w:val="17"/>
                <w:szCs w:val="17"/>
                <w:color w:val="auto"/>
              </w:rPr>
            </w:pPr>
          </w:p>
        </w:tc>
        <w:tc>
          <w:tcPr>
            <w:tcW w:w="920" w:type="dxa"/>
            <w:vAlign w:val="bottom"/>
            <w:gridSpan w:val="2"/>
            <w:shd w:val="clear" w:color="auto" w:fill="CCFFCC"/>
          </w:tcPr>
          <w:p>
            <w:pPr>
              <w:jc w:val="right"/>
              <w:ind w:right="20"/>
              <w:spacing w:after="0"/>
              <w:rPr>
                <w:sz w:val="20"/>
                <w:szCs w:val="20"/>
                <w:color w:val="auto"/>
              </w:rPr>
            </w:pPr>
            <w:r>
              <w:rPr>
                <w:rFonts w:ascii="Arial" w:cs="Arial" w:eastAsia="Arial" w:hAnsi="Arial"/>
                <w:sz w:val="16"/>
                <w:szCs w:val="16"/>
                <w:color w:val="auto"/>
              </w:rPr>
              <w:t>24.6%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00" w:type="dxa"/>
            <w:vAlign w:val="bottom"/>
          </w:tcPr>
          <w:p>
            <w:pPr>
              <w:spacing w:after="0"/>
              <w:rPr>
                <w:sz w:val="20"/>
                <w:szCs w:val="20"/>
                <w:color w:val="auto"/>
              </w:rPr>
            </w:pPr>
            <w:r>
              <w:rPr>
                <w:rFonts w:ascii="Arial" w:cs="Arial" w:eastAsia="Arial" w:hAnsi="Arial"/>
                <w:sz w:val="16"/>
                <w:szCs w:val="16"/>
                <w:color w:val="auto"/>
              </w:rPr>
              <w:t>Return on total premiums</w:t>
            </w:r>
          </w:p>
        </w:tc>
        <w:tc>
          <w:tcPr>
            <w:tcW w:w="1280" w:type="dxa"/>
            <w:vAlign w:val="bottom"/>
            <w:gridSpan w:val="2"/>
          </w:tcPr>
          <w:p>
            <w:pPr>
              <w:jc w:val="right"/>
              <w:ind w:right="59"/>
              <w:spacing w:after="0"/>
              <w:rPr>
                <w:sz w:val="20"/>
                <w:szCs w:val="20"/>
                <w:color w:val="auto"/>
              </w:rPr>
            </w:pPr>
            <w:r>
              <w:rPr>
                <w:rFonts w:ascii="Arial" w:cs="Arial" w:eastAsia="Arial" w:hAnsi="Arial"/>
                <w:sz w:val="16"/>
                <w:szCs w:val="16"/>
                <w:color w:val="auto"/>
              </w:rPr>
              <w:t>-6.4%</w:t>
            </w:r>
          </w:p>
        </w:tc>
        <w:tc>
          <w:tcPr>
            <w:tcW w:w="1280" w:type="dxa"/>
            <w:vAlign w:val="bottom"/>
            <w:gridSpan w:val="2"/>
          </w:tcPr>
          <w:p>
            <w:pPr>
              <w:jc w:val="right"/>
              <w:ind w:right="140"/>
              <w:spacing w:after="0"/>
              <w:rPr>
                <w:sz w:val="20"/>
                <w:szCs w:val="20"/>
                <w:color w:val="auto"/>
              </w:rPr>
            </w:pPr>
            <w:r>
              <w:rPr>
                <w:rFonts w:ascii="Arial" w:cs="Arial" w:eastAsia="Arial" w:hAnsi="Arial"/>
                <w:sz w:val="16"/>
                <w:szCs w:val="16"/>
                <w:color w:val="auto"/>
              </w:rPr>
              <w:t>8.9%</w:t>
            </w:r>
          </w:p>
        </w:tc>
        <w:tc>
          <w:tcPr>
            <w:tcW w:w="1280" w:type="dxa"/>
            <w:vAlign w:val="bottom"/>
            <w:gridSpan w:val="2"/>
          </w:tcPr>
          <w:p>
            <w:pPr>
              <w:jc w:val="right"/>
              <w:ind w:right="140"/>
              <w:spacing w:after="0"/>
              <w:rPr>
                <w:sz w:val="20"/>
                <w:szCs w:val="20"/>
                <w:color w:val="auto"/>
              </w:rPr>
            </w:pPr>
            <w:r>
              <w:rPr>
                <w:rFonts w:ascii="Arial" w:cs="Arial" w:eastAsia="Arial" w:hAnsi="Arial"/>
                <w:sz w:val="16"/>
                <w:szCs w:val="16"/>
                <w:color w:val="auto"/>
              </w:rPr>
              <w:t>9.4%</w:t>
            </w:r>
          </w:p>
        </w:tc>
        <w:tc>
          <w:tcPr>
            <w:tcW w:w="1280" w:type="dxa"/>
            <w:vAlign w:val="bottom"/>
            <w:gridSpan w:val="2"/>
          </w:tcPr>
          <w:p>
            <w:pPr>
              <w:jc w:val="right"/>
              <w:ind w:right="140"/>
              <w:spacing w:after="0"/>
              <w:rPr>
                <w:sz w:val="20"/>
                <w:szCs w:val="20"/>
                <w:color w:val="auto"/>
              </w:rPr>
            </w:pPr>
            <w:r>
              <w:rPr>
                <w:rFonts w:ascii="Arial" w:cs="Arial" w:eastAsia="Arial" w:hAnsi="Arial"/>
                <w:sz w:val="16"/>
                <w:szCs w:val="16"/>
                <w:color w:val="auto"/>
              </w:rPr>
              <w:t>-2.6%</w:t>
            </w:r>
          </w:p>
        </w:tc>
        <w:tc>
          <w:tcPr>
            <w:tcW w:w="260" w:type="dxa"/>
            <w:vAlign w:val="bottom"/>
          </w:tcPr>
          <w:p>
            <w:pPr>
              <w:spacing w:after="0"/>
              <w:rPr>
                <w:sz w:val="17"/>
                <w:szCs w:val="17"/>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8.1%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00" w:type="dxa"/>
            <w:vAlign w:val="bottom"/>
            <w:shd w:val="clear" w:color="auto" w:fill="CCFFCC"/>
          </w:tcPr>
          <w:p>
            <w:pPr>
              <w:spacing w:after="0"/>
              <w:rPr>
                <w:sz w:val="20"/>
                <w:szCs w:val="20"/>
                <w:color w:val="auto"/>
              </w:rPr>
            </w:pPr>
            <w:r>
              <w:rPr>
                <w:rFonts w:ascii="Arial" w:cs="Arial" w:eastAsia="Arial" w:hAnsi="Arial"/>
                <w:sz w:val="16"/>
                <w:szCs w:val="16"/>
                <w:color w:val="auto"/>
              </w:rPr>
              <w:t>Net equity / Total Assets</w:t>
            </w:r>
          </w:p>
        </w:tc>
        <w:tc>
          <w:tcPr>
            <w:tcW w:w="1280" w:type="dxa"/>
            <w:vAlign w:val="bottom"/>
            <w:gridSpan w:val="2"/>
            <w:shd w:val="clear" w:color="auto" w:fill="CCFFCC"/>
          </w:tcPr>
          <w:p>
            <w:pPr>
              <w:jc w:val="right"/>
              <w:ind w:right="59"/>
              <w:spacing w:after="0"/>
              <w:rPr>
                <w:sz w:val="20"/>
                <w:szCs w:val="20"/>
                <w:color w:val="auto"/>
              </w:rPr>
            </w:pPr>
            <w:r>
              <w:rPr>
                <w:rFonts w:ascii="Arial" w:cs="Arial" w:eastAsia="Arial" w:hAnsi="Arial"/>
                <w:sz w:val="16"/>
                <w:szCs w:val="16"/>
                <w:color w:val="auto"/>
              </w:rPr>
              <w:t>11.2%</w:t>
            </w:r>
          </w:p>
        </w:tc>
        <w:tc>
          <w:tcPr>
            <w:tcW w:w="1280" w:type="dxa"/>
            <w:vAlign w:val="bottom"/>
            <w:gridSpan w:val="2"/>
            <w:shd w:val="clear" w:color="auto" w:fill="CCFFCC"/>
          </w:tcPr>
          <w:p>
            <w:pPr>
              <w:jc w:val="right"/>
              <w:ind w:right="140"/>
              <w:spacing w:after="0"/>
              <w:rPr>
                <w:sz w:val="20"/>
                <w:szCs w:val="20"/>
                <w:color w:val="auto"/>
              </w:rPr>
            </w:pPr>
            <w:r>
              <w:rPr>
                <w:rFonts w:ascii="Arial" w:cs="Arial" w:eastAsia="Arial" w:hAnsi="Arial"/>
                <w:sz w:val="16"/>
                <w:szCs w:val="16"/>
                <w:color w:val="auto"/>
              </w:rPr>
              <w:t>16.4%</w:t>
            </w:r>
          </w:p>
        </w:tc>
        <w:tc>
          <w:tcPr>
            <w:tcW w:w="1280" w:type="dxa"/>
            <w:vAlign w:val="bottom"/>
            <w:gridSpan w:val="2"/>
            <w:shd w:val="clear" w:color="auto" w:fill="CCFFCC"/>
          </w:tcPr>
          <w:p>
            <w:pPr>
              <w:jc w:val="right"/>
              <w:ind w:right="140"/>
              <w:spacing w:after="0"/>
              <w:rPr>
                <w:sz w:val="20"/>
                <w:szCs w:val="20"/>
                <w:color w:val="auto"/>
              </w:rPr>
            </w:pPr>
            <w:r>
              <w:rPr>
                <w:rFonts w:ascii="Arial" w:cs="Arial" w:eastAsia="Arial" w:hAnsi="Arial"/>
                <w:sz w:val="16"/>
                <w:szCs w:val="16"/>
                <w:color w:val="auto"/>
              </w:rPr>
              <w:t>17.7%</w:t>
            </w:r>
          </w:p>
        </w:tc>
        <w:tc>
          <w:tcPr>
            <w:tcW w:w="1280" w:type="dxa"/>
            <w:vAlign w:val="bottom"/>
            <w:gridSpan w:val="2"/>
            <w:shd w:val="clear" w:color="auto" w:fill="CCFFCC"/>
          </w:tcPr>
          <w:p>
            <w:pPr>
              <w:jc w:val="right"/>
              <w:ind w:right="140"/>
              <w:spacing w:after="0"/>
              <w:rPr>
                <w:sz w:val="20"/>
                <w:szCs w:val="20"/>
                <w:color w:val="auto"/>
              </w:rPr>
            </w:pPr>
            <w:r>
              <w:rPr>
                <w:rFonts w:ascii="Arial" w:cs="Arial" w:eastAsia="Arial" w:hAnsi="Arial"/>
                <w:sz w:val="16"/>
                <w:szCs w:val="16"/>
                <w:color w:val="auto"/>
              </w:rPr>
              <w:t>11.2%</w:t>
            </w:r>
          </w:p>
        </w:tc>
        <w:tc>
          <w:tcPr>
            <w:tcW w:w="260" w:type="dxa"/>
            <w:vAlign w:val="bottom"/>
            <w:shd w:val="clear" w:color="auto" w:fill="CCFFCC"/>
          </w:tcPr>
          <w:p>
            <w:pPr>
              <w:spacing w:after="0"/>
              <w:rPr>
                <w:sz w:val="17"/>
                <w:szCs w:val="17"/>
                <w:color w:val="auto"/>
              </w:rPr>
            </w:pPr>
          </w:p>
        </w:tc>
        <w:tc>
          <w:tcPr>
            <w:tcW w:w="920" w:type="dxa"/>
            <w:vAlign w:val="bottom"/>
            <w:gridSpan w:val="2"/>
            <w:shd w:val="clear" w:color="auto" w:fill="CCFFCC"/>
          </w:tcPr>
          <w:p>
            <w:pPr>
              <w:jc w:val="right"/>
              <w:ind w:right="20"/>
              <w:spacing w:after="0"/>
              <w:rPr>
                <w:sz w:val="20"/>
                <w:szCs w:val="20"/>
                <w:color w:val="auto"/>
              </w:rPr>
            </w:pPr>
            <w:r>
              <w:rPr>
                <w:rFonts w:ascii="Arial" w:cs="Arial" w:eastAsia="Arial" w:hAnsi="Arial"/>
                <w:sz w:val="16"/>
                <w:szCs w:val="16"/>
                <w:color w:val="auto"/>
              </w:rPr>
              <w:t>17.7%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00" w:type="dxa"/>
            <w:vAlign w:val="bottom"/>
          </w:tcPr>
          <w:p>
            <w:pPr>
              <w:spacing w:after="0"/>
              <w:rPr>
                <w:sz w:val="20"/>
                <w:szCs w:val="20"/>
                <w:color w:val="auto"/>
              </w:rPr>
            </w:pPr>
            <w:r>
              <w:rPr>
                <w:rFonts w:ascii="Arial" w:cs="Arial" w:eastAsia="Arial" w:hAnsi="Arial"/>
                <w:sz w:val="16"/>
                <w:szCs w:val="16"/>
                <w:color w:val="auto"/>
              </w:rPr>
              <w:t>Increase in technical reserves</w:t>
            </w:r>
          </w:p>
        </w:tc>
        <w:tc>
          <w:tcPr>
            <w:tcW w:w="1280" w:type="dxa"/>
            <w:vAlign w:val="bottom"/>
            <w:gridSpan w:val="2"/>
          </w:tcPr>
          <w:p>
            <w:pPr>
              <w:jc w:val="right"/>
              <w:ind w:right="59"/>
              <w:spacing w:after="0"/>
              <w:rPr>
                <w:sz w:val="20"/>
                <w:szCs w:val="20"/>
                <w:color w:val="auto"/>
              </w:rPr>
            </w:pPr>
            <w:r>
              <w:rPr>
                <w:rFonts w:ascii="Arial" w:cs="Arial" w:eastAsia="Arial" w:hAnsi="Arial"/>
                <w:sz w:val="16"/>
                <w:szCs w:val="16"/>
                <w:color w:val="auto"/>
              </w:rPr>
              <w:t>8.6%</w:t>
            </w:r>
          </w:p>
        </w:tc>
        <w:tc>
          <w:tcPr>
            <w:tcW w:w="1280" w:type="dxa"/>
            <w:vAlign w:val="bottom"/>
            <w:gridSpan w:val="2"/>
          </w:tcPr>
          <w:p>
            <w:pPr>
              <w:jc w:val="right"/>
              <w:ind w:right="140"/>
              <w:spacing w:after="0"/>
              <w:rPr>
                <w:sz w:val="20"/>
                <w:szCs w:val="20"/>
                <w:color w:val="auto"/>
              </w:rPr>
            </w:pPr>
            <w:r>
              <w:rPr>
                <w:rFonts w:ascii="Arial" w:cs="Arial" w:eastAsia="Arial" w:hAnsi="Arial"/>
                <w:sz w:val="16"/>
                <w:szCs w:val="16"/>
                <w:color w:val="auto"/>
              </w:rPr>
              <w:t>12.7%</w:t>
            </w:r>
          </w:p>
        </w:tc>
        <w:tc>
          <w:tcPr>
            <w:tcW w:w="1280" w:type="dxa"/>
            <w:vAlign w:val="bottom"/>
            <w:gridSpan w:val="2"/>
          </w:tcPr>
          <w:p>
            <w:pPr>
              <w:jc w:val="right"/>
              <w:ind w:right="140"/>
              <w:spacing w:after="0"/>
              <w:rPr>
                <w:sz w:val="20"/>
                <w:szCs w:val="20"/>
                <w:color w:val="auto"/>
              </w:rPr>
            </w:pPr>
            <w:r>
              <w:rPr>
                <w:rFonts w:ascii="Arial" w:cs="Arial" w:eastAsia="Arial" w:hAnsi="Arial"/>
                <w:sz w:val="16"/>
                <w:szCs w:val="16"/>
                <w:color w:val="auto"/>
              </w:rPr>
              <w:t>13.5%</w:t>
            </w:r>
          </w:p>
        </w:tc>
        <w:tc>
          <w:tcPr>
            <w:tcW w:w="1280" w:type="dxa"/>
            <w:vAlign w:val="bottom"/>
            <w:gridSpan w:val="2"/>
          </w:tcPr>
          <w:p>
            <w:pPr>
              <w:jc w:val="right"/>
              <w:ind w:right="140"/>
              <w:spacing w:after="0"/>
              <w:rPr>
                <w:sz w:val="20"/>
                <w:szCs w:val="20"/>
                <w:color w:val="auto"/>
              </w:rPr>
            </w:pPr>
            <w:r>
              <w:rPr>
                <w:rFonts w:ascii="Arial" w:cs="Arial" w:eastAsia="Arial" w:hAnsi="Arial"/>
                <w:sz w:val="16"/>
                <w:szCs w:val="16"/>
                <w:color w:val="auto"/>
              </w:rPr>
              <w:t>14.8%</w:t>
            </w:r>
          </w:p>
        </w:tc>
        <w:tc>
          <w:tcPr>
            <w:tcW w:w="260" w:type="dxa"/>
            <w:vAlign w:val="bottom"/>
          </w:tcPr>
          <w:p>
            <w:pPr>
              <w:spacing w:after="0"/>
              <w:rPr>
                <w:sz w:val="17"/>
                <w:szCs w:val="17"/>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13.3%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00" w:type="dxa"/>
            <w:vAlign w:val="bottom"/>
            <w:shd w:val="clear" w:color="auto" w:fill="CCFFCC"/>
          </w:tcPr>
          <w:p>
            <w:pPr>
              <w:spacing w:after="0"/>
              <w:rPr>
                <w:sz w:val="20"/>
                <w:szCs w:val="20"/>
                <w:color w:val="auto"/>
              </w:rPr>
            </w:pPr>
            <w:r>
              <w:rPr>
                <w:rFonts w:ascii="Arial" w:cs="Arial" w:eastAsia="Arial" w:hAnsi="Arial"/>
                <w:sz w:val="16"/>
                <w:szCs w:val="16"/>
                <w:color w:val="auto"/>
              </w:rPr>
              <w:t>General expenses / Assets (2)(3)</w:t>
            </w:r>
          </w:p>
        </w:tc>
        <w:tc>
          <w:tcPr>
            <w:tcW w:w="1280" w:type="dxa"/>
            <w:vAlign w:val="bottom"/>
            <w:gridSpan w:val="2"/>
            <w:shd w:val="clear" w:color="auto" w:fill="CCFFCC"/>
          </w:tcPr>
          <w:p>
            <w:pPr>
              <w:jc w:val="right"/>
              <w:ind w:right="59"/>
              <w:spacing w:after="0"/>
              <w:rPr>
                <w:sz w:val="20"/>
                <w:szCs w:val="20"/>
                <w:color w:val="auto"/>
              </w:rPr>
            </w:pPr>
            <w:r>
              <w:rPr>
                <w:rFonts w:ascii="Arial" w:cs="Arial" w:eastAsia="Arial" w:hAnsi="Arial"/>
                <w:sz w:val="16"/>
                <w:szCs w:val="16"/>
                <w:color w:val="auto"/>
              </w:rPr>
              <w:t>6.2%</w:t>
            </w:r>
          </w:p>
        </w:tc>
        <w:tc>
          <w:tcPr>
            <w:tcW w:w="1280" w:type="dxa"/>
            <w:vAlign w:val="bottom"/>
            <w:gridSpan w:val="2"/>
            <w:shd w:val="clear" w:color="auto" w:fill="CCFFCC"/>
          </w:tcPr>
          <w:p>
            <w:pPr>
              <w:jc w:val="right"/>
              <w:ind w:right="140"/>
              <w:spacing w:after="0"/>
              <w:rPr>
                <w:sz w:val="20"/>
                <w:szCs w:val="20"/>
                <w:color w:val="auto"/>
              </w:rPr>
            </w:pPr>
            <w:r>
              <w:rPr>
                <w:rFonts w:ascii="Arial" w:cs="Arial" w:eastAsia="Arial" w:hAnsi="Arial"/>
                <w:sz w:val="16"/>
                <w:szCs w:val="16"/>
                <w:color w:val="auto"/>
              </w:rPr>
              <w:t>6.5%</w:t>
            </w:r>
          </w:p>
        </w:tc>
        <w:tc>
          <w:tcPr>
            <w:tcW w:w="1280" w:type="dxa"/>
            <w:vAlign w:val="bottom"/>
            <w:gridSpan w:val="2"/>
            <w:shd w:val="clear" w:color="auto" w:fill="CCFFCC"/>
          </w:tcPr>
          <w:p>
            <w:pPr>
              <w:jc w:val="right"/>
              <w:ind w:right="140"/>
              <w:spacing w:after="0"/>
              <w:rPr>
                <w:sz w:val="20"/>
                <w:szCs w:val="20"/>
                <w:color w:val="auto"/>
              </w:rPr>
            </w:pPr>
            <w:r>
              <w:rPr>
                <w:rFonts w:ascii="Arial" w:cs="Arial" w:eastAsia="Arial" w:hAnsi="Arial"/>
                <w:sz w:val="16"/>
                <w:szCs w:val="16"/>
                <w:color w:val="auto"/>
              </w:rPr>
              <w:t>2.1%</w:t>
            </w:r>
          </w:p>
        </w:tc>
        <w:tc>
          <w:tcPr>
            <w:tcW w:w="1280" w:type="dxa"/>
            <w:vAlign w:val="bottom"/>
            <w:gridSpan w:val="2"/>
            <w:shd w:val="clear" w:color="auto" w:fill="CCFFCC"/>
          </w:tcPr>
          <w:p>
            <w:pPr>
              <w:jc w:val="right"/>
              <w:ind w:right="140"/>
              <w:spacing w:after="0"/>
              <w:rPr>
                <w:sz w:val="20"/>
                <w:szCs w:val="20"/>
                <w:color w:val="auto"/>
              </w:rPr>
            </w:pPr>
            <w:r>
              <w:rPr>
                <w:rFonts w:ascii="Arial" w:cs="Arial" w:eastAsia="Arial" w:hAnsi="Arial"/>
                <w:sz w:val="16"/>
                <w:szCs w:val="16"/>
                <w:color w:val="auto"/>
              </w:rPr>
              <w:t>6.4%</w:t>
            </w:r>
          </w:p>
        </w:tc>
        <w:tc>
          <w:tcPr>
            <w:tcW w:w="260" w:type="dxa"/>
            <w:vAlign w:val="bottom"/>
            <w:shd w:val="clear" w:color="auto" w:fill="CCFFCC"/>
          </w:tcPr>
          <w:p>
            <w:pPr>
              <w:spacing w:after="0"/>
              <w:rPr>
                <w:sz w:val="17"/>
                <w:szCs w:val="17"/>
                <w:color w:val="auto"/>
              </w:rPr>
            </w:pPr>
          </w:p>
        </w:tc>
        <w:tc>
          <w:tcPr>
            <w:tcW w:w="920" w:type="dxa"/>
            <w:vAlign w:val="bottom"/>
            <w:gridSpan w:val="2"/>
            <w:shd w:val="clear" w:color="auto" w:fill="CCFFCC"/>
          </w:tcPr>
          <w:p>
            <w:pPr>
              <w:jc w:val="right"/>
              <w:ind w:right="20"/>
              <w:spacing w:after="0"/>
              <w:rPr>
                <w:sz w:val="20"/>
                <w:szCs w:val="20"/>
                <w:color w:val="auto"/>
              </w:rPr>
            </w:pPr>
            <w:r>
              <w:rPr>
                <w:rFonts w:ascii="Arial" w:cs="Arial" w:eastAsia="Arial" w:hAnsi="Arial"/>
                <w:sz w:val="16"/>
                <w:szCs w:val="16"/>
                <w:color w:val="auto"/>
              </w:rPr>
              <w:t>6.7%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5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100" w:type="dxa"/>
            <w:vAlign w:val="bottom"/>
            <w:shd w:val="clear" w:color="auto" w:fill="CCFFCC"/>
          </w:tcPr>
          <w:p>
            <w:pPr>
              <w:spacing w:after="0"/>
              <w:rPr>
                <w:sz w:val="20"/>
                <w:szCs w:val="20"/>
                <w:color w:val="auto"/>
              </w:rPr>
            </w:pPr>
            <w:r>
              <w:rPr>
                <w:rFonts w:ascii="Arial" w:cs="Arial" w:eastAsia="Arial" w:hAnsi="Arial"/>
                <w:sz w:val="16"/>
                <w:szCs w:val="16"/>
                <w:b w:val="1"/>
                <w:bCs w:val="1"/>
                <w:color w:val="auto"/>
              </w:rPr>
              <w:t>Combined ratio of PPS + PS (4)</w:t>
            </w:r>
          </w:p>
        </w:tc>
        <w:tc>
          <w:tcPr>
            <w:tcW w:w="1280" w:type="dxa"/>
            <w:vAlign w:val="bottom"/>
            <w:gridSpan w:val="2"/>
            <w:shd w:val="clear" w:color="auto" w:fill="CCFFCC"/>
          </w:tcPr>
          <w:p>
            <w:pPr>
              <w:jc w:val="right"/>
              <w:ind w:right="39"/>
              <w:spacing w:after="0"/>
              <w:rPr>
                <w:sz w:val="20"/>
                <w:szCs w:val="20"/>
                <w:color w:val="auto"/>
              </w:rPr>
            </w:pPr>
            <w:r>
              <w:rPr>
                <w:rFonts w:ascii="Arial" w:cs="Arial" w:eastAsia="Arial" w:hAnsi="Arial"/>
                <w:sz w:val="16"/>
                <w:szCs w:val="16"/>
                <w:b w:val="1"/>
                <w:bCs w:val="1"/>
                <w:color w:val="auto"/>
              </w:rPr>
              <w:t>112.3%</w:t>
            </w:r>
          </w:p>
        </w:tc>
        <w:tc>
          <w:tcPr>
            <w:tcW w:w="1280" w:type="dxa"/>
            <w:vAlign w:val="bottom"/>
            <w:gridSpan w:val="2"/>
            <w:shd w:val="clear" w:color="auto" w:fill="CCFFCC"/>
          </w:tcPr>
          <w:p>
            <w:pPr>
              <w:jc w:val="right"/>
              <w:ind w:right="100"/>
              <w:spacing w:after="0"/>
              <w:rPr>
                <w:sz w:val="20"/>
                <w:szCs w:val="20"/>
                <w:color w:val="auto"/>
              </w:rPr>
            </w:pPr>
            <w:r>
              <w:rPr>
                <w:rFonts w:ascii="Arial" w:cs="Arial" w:eastAsia="Arial" w:hAnsi="Arial"/>
                <w:sz w:val="16"/>
                <w:szCs w:val="16"/>
                <w:b w:val="1"/>
                <w:bCs w:val="1"/>
                <w:color w:val="auto"/>
              </w:rPr>
              <w:t>95.2%</w:t>
            </w:r>
          </w:p>
        </w:tc>
        <w:tc>
          <w:tcPr>
            <w:tcW w:w="1280" w:type="dxa"/>
            <w:vAlign w:val="bottom"/>
            <w:gridSpan w:val="2"/>
            <w:shd w:val="clear" w:color="auto" w:fill="CCFFCC"/>
          </w:tcPr>
          <w:p>
            <w:pPr>
              <w:jc w:val="right"/>
              <w:ind w:right="100"/>
              <w:spacing w:after="0"/>
              <w:rPr>
                <w:sz w:val="20"/>
                <w:szCs w:val="20"/>
                <w:color w:val="auto"/>
              </w:rPr>
            </w:pPr>
            <w:r>
              <w:rPr>
                <w:rFonts w:ascii="Arial" w:cs="Arial" w:eastAsia="Arial" w:hAnsi="Arial"/>
                <w:sz w:val="16"/>
                <w:szCs w:val="16"/>
                <w:b w:val="1"/>
                <w:bCs w:val="1"/>
                <w:color w:val="auto"/>
              </w:rPr>
              <w:t>94.2%</w:t>
            </w:r>
          </w:p>
        </w:tc>
        <w:tc>
          <w:tcPr>
            <w:tcW w:w="1280" w:type="dxa"/>
            <w:vAlign w:val="bottom"/>
            <w:gridSpan w:val="2"/>
            <w:shd w:val="clear" w:color="auto" w:fill="CCFFCC"/>
          </w:tcPr>
          <w:p>
            <w:pPr>
              <w:jc w:val="right"/>
              <w:ind w:right="100"/>
              <w:spacing w:after="0"/>
              <w:rPr>
                <w:sz w:val="20"/>
                <w:szCs w:val="20"/>
                <w:color w:val="auto"/>
              </w:rPr>
            </w:pPr>
            <w:r>
              <w:rPr>
                <w:rFonts w:ascii="Arial" w:cs="Arial" w:eastAsia="Arial" w:hAnsi="Arial"/>
                <w:sz w:val="16"/>
                <w:szCs w:val="16"/>
                <w:b w:val="1"/>
                <w:bCs w:val="1"/>
                <w:color w:val="auto"/>
              </w:rPr>
              <w:t>118.4%</w:t>
            </w:r>
          </w:p>
        </w:tc>
        <w:tc>
          <w:tcPr>
            <w:tcW w:w="260" w:type="dxa"/>
            <w:vAlign w:val="bottom"/>
            <w:shd w:val="clear" w:color="auto" w:fill="CCFFCC"/>
          </w:tcPr>
          <w:p>
            <w:pPr>
              <w:spacing w:after="0"/>
              <w:rPr>
                <w:sz w:val="17"/>
                <w:szCs w:val="17"/>
                <w:color w:val="auto"/>
              </w:rPr>
            </w:pPr>
          </w:p>
        </w:tc>
        <w:tc>
          <w:tcPr>
            <w:tcW w:w="920" w:type="dxa"/>
            <w:vAlign w:val="bottom"/>
            <w:gridSpan w:val="2"/>
            <w:shd w:val="clear" w:color="auto" w:fill="CCFFCC"/>
          </w:tcPr>
          <w:p>
            <w:pPr>
              <w:jc w:val="right"/>
              <w:spacing w:after="0"/>
              <w:rPr>
                <w:sz w:val="20"/>
                <w:szCs w:val="20"/>
                <w:color w:val="auto"/>
              </w:rPr>
            </w:pPr>
            <w:r>
              <w:rPr>
                <w:rFonts w:ascii="Arial" w:cs="Arial" w:eastAsia="Arial" w:hAnsi="Arial"/>
                <w:sz w:val="16"/>
                <w:szCs w:val="16"/>
                <w:b w:val="1"/>
                <w:bCs w:val="1"/>
                <w:color w:val="auto"/>
              </w:rPr>
              <w:t>96.8%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00" w:type="dxa"/>
            <w:vAlign w:val="bottom"/>
          </w:tcPr>
          <w:p>
            <w:pPr>
              <w:spacing w:after="0"/>
              <w:rPr>
                <w:sz w:val="20"/>
                <w:szCs w:val="20"/>
                <w:color w:val="auto"/>
              </w:rPr>
            </w:pPr>
            <w:r>
              <w:rPr>
                <w:rFonts w:ascii="Arial" w:cs="Arial" w:eastAsia="Arial" w:hAnsi="Arial"/>
                <w:sz w:val="16"/>
                <w:szCs w:val="16"/>
                <w:color w:val="auto"/>
              </w:rPr>
              <w:t>Net claims / earned net premiums</w:t>
            </w:r>
          </w:p>
        </w:tc>
        <w:tc>
          <w:tcPr>
            <w:tcW w:w="1280" w:type="dxa"/>
            <w:vAlign w:val="bottom"/>
            <w:gridSpan w:val="2"/>
          </w:tcPr>
          <w:p>
            <w:pPr>
              <w:jc w:val="right"/>
              <w:ind w:right="59"/>
              <w:spacing w:after="0"/>
              <w:rPr>
                <w:sz w:val="20"/>
                <w:szCs w:val="20"/>
                <w:color w:val="auto"/>
              </w:rPr>
            </w:pPr>
            <w:r>
              <w:rPr>
                <w:rFonts w:ascii="Arial" w:cs="Arial" w:eastAsia="Arial" w:hAnsi="Arial"/>
                <w:sz w:val="16"/>
                <w:szCs w:val="16"/>
                <w:color w:val="auto"/>
              </w:rPr>
              <w:t>82.6%</w:t>
            </w:r>
          </w:p>
        </w:tc>
        <w:tc>
          <w:tcPr>
            <w:tcW w:w="1280" w:type="dxa"/>
            <w:vAlign w:val="bottom"/>
            <w:gridSpan w:val="2"/>
          </w:tcPr>
          <w:p>
            <w:pPr>
              <w:jc w:val="right"/>
              <w:ind w:right="140"/>
              <w:spacing w:after="0"/>
              <w:rPr>
                <w:sz w:val="20"/>
                <w:szCs w:val="20"/>
                <w:color w:val="auto"/>
              </w:rPr>
            </w:pPr>
            <w:r>
              <w:rPr>
                <w:rFonts w:ascii="Arial" w:cs="Arial" w:eastAsia="Arial" w:hAnsi="Arial"/>
                <w:sz w:val="16"/>
                <w:szCs w:val="16"/>
                <w:color w:val="auto"/>
              </w:rPr>
              <w:t>65.6%</w:t>
            </w:r>
          </w:p>
        </w:tc>
        <w:tc>
          <w:tcPr>
            <w:tcW w:w="1280" w:type="dxa"/>
            <w:vAlign w:val="bottom"/>
            <w:gridSpan w:val="2"/>
          </w:tcPr>
          <w:p>
            <w:pPr>
              <w:jc w:val="right"/>
              <w:ind w:right="140"/>
              <w:spacing w:after="0"/>
              <w:rPr>
                <w:sz w:val="20"/>
                <w:szCs w:val="20"/>
                <w:color w:val="auto"/>
              </w:rPr>
            </w:pPr>
            <w:r>
              <w:rPr>
                <w:rFonts w:ascii="Arial" w:cs="Arial" w:eastAsia="Arial" w:hAnsi="Arial"/>
                <w:sz w:val="16"/>
                <w:szCs w:val="16"/>
                <w:color w:val="auto"/>
              </w:rPr>
              <w:t>54.7%</w:t>
            </w:r>
          </w:p>
        </w:tc>
        <w:tc>
          <w:tcPr>
            <w:tcW w:w="1280" w:type="dxa"/>
            <w:vAlign w:val="bottom"/>
            <w:gridSpan w:val="2"/>
          </w:tcPr>
          <w:p>
            <w:pPr>
              <w:jc w:val="right"/>
              <w:ind w:right="140"/>
              <w:spacing w:after="0"/>
              <w:rPr>
                <w:sz w:val="20"/>
                <w:szCs w:val="20"/>
                <w:color w:val="auto"/>
              </w:rPr>
            </w:pPr>
            <w:r>
              <w:rPr>
                <w:rFonts w:ascii="Arial" w:cs="Arial" w:eastAsia="Arial" w:hAnsi="Arial"/>
                <w:sz w:val="16"/>
                <w:szCs w:val="16"/>
                <w:color w:val="auto"/>
              </w:rPr>
              <w:t>88.5%</w:t>
            </w:r>
          </w:p>
        </w:tc>
        <w:tc>
          <w:tcPr>
            <w:tcW w:w="260" w:type="dxa"/>
            <w:vAlign w:val="bottom"/>
          </w:tcPr>
          <w:p>
            <w:pPr>
              <w:spacing w:after="0"/>
              <w:rPr>
                <w:sz w:val="17"/>
                <w:szCs w:val="17"/>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65.6%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00" w:type="dxa"/>
            <w:vAlign w:val="bottom"/>
            <w:shd w:val="clear" w:color="auto" w:fill="CCFFCC"/>
          </w:tcPr>
          <w:p>
            <w:pPr>
              <w:spacing w:after="0"/>
              <w:rPr>
                <w:sz w:val="20"/>
                <w:szCs w:val="20"/>
                <w:color w:val="auto"/>
              </w:rPr>
            </w:pPr>
            <w:r>
              <w:rPr>
                <w:rFonts w:ascii="Arial" w:cs="Arial" w:eastAsia="Arial" w:hAnsi="Arial"/>
                <w:sz w:val="16"/>
                <w:szCs w:val="16"/>
                <w:color w:val="auto"/>
              </w:rPr>
              <w:t>General expenses and commissions / earned net premiums</w:t>
            </w:r>
          </w:p>
        </w:tc>
        <w:tc>
          <w:tcPr>
            <w:tcW w:w="1280" w:type="dxa"/>
            <w:vAlign w:val="bottom"/>
            <w:gridSpan w:val="2"/>
            <w:shd w:val="clear" w:color="auto" w:fill="CCFFCC"/>
          </w:tcPr>
          <w:p>
            <w:pPr>
              <w:jc w:val="right"/>
              <w:ind w:right="59"/>
              <w:spacing w:after="0"/>
              <w:rPr>
                <w:sz w:val="20"/>
                <w:szCs w:val="20"/>
                <w:color w:val="auto"/>
              </w:rPr>
            </w:pPr>
            <w:r>
              <w:rPr>
                <w:rFonts w:ascii="Arial" w:cs="Arial" w:eastAsia="Arial" w:hAnsi="Arial"/>
                <w:sz w:val="16"/>
                <w:szCs w:val="16"/>
                <w:color w:val="auto"/>
              </w:rPr>
              <w:t>29.7%</w:t>
            </w:r>
          </w:p>
        </w:tc>
        <w:tc>
          <w:tcPr>
            <w:tcW w:w="1280" w:type="dxa"/>
            <w:vAlign w:val="bottom"/>
            <w:gridSpan w:val="2"/>
            <w:shd w:val="clear" w:color="auto" w:fill="CCFFCC"/>
          </w:tcPr>
          <w:p>
            <w:pPr>
              <w:jc w:val="right"/>
              <w:ind w:right="140"/>
              <w:spacing w:after="0"/>
              <w:rPr>
                <w:sz w:val="20"/>
                <w:szCs w:val="20"/>
                <w:color w:val="auto"/>
              </w:rPr>
            </w:pPr>
            <w:r>
              <w:rPr>
                <w:rFonts w:ascii="Arial" w:cs="Arial" w:eastAsia="Arial" w:hAnsi="Arial"/>
                <w:sz w:val="16"/>
                <w:szCs w:val="16"/>
                <w:color w:val="auto"/>
              </w:rPr>
              <w:t>29.6%</w:t>
            </w:r>
          </w:p>
        </w:tc>
        <w:tc>
          <w:tcPr>
            <w:tcW w:w="1280" w:type="dxa"/>
            <w:vAlign w:val="bottom"/>
            <w:gridSpan w:val="2"/>
            <w:shd w:val="clear" w:color="auto" w:fill="CCFFCC"/>
          </w:tcPr>
          <w:p>
            <w:pPr>
              <w:jc w:val="right"/>
              <w:ind w:right="140"/>
              <w:spacing w:after="0"/>
              <w:rPr>
                <w:sz w:val="20"/>
                <w:szCs w:val="20"/>
                <w:color w:val="auto"/>
              </w:rPr>
            </w:pPr>
            <w:r>
              <w:rPr>
                <w:rFonts w:ascii="Arial" w:cs="Arial" w:eastAsia="Arial" w:hAnsi="Arial"/>
                <w:sz w:val="16"/>
                <w:szCs w:val="16"/>
                <w:color w:val="auto"/>
              </w:rPr>
              <w:t>39.5%</w:t>
            </w:r>
          </w:p>
        </w:tc>
        <w:tc>
          <w:tcPr>
            <w:tcW w:w="1280" w:type="dxa"/>
            <w:vAlign w:val="bottom"/>
            <w:gridSpan w:val="2"/>
            <w:shd w:val="clear" w:color="auto" w:fill="CCFFCC"/>
          </w:tcPr>
          <w:p>
            <w:pPr>
              <w:jc w:val="right"/>
              <w:ind w:right="140"/>
              <w:spacing w:after="0"/>
              <w:rPr>
                <w:sz w:val="20"/>
                <w:szCs w:val="20"/>
                <w:color w:val="auto"/>
              </w:rPr>
            </w:pPr>
            <w:r>
              <w:rPr>
                <w:rFonts w:ascii="Arial" w:cs="Arial" w:eastAsia="Arial" w:hAnsi="Arial"/>
                <w:sz w:val="16"/>
                <w:szCs w:val="16"/>
                <w:color w:val="auto"/>
              </w:rPr>
              <w:t>29.9%</w:t>
            </w:r>
          </w:p>
        </w:tc>
        <w:tc>
          <w:tcPr>
            <w:tcW w:w="260" w:type="dxa"/>
            <w:vAlign w:val="bottom"/>
            <w:shd w:val="clear" w:color="auto" w:fill="CCFFCC"/>
          </w:tcPr>
          <w:p>
            <w:pPr>
              <w:spacing w:after="0"/>
              <w:rPr>
                <w:sz w:val="17"/>
                <w:szCs w:val="17"/>
                <w:color w:val="auto"/>
              </w:rPr>
            </w:pPr>
          </w:p>
        </w:tc>
        <w:tc>
          <w:tcPr>
            <w:tcW w:w="920" w:type="dxa"/>
            <w:vAlign w:val="bottom"/>
            <w:gridSpan w:val="2"/>
            <w:shd w:val="clear" w:color="auto" w:fill="CCFFCC"/>
          </w:tcPr>
          <w:p>
            <w:pPr>
              <w:jc w:val="right"/>
              <w:ind w:right="20"/>
              <w:spacing w:after="0"/>
              <w:rPr>
                <w:sz w:val="20"/>
                <w:szCs w:val="20"/>
                <w:color w:val="auto"/>
              </w:rPr>
            </w:pPr>
            <w:r>
              <w:rPr>
                <w:rFonts w:ascii="Arial" w:cs="Arial" w:eastAsia="Arial" w:hAnsi="Arial"/>
                <w:sz w:val="16"/>
                <w:szCs w:val="16"/>
                <w:color w:val="auto"/>
              </w:rPr>
              <w:t>31.2%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260" w:hanging="252"/>
        <w:spacing w:after="0"/>
        <w:tabs>
          <w:tab w:leader="none" w:pos="26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Real state investment were excluded</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Annualized</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Average are determined as the average of period - begging and period ending</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Without consolidated adjusments</w:t>
      </w:r>
    </w:p>
    <w:p>
      <w:pPr>
        <w:sectPr>
          <w:pgSz w:w="11900" w:h="16861" w:orient="portrait"/>
          <w:cols w:equalWidth="0" w:num="1">
            <w:col w:w="11420"/>
          </w:cols>
          <w:pgMar w:left="240" w:top="1256" w:right="239" w:bottom="0" w:gutter="0" w:footer="0" w:header="0"/>
        </w:sectPr>
      </w:pPr>
    </w:p>
    <w:bookmarkStart w:id="45" w:name="page46"/>
    <w:bookmarkEnd w:id="45"/>
    <w:p>
      <w:pPr>
        <w:ind w:left="10080"/>
        <w:spacing w:after="0"/>
        <w:rPr>
          <w:sz w:val="20"/>
          <w:szCs w:val="20"/>
          <w:color w:val="auto"/>
        </w:rPr>
      </w:pPr>
      <w:r>
        <w:rPr>
          <w:rFonts w:ascii="Arial" w:cs="Arial" w:eastAsia="Arial" w:hAnsi="Arial"/>
          <w:sz w:val="12"/>
          <w:szCs w:val="1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85090</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364" w:right="23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Date: February 5, 2010</w:t>
      </w:r>
    </w:p>
    <w:p>
      <w:pPr>
        <w:spacing w:after="0" w:line="252"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CREDICORP LTD.</w:t>
      </w:r>
    </w:p>
    <w:p>
      <w:pPr>
        <w:spacing w:after="0" w:line="200" w:lineRule="exact"/>
        <w:rPr>
          <w:sz w:val="20"/>
          <w:szCs w:val="20"/>
          <w:color w:val="auto"/>
        </w:rPr>
      </w:pPr>
    </w:p>
    <w:p>
      <w:pPr>
        <w:spacing w:after="0" w:line="268"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By:  /s/ Giuliana Cuzquen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3743960</wp:posOffset>
            </wp:positionH>
            <wp:positionV relativeFrom="paragraph">
              <wp:posOffset>14605</wp:posOffset>
            </wp:positionV>
            <wp:extent cx="350774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507740" cy="17145"/>
                    </a:xfrm>
                    <a:prstGeom prst="rect">
                      <a:avLst/>
                    </a:prstGeom>
                    <a:noFill/>
                  </pic:spPr>
                </pic:pic>
              </a:graphicData>
            </a:graphic>
          </wp:anchor>
        </w:drawing>
      </w:r>
    </w:p>
    <w:p>
      <w:pPr>
        <w:spacing w:after="0" w:line="12" w:lineRule="exact"/>
        <w:rPr>
          <w:sz w:val="20"/>
          <w:szCs w:val="20"/>
          <w:color w:val="auto"/>
        </w:rPr>
      </w:pPr>
    </w:p>
    <w:p>
      <w:pPr>
        <w:ind w:left="5900"/>
        <w:spacing w:after="0"/>
        <w:rPr>
          <w:sz w:val="20"/>
          <w:szCs w:val="20"/>
          <w:color w:val="auto"/>
        </w:rPr>
      </w:pPr>
      <w:r>
        <w:rPr>
          <w:rFonts w:ascii="Arial" w:cs="Arial" w:eastAsia="Arial" w:hAnsi="Arial"/>
          <w:sz w:val="18"/>
          <w:szCs w:val="18"/>
          <w:b w:val="1"/>
          <w:bCs w:val="1"/>
          <w:color w:val="auto"/>
        </w:rPr>
        <w:t>Giuliana Cuzquen</w:t>
      </w:r>
    </w:p>
    <w:p>
      <w:pPr>
        <w:spacing w:after="0" w:line="27" w:lineRule="exact"/>
        <w:rPr>
          <w:sz w:val="20"/>
          <w:szCs w:val="20"/>
          <w:color w:val="auto"/>
        </w:rPr>
      </w:pPr>
    </w:p>
    <w:p>
      <w:pPr>
        <w:ind w:left="5900"/>
        <w:spacing w:after="0"/>
        <w:rPr>
          <w:sz w:val="20"/>
          <w:szCs w:val="20"/>
          <w:color w:val="auto"/>
        </w:rPr>
      </w:pPr>
      <w:r>
        <w:rPr>
          <w:rFonts w:ascii="Arial" w:cs="Arial" w:eastAsia="Arial" w:hAnsi="Arial"/>
          <w:sz w:val="18"/>
          <w:szCs w:val="18"/>
          <w:b w:val="1"/>
          <w:bCs w:val="1"/>
          <w:color w:val="auto"/>
        </w:rPr>
        <w:t>Authorized Representative</w:t>
      </w:r>
    </w:p>
    <w:sectPr>
      <w:pgSz w:w="11900" w:h="16838" w:orient="portrait"/>
      <w:cols w:equalWidth="0" w:num="1">
        <w:col w:w="11420"/>
      </w:cols>
      <w:pgMar w:left="24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lowerRoman"/>
      <w:start w:val="1"/>
    </w:lvl>
  </w:abstractNum>
  <w:abstractNum w:abstractNumId="3">
    <w:nsid w:val="4DB127F8"/>
    <w:multiLevelType w:val="hybridMultilevel"/>
    <w:lvl w:ilvl="0">
      <w:lvlJc w:val="left"/>
      <w:lvlText w:val="(%1)"/>
      <w:numFmt w:val="decimal"/>
      <w:start w:val="1"/>
    </w:lvl>
  </w:abstractNum>
  <w:abstractNum w:abstractNumId="4">
    <w:nsid w:val="216231B"/>
    <w:multiLevelType w:val="hybridMultilevel"/>
    <w:lvl w:ilvl="0">
      <w:lvlJc w:val="left"/>
      <w:lvlText w:val="%1)"/>
      <w:numFmt w:val="lowerRoman"/>
      <w:start w:val="1"/>
    </w:lvl>
  </w:abstractNum>
  <w:abstractNum w:abstractNumId="5">
    <w:nsid w:val="1F16E9E8"/>
    <w:multiLevelType w:val="hybridMultilevel"/>
    <w:lvl w:ilvl="0">
      <w:lvlJc w:val="left"/>
      <w:lvlText w:val="%1)"/>
      <w:numFmt w:val="lowerRoman"/>
      <w:start w:val="1"/>
    </w:lvl>
  </w:abstractNum>
  <w:abstractNum w:abstractNumId="6">
    <w:nsid w:val="1190CDE7"/>
    <w:multiLevelType w:val="hybridMultilevel"/>
    <w:lvl w:ilvl="0">
      <w:lvlJc w:val="left"/>
      <w:lvlText w:val="%1)"/>
      <w:numFmt w:val="lowerRoman"/>
      <w:start w:val="1"/>
    </w:lvl>
  </w:abstractNum>
  <w:abstractNum w:abstractNumId="7">
    <w:nsid w:val="66EF438D"/>
    <w:multiLevelType w:val="hybridMultilevel"/>
    <w:lvl w:ilvl="0">
      <w:lvlJc w:val="left"/>
      <w:lvlText w:val="(%1)"/>
      <w:numFmt w:val="decimal"/>
      <w:start w:val="1"/>
    </w:lvl>
  </w:abstractNum>
  <w:abstractNum w:abstractNumId="8">
    <w:nsid w:val="140E0F76"/>
    <w:multiLevelType w:val="hybridMultilevel"/>
    <w:lvl w:ilvl="0">
      <w:lvlJc w:val="left"/>
      <w:lvlText w:val="(%1)"/>
      <w:numFmt w:val="decimal"/>
      <w:start w:val="1"/>
    </w:lvl>
  </w:abstractNum>
  <w:abstractNum w:abstractNumId="9">
    <w:nsid w:val="3352255A"/>
    <w:multiLevelType w:val="hybridMultilevel"/>
    <w:lvl w:ilvl="0">
      <w:lvlJc w:val="left"/>
      <w:lvlText w:val="(%1)"/>
      <w:numFmt w:val="decimal"/>
      <w:start w:val="1"/>
    </w:lvl>
  </w:abstractNum>
  <w:abstractNum w:abstractNumId="10">
    <w:nsid w:val="109CF92E"/>
    <w:multiLevelType w:val="hybridMultilevel"/>
    <w:lvl w:ilvl="0">
      <w:lvlJc w:val="left"/>
      <w:lvlText w:val="(%1)"/>
      <w:numFmt w:val="decimal"/>
      <w:start w:val="1"/>
    </w:lvl>
  </w:abstractNum>
  <w:abstractNum w:abstractNumId="11">
    <w:nsid w:val="DED7263"/>
    <w:multiLevelType w:val="hybridMultilevel"/>
    <w:lvl w:ilvl="0">
      <w:lvlJc w:val="left"/>
      <w:lvlText w:val="(%1)"/>
      <w:numFmt w:val="decimal"/>
      <w:start w:val="1"/>
    </w:lvl>
  </w:abstractNum>
  <w:abstractNum w:abstractNumId="12">
    <w:nsid w:val="7FDCC233"/>
    <w:multiLevelType w:val="hybridMultilevel"/>
    <w:lvl w:ilvl="0">
      <w:lvlJc w:val="left"/>
      <w:lvlText w:val="(%1)"/>
      <w:numFmt w:val="decimal"/>
      <w:start w:val="1"/>
    </w:lvl>
  </w:abstractNum>
  <w:abstractNum w:abstractNumId="13">
    <w:nsid w:val="1BEFD79F"/>
    <w:multiLevelType w:val="hybridMultilevel"/>
    <w:lvl w:ilvl="0">
      <w:lvlJc w:val="left"/>
      <w:lvlText w:val="(%1)"/>
      <w:numFmt w:val="decimal"/>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2019-12-10T13:06:27Z</dcterms:created>
  <dcterms:modified xsi:type="dcterms:W3CDTF">2019-12-10T13:06:27Z</dcterms:modified>
</cp:coreProperties>
</file>